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BEE88">
      <w:pPr>
        <w:pStyle w:val="2"/>
        <w:spacing w:line="254" w:lineRule="auto"/>
        <w:rPr>
          <w:color w:val="auto"/>
          <w:highlight w:val="none"/>
        </w:rPr>
      </w:pPr>
    </w:p>
    <w:p w14:paraId="35146DBD">
      <w:pPr>
        <w:pStyle w:val="2"/>
        <w:spacing w:line="254" w:lineRule="auto"/>
        <w:rPr>
          <w:color w:val="auto"/>
          <w:highlight w:val="none"/>
        </w:rPr>
      </w:pPr>
    </w:p>
    <w:p w14:paraId="6A43238C">
      <w:pPr>
        <w:pStyle w:val="2"/>
        <w:spacing w:line="255" w:lineRule="auto"/>
        <w:rPr>
          <w:color w:val="auto"/>
          <w:highlight w:val="none"/>
        </w:rPr>
      </w:pPr>
    </w:p>
    <w:p w14:paraId="0B9875F7">
      <w:pPr>
        <w:pStyle w:val="2"/>
        <w:spacing w:line="255" w:lineRule="auto"/>
        <w:rPr>
          <w:color w:val="auto"/>
          <w:highlight w:val="none"/>
        </w:rPr>
      </w:pPr>
    </w:p>
    <w:p w14:paraId="30FAF1F5">
      <w:pPr>
        <w:spacing w:before="153" w:line="223" w:lineRule="auto"/>
        <w:jc w:val="center"/>
        <w:rPr>
          <w:rFonts w:hint="eastAsia" w:ascii="宋体" w:hAnsi="宋体" w:eastAsia="宋体" w:cs="宋体"/>
          <w:color w:val="auto"/>
          <w:sz w:val="47"/>
          <w:szCs w:val="47"/>
          <w:highlight w:val="none"/>
          <w:lang w:eastAsia="zh-CN"/>
        </w:rPr>
      </w:pPr>
      <w:r>
        <w:rPr>
          <w:rFonts w:hint="eastAsia" w:ascii="宋体" w:hAnsi="宋体" w:eastAsia="宋体" w:cs="宋体"/>
          <w:b/>
          <w:bCs/>
          <w:color w:val="auto"/>
          <w:sz w:val="47"/>
          <w:szCs w:val="47"/>
          <w:highlight w:val="none"/>
          <w:lang w:eastAsia="zh-CN"/>
        </w:rPr>
        <w:t>伊宁市潘津镇2025年以工代赈示范工程水利配套项目</w:t>
      </w:r>
    </w:p>
    <w:p w14:paraId="114F4B6D">
      <w:pPr>
        <w:pStyle w:val="2"/>
        <w:spacing w:line="253" w:lineRule="auto"/>
        <w:rPr>
          <w:color w:val="auto"/>
          <w:highlight w:val="none"/>
        </w:rPr>
      </w:pPr>
    </w:p>
    <w:p w14:paraId="33F04E02">
      <w:pPr>
        <w:pStyle w:val="2"/>
        <w:spacing w:line="253" w:lineRule="auto"/>
        <w:rPr>
          <w:color w:val="auto"/>
          <w:highlight w:val="none"/>
        </w:rPr>
      </w:pPr>
    </w:p>
    <w:p w14:paraId="7BB0E9BB">
      <w:pPr>
        <w:pStyle w:val="2"/>
        <w:spacing w:line="253" w:lineRule="auto"/>
        <w:rPr>
          <w:color w:val="auto"/>
          <w:highlight w:val="none"/>
        </w:rPr>
      </w:pPr>
    </w:p>
    <w:p w14:paraId="52261F94">
      <w:pPr>
        <w:pStyle w:val="2"/>
        <w:spacing w:line="253" w:lineRule="auto"/>
        <w:rPr>
          <w:color w:val="auto"/>
          <w:highlight w:val="none"/>
        </w:rPr>
      </w:pPr>
    </w:p>
    <w:p w14:paraId="4376FC4D">
      <w:pPr>
        <w:pStyle w:val="2"/>
        <w:spacing w:line="253" w:lineRule="auto"/>
        <w:rPr>
          <w:color w:val="auto"/>
          <w:highlight w:val="none"/>
        </w:rPr>
      </w:pPr>
    </w:p>
    <w:p w14:paraId="1DD1FD82">
      <w:pPr>
        <w:pStyle w:val="2"/>
        <w:spacing w:line="253" w:lineRule="auto"/>
        <w:rPr>
          <w:color w:val="auto"/>
          <w:highlight w:val="none"/>
        </w:rPr>
      </w:pPr>
    </w:p>
    <w:p w14:paraId="67268F00">
      <w:pPr>
        <w:pStyle w:val="2"/>
        <w:spacing w:line="253" w:lineRule="auto"/>
        <w:rPr>
          <w:color w:val="auto"/>
          <w:highlight w:val="none"/>
        </w:rPr>
      </w:pPr>
    </w:p>
    <w:p w14:paraId="26476C2A">
      <w:pPr>
        <w:pStyle w:val="2"/>
        <w:spacing w:line="254" w:lineRule="auto"/>
        <w:rPr>
          <w:color w:val="auto"/>
          <w:highlight w:val="none"/>
        </w:rPr>
      </w:pPr>
    </w:p>
    <w:p w14:paraId="28104ADC">
      <w:pPr>
        <w:spacing w:before="270" w:line="222" w:lineRule="auto"/>
        <w:ind w:left="1238"/>
        <w:rPr>
          <w:rFonts w:ascii="宋体" w:hAnsi="宋体" w:eastAsia="宋体" w:cs="宋体"/>
          <w:color w:val="auto"/>
          <w:sz w:val="83"/>
          <w:szCs w:val="83"/>
          <w:highlight w:val="none"/>
        </w:rPr>
      </w:pPr>
      <w:r>
        <w:rPr>
          <w:rFonts w:ascii="宋体" w:hAnsi="宋体" w:eastAsia="宋体" w:cs="宋体"/>
          <w:b/>
          <w:bCs/>
          <w:color w:val="auto"/>
          <w:spacing w:val="-3"/>
          <w:sz w:val="83"/>
          <w:szCs w:val="83"/>
          <w:highlight w:val="none"/>
        </w:rPr>
        <w:t>竞争性磋商文件</w:t>
      </w:r>
    </w:p>
    <w:p w14:paraId="1F5A8B69">
      <w:pPr>
        <w:pStyle w:val="2"/>
        <w:spacing w:line="449" w:lineRule="auto"/>
        <w:rPr>
          <w:color w:val="auto"/>
          <w:highlight w:val="none"/>
        </w:rPr>
      </w:pPr>
    </w:p>
    <w:p w14:paraId="45AB53D6">
      <w:pPr>
        <w:spacing w:before="114" w:line="223" w:lineRule="auto"/>
        <w:ind w:left="1097"/>
        <w:rPr>
          <w:rFonts w:ascii="宋体" w:hAnsi="宋体" w:eastAsia="宋体" w:cs="宋体"/>
          <w:color w:val="auto"/>
          <w:sz w:val="35"/>
          <w:szCs w:val="35"/>
          <w:highlight w:val="none"/>
        </w:rPr>
      </w:pPr>
      <w:r>
        <w:rPr>
          <w:rFonts w:ascii="宋体" w:hAnsi="宋体" w:eastAsia="宋体" w:cs="宋体"/>
          <w:b/>
          <w:bCs/>
          <w:color w:val="auto"/>
          <w:spacing w:val="3"/>
          <w:sz w:val="35"/>
          <w:szCs w:val="35"/>
          <w:highlight w:val="none"/>
        </w:rPr>
        <w:t>（项目编号：</w:t>
      </w:r>
      <w:r>
        <w:rPr>
          <w:rFonts w:hint="eastAsia" w:ascii="宋体" w:hAnsi="宋体" w:eastAsia="宋体" w:cs="宋体"/>
          <w:b/>
          <w:bCs/>
          <w:color w:val="auto"/>
          <w:sz w:val="35"/>
          <w:szCs w:val="35"/>
          <w:highlight w:val="none"/>
          <w:lang w:eastAsia="zh-CN"/>
        </w:rPr>
        <w:t>YNS-PJZ-YGDS-2025001</w:t>
      </w:r>
      <w:r>
        <w:rPr>
          <w:rFonts w:ascii="宋体" w:hAnsi="宋体" w:eastAsia="宋体" w:cs="宋体"/>
          <w:b/>
          <w:bCs/>
          <w:color w:val="auto"/>
          <w:spacing w:val="3"/>
          <w:sz w:val="35"/>
          <w:szCs w:val="35"/>
          <w:highlight w:val="none"/>
        </w:rPr>
        <w:t>）</w:t>
      </w:r>
    </w:p>
    <w:p w14:paraId="25C9CAD3">
      <w:pPr>
        <w:pStyle w:val="2"/>
        <w:spacing w:line="241" w:lineRule="auto"/>
        <w:rPr>
          <w:color w:val="auto"/>
          <w:highlight w:val="none"/>
        </w:rPr>
      </w:pPr>
    </w:p>
    <w:p w14:paraId="171FD8C4">
      <w:pPr>
        <w:pStyle w:val="2"/>
        <w:spacing w:line="241" w:lineRule="auto"/>
        <w:rPr>
          <w:color w:val="auto"/>
          <w:highlight w:val="none"/>
        </w:rPr>
      </w:pPr>
    </w:p>
    <w:p w14:paraId="4AB680D4">
      <w:pPr>
        <w:pStyle w:val="2"/>
        <w:spacing w:line="241" w:lineRule="auto"/>
        <w:rPr>
          <w:color w:val="auto"/>
          <w:highlight w:val="none"/>
        </w:rPr>
      </w:pPr>
    </w:p>
    <w:p w14:paraId="529FE966">
      <w:pPr>
        <w:pStyle w:val="2"/>
        <w:spacing w:line="241" w:lineRule="auto"/>
        <w:rPr>
          <w:color w:val="auto"/>
          <w:highlight w:val="none"/>
        </w:rPr>
      </w:pPr>
    </w:p>
    <w:p w14:paraId="1DBF8BA6">
      <w:pPr>
        <w:pStyle w:val="2"/>
        <w:spacing w:line="241" w:lineRule="auto"/>
        <w:rPr>
          <w:color w:val="auto"/>
          <w:highlight w:val="none"/>
        </w:rPr>
      </w:pPr>
    </w:p>
    <w:p w14:paraId="31DF13E1">
      <w:pPr>
        <w:pStyle w:val="2"/>
        <w:spacing w:line="241" w:lineRule="auto"/>
        <w:rPr>
          <w:color w:val="auto"/>
          <w:highlight w:val="none"/>
        </w:rPr>
      </w:pPr>
    </w:p>
    <w:p w14:paraId="25E8AD11">
      <w:pPr>
        <w:pStyle w:val="2"/>
        <w:spacing w:line="241" w:lineRule="auto"/>
        <w:rPr>
          <w:color w:val="auto"/>
          <w:highlight w:val="none"/>
        </w:rPr>
      </w:pPr>
    </w:p>
    <w:p w14:paraId="779A1750">
      <w:pPr>
        <w:pStyle w:val="2"/>
        <w:spacing w:line="241" w:lineRule="auto"/>
        <w:rPr>
          <w:color w:val="auto"/>
          <w:highlight w:val="none"/>
        </w:rPr>
      </w:pPr>
    </w:p>
    <w:p w14:paraId="7110A742">
      <w:pPr>
        <w:pStyle w:val="2"/>
        <w:spacing w:line="242" w:lineRule="auto"/>
        <w:rPr>
          <w:color w:val="auto"/>
          <w:highlight w:val="none"/>
        </w:rPr>
      </w:pPr>
    </w:p>
    <w:p w14:paraId="3FEC741A">
      <w:pPr>
        <w:pStyle w:val="2"/>
        <w:spacing w:line="242" w:lineRule="auto"/>
        <w:rPr>
          <w:color w:val="auto"/>
          <w:highlight w:val="none"/>
        </w:rPr>
      </w:pPr>
    </w:p>
    <w:p w14:paraId="6D05FD45">
      <w:pPr>
        <w:pStyle w:val="2"/>
        <w:spacing w:line="242" w:lineRule="auto"/>
        <w:rPr>
          <w:color w:val="auto"/>
          <w:highlight w:val="none"/>
        </w:rPr>
      </w:pPr>
    </w:p>
    <w:p w14:paraId="362ADFEE">
      <w:pPr>
        <w:pStyle w:val="2"/>
        <w:spacing w:line="242" w:lineRule="auto"/>
        <w:rPr>
          <w:color w:val="auto"/>
          <w:highlight w:val="none"/>
        </w:rPr>
      </w:pPr>
    </w:p>
    <w:p w14:paraId="6FF7730A">
      <w:pPr>
        <w:spacing w:before="97" w:line="219" w:lineRule="auto"/>
        <w:ind w:left="217"/>
        <w:rPr>
          <w:rFonts w:hint="eastAsia" w:ascii="宋体" w:hAnsi="宋体" w:eastAsia="宋体" w:cs="宋体"/>
          <w:color w:val="auto"/>
          <w:sz w:val="30"/>
          <w:szCs w:val="30"/>
          <w:highlight w:val="none"/>
          <w:lang w:eastAsia="zh-CN"/>
        </w:rPr>
      </w:pPr>
      <w:r>
        <w:rPr>
          <w:rFonts w:ascii="宋体" w:hAnsi="宋体" w:eastAsia="宋体" w:cs="宋体"/>
          <w:b/>
          <w:bCs/>
          <w:color w:val="auto"/>
          <w:spacing w:val="12"/>
          <w:sz w:val="30"/>
          <w:szCs w:val="30"/>
          <w:highlight w:val="none"/>
        </w:rPr>
        <w:t>采购人：</w:t>
      </w:r>
      <w:r>
        <w:rPr>
          <w:rFonts w:hint="eastAsia" w:ascii="宋体" w:hAnsi="宋体" w:eastAsia="宋体" w:cs="宋体"/>
          <w:b/>
          <w:bCs/>
          <w:color w:val="auto"/>
          <w:spacing w:val="12"/>
          <w:sz w:val="30"/>
          <w:szCs w:val="30"/>
          <w:highlight w:val="none"/>
          <w:lang w:eastAsia="zh-CN"/>
        </w:rPr>
        <w:t>伊宁市潘津镇人民政府</w:t>
      </w:r>
    </w:p>
    <w:p w14:paraId="38D60869">
      <w:pPr>
        <w:pStyle w:val="2"/>
        <w:spacing w:line="275" w:lineRule="auto"/>
        <w:rPr>
          <w:color w:val="auto"/>
          <w:highlight w:val="none"/>
        </w:rPr>
      </w:pPr>
    </w:p>
    <w:p w14:paraId="2E432B63">
      <w:pPr>
        <w:pStyle w:val="2"/>
        <w:spacing w:line="275" w:lineRule="auto"/>
        <w:rPr>
          <w:color w:val="auto"/>
          <w:highlight w:val="none"/>
        </w:rPr>
      </w:pPr>
    </w:p>
    <w:p w14:paraId="0DD768D5">
      <w:pPr>
        <w:pStyle w:val="2"/>
        <w:spacing w:line="275" w:lineRule="auto"/>
        <w:rPr>
          <w:color w:val="auto"/>
          <w:highlight w:val="none"/>
        </w:rPr>
      </w:pPr>
    </w:p>
    <w:p w14:paraId="2966B40D">
      <w:pPr>
        <w:spacing w:before="98" w:line="219" w:lineRule="auto"/>
        <w:ind w:left="280"/>
        <w:rPr>
          <w:rFonts w:hint="eastAsia" w:ascii="宋体" w:hAnsi="宋体" w:eastAsia="宋体" w:cs="宋体"/>
          <w:color w:val="auto"/>
          <w:sz w:val="30"/>
          <w:szCs w:val="30"/>
          <w:highlight w:val="none"/>
          <w:lang w:eastAsia="zh-CN"/>
        </w:rPr>
      </w:pPr>
      <w:r>
        <w:rPr>
          <w:rFonts w:ascii="宋体" w:hAnsi="宋体" w:eastAsia="宋体" w:cs="宋体"/>
          <w:b/>
          <w:bCs/>
          <w:color w:val="auto"/>
          <w:spacing w:val="3"/>
          <w:sz w:val="30"/>
          <w:szCs w:val="30"/>
          <w:highlight w:val="none"/>
        </w:rPr>
        <w:t>采购代理机构：</w:t>
      </w:r>
      <w:r>
        <w:rPr>
          <w:rFonts w:hint="eastAsia" w:ascii="宋体" w:hAnsi="宋体" w:eastAsia="宋体" w:cs="宋体"/>
          <w:b/>
          <w:bCs/>
          <w:color w:val="auto"/>
          <w:spacing w:val="3"/>
          <w:sz w:val="30"/>
          <w:szCs w:val="30"/>
          <w:highlight w:val="none"/>
          <w:lang w:eastAsia="zh-CN"/>
        </w:rPr>
        <w:t>乌鲁木齐鑫盛开源工程项目管理有限公司</w:t>
      </w:r>
    </w:p>
    <w:p w14:paraId="54B764CE">
      <w:pPr>
        <w:pStyle w:val="2"/>
        <w:spacing w:line="273" w:lineRule="auto"/>
        <w:rPr>
          <w:color w:val="auto"/>
          <w:highlight w:val="none"/>
        </w:rPr>
      </w:pPr>
    </w:p>
    <w:p w14:paraId="197E06D7">
      <w:pPr>
        <w:pStyle w:val="2"/>
        <w:spacing w:line="273" w:lineRule="auto"/>
        <w:rPr>
          <w:color w:val="auto"/>
          <w:highlight w:val="none"/>
        </w:rPr>
      </w:pPr>
    </w:p>
    <w:p w14:paraId="467F1F01">
      <w:pPr>
        <w:pStyle w:val="2"/>
        <w:spacing w:line="273" w:lineRule="auto"/>
        <w:rPr>
          <w:color w:val="auto"/>
          <w:highlight w:val="none"/>
        </w:rPr>
      </w:pPr>
    </w:p>
    <w:p w14:paraId="5A47700E">
      <w:pPr>
        <w:pStyle w:val="2"/>
        <w:spacing w:line="273" w:lineRule="auto"/>
        <w:rPr>
          <w:color w:val="auto"/>
          <w:highlight w:val="none"/>
        </w:rPr>
      </w:pPr>
    </w:p>
    <w:p w14:paraId="7FF3B9FC">
      <w:pPr>
        <w:pStyle w:val="2"/>
        <w:spacing w:line="273" w:lineRule="auto"/>
        <w:rPr>
          <w:color w:val="auto"/>
          <w:highlight w:val="none"/>
        </w:rPr>
      </w:pPr>
    </w:p>
    <w:p w14:paraId="22ADDBC0">
      <w:pPr>
        <w:spacing w:before="98" w:line="219" w:lineRule="auto"/>
        <w:ind w:left="3246"/>
        <w:rPr>
          <w:rFonts w:ascii="宋体" w:hAnsi="宋体" w:eastAsia="宋体" w:cs="宋体"/>
          <w:color w:val="auto"/>
          <w:sz w:val="30"/>
          <w:szCs w:val="30"/>
          <w:highlight w:val="none"/>
        </w:rPr>
        <w:sectPr>
          <w:headerReference r:id="rId5" w:type="default"/>
          <w:pgSz w:w="11850" w:h="16783"/>
          <w:pgMar w:top="1440" w:right="1800" w:bottom="1440" w:left="1800" w:header="0" w:footer="0" w:gutter="0"/>
          <w:cols w:space="720" w:num="1"/>
        </w:sectPr>
      </w:pPr>
      <w:r>
        <w:rPr>
          <w:rFonts w:ascii="宋体" w:hAnsi="宋体" w:eastAsia="宋体" w:cs="宋体"/>
          <w:b/>
          <w:bCs/>
          <w:color w:val="auto"/>
          <w:spacing w:val="-11"/>
          <w:sz w:val="30"/>
          <w:szCs w:val="30"/>
          <w:highlight w:val="none"/>
        </w:rPr>
        <w:t>202</w:t>
      </w:r>
      <w:r>
        <w:rPr>
          <w:rFonts w:hint="eastAsia" w:ascii="宋体" w:hAnsi="宋体" w:eastAsia="宋体" w:cs="宋体"/>
          <w:b/>
          <w:bCs/>
          <w:color w:val="auto"/>
          <w:spacing w:val="-11"/>
          <w:sz w:val="30"/>
          <w:szCs w:val="30"/>
          <w:highlight w:val="none"/>
          <w:lang w:val="en-US" w:eastAsia="zh-CN"/>
        </w:rPr>
        <w:t>5</w:t>
      </w:r>
      <w:r>
        <w:rPr>
          <w:rFonts w:ascii="宋体" w:hAnsi="宋体" w:eastAsia="宋体" w:cs="宋体"/>
          <w:b/>
          <w:bCs/>
          <w:color w:val="auto"/>
          <w:spacing w:val="-11"/>
          <w:sz w:val="30"/>
          <w:szCs w:val="30"/>
          <w:highlight w:val="none"/>
        </w:rPr>
        <w:t>年</w:t>
      </w:r>
      <w:r>
        <w:rPr>
          <w:rFonts w:hint="eastAsia" w:ascii="宋体" w:hAnsi="宋体" w:eastAsia="宋体" w:cs="宋体"/>
          <w:b/>
          <w:bCs/>
          <w:color w:val="auto"/>
          <w:spacing w:val="-11"/>
          <w:sz w:val="30"/>
          <w:szCs w:val="30"/>
          <w:highlight w:val="none"/>
          <w:lang w:val="en-US" w:eastAsia="zh-CN"/>
        </w:rPr>
        <w:t>6</w:t>
      </w:r>
      <w:r>
        <w:rPr>
          <w:rFonts w:ascii="宋体" w:hAnsi="宋体" w:eastAsia="宋体" w:cs="宋体"/>
          <w:b/>
          <w:bCs/>
          <w:color w:val="auto"/>
          <w:spacing w:val="-11"/>
          <w:sz w:val="30"/>
          <w:szCs w:val="30"/>
          <w:highlight w:val="none"/>
        </w:rPr>
        <w:t>月</w:t>
      </w:r>
    </w:p>
    <w:p w14:paraId="629E97D8">
      <w:pPr>
        <w:pStyle w:val="2"/>
        <w:spacing w:line="243" w:lineRule="auto"/>
        <w:rPr>
          <w:color w:val="auto"/>
          <w:highlight w:val="none"/>
        </w:rPr>
      </w:pPr>
    </w:p>
    <w:p w14:paraId="7B66CC6F">
      <w:pPr>
        <w:pStyle w:val="2"/>
        <w:spacing w:line="243" w:lineRule="auto"/>
        <w:rPr>
          <w:color w:val="auto"/>
          <w:highlight w:val="none"/>
        </w:rPr>
      </w:pPr>
    </w:p>
    <w:sdt>
      <w:sdtPr>
        <w:rPr>
          <w:rFonts w:ascii="宋体" w:hAnsi="宋体" w:eastAsia="宋体" w:cs="Arial"/>
          <w:snapToGrid w:val="0"/>
          <w:color w:val="auto"/>
          <w:kern w:val="0"/>
          <w:sz w:val="21"/>
          <w:szCs w:val="21"/>
          <w:highlight w:val="none"/>
          <w:lang w:val="en-US" w:eastAsia="en-US" w:bidi="ar-SA"/>
        </w:rPr>
        <w:id w:val="147472301"/>
        <w15:color w:val="DBDBDB"/>
        <w:docPartObj>
          <w:docPartGallery w:val="Table of Contents"/>
          <w:docPartUnique/>
        </w:docPartObj>
      </w:sdtPr>
      <w:sdtEndPr>
        <w:rPr>
          <w:rFonts w:ascii="宋体" w:hAnsi="宋体" w:eastAsia="宋体" w:cs="Arial"/>
          <w:snapToGrid w:val="0"/>
          <w:color w:val="auto"/>
          <w:kern w:val="0"/>
          <w:sz w:val="21"/>
          <w:szCs w:val="21"/>
          <w:highlight w:val="none"/>
          <w:lang w:val="en-US" w:eastAsia="en-US" w:bidi="ar-SA"/>
        </w:rPr>
      </w:sdtEndPr>
      <w:sdtContent>
        <w:p w14:paraId="5D413E69">
          <w:pPr>
            <w:keepNext w:val="0"/>
            <w:keepLines w:val="0"/>
            <w:pageBreakBefore w:val="0"/>
            <w:widowControl/>
            <w:wordWrap/>
            <w:overflowPunct/>
            <w:topLinePunct w:val="0"/>
            <w:bidi w:val="0"/>
            <w:spacing w:line="360" w:lineRule="auto"/>
            <w:ind w:left="0" w:leftChars="0" w:right="0" w:rightChars="0" w:firstLine="0" w:firstLineChars="0"/>
            <w:jc w:val="center"/>
            <w:rPr>
              <w:color w:val="auto"/>
              <w:highlight w:val="none"/>
            </w:rPr>
          </w:pPr>
          <w:bookmarkStart w:id="0" w:name="bookmark1"/>
          <w:bookmarkEnd w:id="0"/>
          <w:r>
            <w:rPr>
              <w:rFonts w:ascii="宋体" w:hAnsi="宋体" w:eastAsia="宋体"/>
              <w:color w:val="auto"/>
              <w:sz w:val="21"/>
              <w:highlight w:val="none"/>
            </w:rPr>
            <w:t>目录</w:t>
          </w:r>
        </w:p>
        <w:p w14:paraId="10052B38">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_Toc22297 </w:instrText>
          </w:r>
          <w:r>
            <w:rPr>
              <w:color w:val="auto"/>
              <w:highlight w:val="none"/>
            </w:rPr>
            <w:fldChar w:fldCharType="separate"/>
          </w:r>
          <w:r>
            <w:rPr>
              <w:rFonts w:ascii="宋体" w:hAnsi="宋体" w:eastAsia="宋体" w:cs="宋体"/>
              <w:bCs/>
              <w:color w:val="auto"/>
              <w:spacing w:val="6"/>
              <w:szCs w:val="31"/>
              <w:highlight w:val="none"/>
            </w:rPr>
            <w:t>第一章</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_Toc22297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F0CEAF0">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_Toc31792 </w:instrText>
          </w:r>
          <w:r>
            <w:rPr>
              <w:color w:val="auto"/>
              <w:highlight w:val="none"/>
            </w:rPr>
            <w:fldChar w:fldCharType="separate"/>
          </w:r>
          <w:r>
            <w:rPr>
              <w:rFonts w:ascii="宋体" w:hAnsi="宋体" w:eastAsia="宋体" w:cs="宋体"/>
              <w:bCs/>
              <w:color w:val="auto"/>
              <w:spacing w:val="6"/>
              <w:szCs w:val="31"/>
              <w:highlight w:val="none"/>
            </w:rPr>
            <w:t>第二章</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_Toc31792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755AFA7">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_Toc2167 </w:instrText>
          </w:r>
          <w:r>
            <w:rPr>
              <w:color w:val="auto"/>
              <w:highlight w:val="none"/>
            </w:rPr>
            <w:fldChar w:fldCharType="separate"/>
          </w:r>
          <w:r>
            <w:rPr>
              <w:rFonts w:ascii="宋体" w:hAnsi="宋体" w:eastAsia="宋体" w:cs="宋体"/>
              <w:bCs/>
              <w:color w:val="auto"/>
              <w:spacing w:val="5"/>
              <w:szCs w:val="31"/>
              <w:highlight w:val="none"/>
            </w:rPr>
            <w:t>第三章</w:t>
          </w:r>
          <w:r>
            <w:rPr>
              <w:rFonts w:ascii="宋体" w:hAnsi="宋体" w:eastAsia="宋体" w:cs="宋体"/>
              <w:color w:val="auto"/>
              <w:spacing w:val="5"/>
              <w:szCs w:val="31"/>
              <w:highlight w:val="none"/>
            </w:rPr>
            <w:t xml:space="preserve">  </w:t>
          </w:r>
          <w:r>
            <w:rPr>
              <w:rFonts w:ascii="宋体" w:hAnsi="宋体" w:eastAsia="宋体" w:cs="宋体"/>
              <w:bCs/>
              <w:color w:val="auto"/>
              <w:spacing w:val="5"/>
              <w:szCs w:val="31"/>
              <w:highlight w:val="none"/>
            </w:rPr>
            <w:t>投标须知</w:t>
          </w:r>
          <w:r>
            <w:rPr>
              <w:color w:val="auto"/>
              <w:highlight w:val="none"/>
            </w:rPr>
            <w:tab/>
          </w:r>
          <w:r>
            <w:rPr>
              <w:color w:val="auto"/>
              <w:highlight w:val="none"/>
            </w:rPr>
            <w:fldChar w:fldCharType="begin"/>
          </w:r>
          <w:r>
            <w:rPr>
              <w:color w:val="auto"/>
              <w:highlight w:val="none"/>
            </w:rPr>
            <w:instrText xml:space="preserve"> PAGEREF _Toc2167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068D32B">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_Toc4458 </w:instrText>
          </w:r>
          <w:r>
            <w:rPr>
              <w:color w:val="auto"/>
              <w:highlight w:val="none"/>
            </w:rPr>
            <w:fldChar w:fldCharType="separate"/>
          </w:r>
          <w:r>
            <w:rPr>
              <w:rFonts w:ascii="宋体" w:hAnsi="宋体" w:eastAsia="宋体" w:cs="宋体"/>
              <w:bCs/>
              <w:color w:val="auto"/>
              <w:spacing w:val="-8"/>
              <w:szCs w:val="24"/>
              <w:highlight w:val="none"/>
            </w:rPr>
            <w:t>第一节</w:t>
          </w:r>
          <w:r>
            <w:rPr>
              <w:rFonts w:ascii="宋体" w:hAnsi="宋体" w:eastAsia="宋体" w:cs="宋体"/>
              <w:color w:val="auto"/>
              <w:spacing w:val="21"/>
              <w:szCs w:val="24"/>
              <w:highlight w:val="none"/>
            </w:rPr>
            <w:t xml:space="preserve"> </w:t>
          </w:r>
          <w:r>
            <w:rPr>
              <w:rFonts w:ascii="宋体" w:hAnsi="宋体" w:eastAsia="宋体" w:cs="宋体"/>
              <w:bCs/>
              <w:color w:val="auto"/>
              <w:spacing w:val="-8"/>
              <w:szCs w:val="24"/>
              <w:highlight w:val="none"/>
            </w:rPr>
            <w:t>总则</w:t>
          </w:r>
          <w:r>
            <w:rPr>
              <w:color w:val="auto"/>
              <w:highlight w:val="none"/>
            </w:rPr>
            <w:tab/>
          </w:r>
          <w:r>
            <w:rPr>
              <w:color w:val="auto"/>
              <w:highlight w:val="none"/>
            </w:rPr>
            <w:fldChar w:fldCharType="begin"/>
          </w:r>
          <w:r>
            <w:rPr>
              <w:color w:val="auto"/>
              <w:highlight w:val="none"/>
            </w:rPr>
            <w:instrText xml:space="preserve"> PAGEREF _Toc4458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CC6E5EC">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_Toc19434 </w:instrText>
          </w:r>
          <w:r>
            <w:rPr>
              <w:color w:val="auto"/>
              <w:highlight w:val="none"/>
            </w:rPr>
            <w:fldChar w:fldCharType="separate"/>
          </w:r>
          <w:r>
            <w:rPr>
              <w:rFonts w:ascii="宋体" w:hAnsi="宋体" w:eastAsia="宋体" w:cs="宋体"/>
              <w:bCs/>
              <w:color w:val="auto"/>
              <w:spacing w:val="-3"/>
              <w:szCs w:val="24"/>
              <w:highlight w:val="none"/>
            </w:rPr>
            <w:t>第二节</w:t>
          </w:r>
          <w:r>
            <w:rPr>
              <w:rFonts w:ascii="宋体" w:hAnsi="宋体" w:eastAsia="宋体" w:cs="宋体"/>
              <w:color w:val="auto"/>
              <w:spacing w:val="-3"/>
              <w:szCs w:val="24"/>
              <w:highlight w:val="none"/>
            </w:rPr>
            <w:t xml:space="preserve"> </w:t>
          </w:r>
          <w:r>
            <w:rPr>
              <w:rFonts w:ascii="宋体" w:hAnsi="宋体" w:eastAsia="宋体" w:cs="宋体"/>
              <w:bCs/>
              <w:color w:val="auto"/>
              <w:spacing w:val="-3"/>
              <w:szCs w:val="24"/>
              <w:highlight w:val="none"/>
            </w:rPr>
            <w:t>磋商文件</w:t>
          </w:r>
          <w:r>
            <w:rPr>
              <w:color w:val="auto"/>
              <w:highlight w:val="none"/>
            </w:rPr>
            <w:tab/>
          </w:r>
          <w:r>
            <w:rPr>
              <w:color w:val="auto"/>
              <w:highlight w:val="none"/>
            </w:rPr>
            <w:fldChar w:fldCharType="begin"/>
          </w:r>
          <w:r>
            <w:rPr>
              <w:color w:val="auto"/>
              <w:highlight w:val="none"/>
            </w:rPr>
            <w:instrText xml:space="preserve"> PAGEREF _Toc19434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1B3B0E8">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_Toc16465 </w:instrText>
          </w:r>
          <w:r>
            <w:rPr>
              <w:color w:val="auto"/>
              <w:highlight w:val="none"/>
            </w:rPr>
            <w:fldChar w:fldCharType="separate"/>
          </w:r>
          <w:r>
            <w:rPr>
              <w:rFonts w:ascii="宋体" w:hAnsi="宋体" w:eastAsia="宋体" w:cs="宋体"/>
              <w:bCs/>
              <w:color w:val="auto"/>
              <w:spacing w:val="-7"/>
              <w:szCs w:val="24"/>
              <w:highlight w:val="none"/>
            </w:rPr>
            <w:t>第三节</w:t>
          </w:r>
          <w:r>
            <w:rPr>
              <w:rFonts w:ascii="宋体" w:hAnsi="宋体" w:eastAsia="宋体" w:cs="宋体"/>
              <w:color w:val="auto"/>
              <w:spacing w:val="25"/>
              <w:szCs w:val="24"/>
              <w:highlight w:val="none"/>
            </w:rPr>
            <w:t xml:space="preserve"> </w:t>
          </w:r>
          <w:r>
            <w:rPr>
              <w:rFonts w:ascii="宋体" w:hAnsi="宋体" w:eastAsia="宋体" w:cs="宋体"/>
              <w:bCs/>
              <w:color w:val="auto"/>
              <w:spacing w:val="-7"/>
              <w:szCs w:val="24"/>
              <w:highlight w:val="none"/>
            </w:rPr>
            <w:t>响应文件</w:t>
          </w:r>
          <w:r>
            <w:rPr>
              <w:color w:val="auto"/>
              <w:highlight w:val="none"/>
            </w:rPr>
            <w:tab/>
          </w:r>
          <w:r>
            <w:rPr>
              <w:color w:val="auto"/>
              <w:highlight w:val="none"/>
            </w:rPr>
            <w:fldChar w:fldCharType="begin"/>
          </w:r>
          <w:r>
            <w:rPr>
              <w:color w:val="auto"/>
              <w:highlight w:val="none"/>
            </w:rPr>
            <w:instrText xml:space="preserve"> PAGEREF _Toc16465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5B1836D">
          <w:pPr>
            <w:pStyle w:val="8"/>
            <w:keepNext w:val="0"/>
            <w:keepLines w:val="0"/>
            <w:pageBreakBefore w:val="0"/>
            <w:widowControl/>
            <w:tabs>
              <w:tab w:val="right" w:leader="dot" w:pos="8306"/>
            </w:tabs>
            <w:wordWrap/>
            <w:overflowPunct/>
            <w:topLinePunct w:val="0"/>
            <w:bidi w:val="0"/>
            <w:spacing w:line="360" w:lineRule="auto"/>
            <w:ind w:left="0" w:leftChars="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_Toc19352 </w:instrText>
          </w:r>
          <w:r>
            <w:rPr>
              <w:color w:val="auto"/>
              <w:highlight w:val="none"/>
            </w:rPr>
            <w:fldChar w:fldCharType="separate"/>
          </w:r>
          <w:r>
            <w:rPr>
              <w:rFonts w:ascii="宋体" w:hAnsi="宋体" w:eastAsia="宋体" w:cs="宋体"/>
              <w:bCs/>
              <w:color w:val="auto"/>
              <w:spacing w:val="-6"/>
              <w:szCs w:val="24"/>
              <w:highlight w:val="none"/>
            </w:rPr>
            <w:t>第四节</w:t>
          </w:r>
          <w:r>
            <w:rPr>
              <w:rFonts w:ascii="宋体" w:hAnsi="宋体" w:eastAsia="宋体" w:cs="宋体"/>
              <w:color w:val="auto"/>
              <w:spacing w:val="12"/>
              <w:szCs w:val="24"/>
              <w:highlight w:val="none"/>
            </w:rPr>
            <w:t xml:space="preserve"> </w:t>
          </w:r>
          <w:r>
            <w:rPr>
              <w:rFonts w:ascii="宋体" w:hAnsi="宋体" w:eastAsia="宋体" w:cs="宋体"/>
              <w:bCs/>
              <w:color w:val="auto"/>
              <w:spacing w:val="-6"/>
              <w:szCs w:val="24"/>
              <w:highlight w:val="none"/>
            </w:rPr>
            <w:t>开标</w:t>
          </w:r>
          <w:r>
            <w:rPr>
              <w:color w:val="auto"/>
              <w:highlight w:val="none"/>
            </w:rPr>
            <w:tab/>
          </w:r>
          <w:r>
            <w:rPr>
              <w:rFonts w:hint="eastAsia" w:eastAsia="宋体"/>
              <w:color w:val="auto"/>
              <w:highlight w:val="none"/>
              <w:lang w:val="en-US" w:eastAsia="zh-CN"/>
            </w:rPr>
            <w:t>2</w:t>
          </w:r>
          <w:r>
            <w:rPr>
              <w:color w:val="auto"/>
              <w:highlight w:val="none"/>
            </w:rPr>
            <w:fldChar w:fldCharType="end"/>
          </w:r>
          <w:r>
            <w:rPr>
              <w:rFonts w:hint="eastAsia" w:eastAsia="宋体"/>
              <w:color w:val="auto"/>
              <w:highlight w:val="none"/>
              <w:lang w:val="en-US" w:eastAsia="zh-CN"/>
            </w:rPr>
            <w:t>4</w:t>
          </w:r>
        </w:p>
        <w:p w14:paraId="6B7E46A6">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_Toc13251 </w:instrText>
          </w:r>
          <w:r>
            <w:rPr>
              <w:color w:val="auto"/>
              <w:highlight w:val="none"/>
            </w:rPr>
            <w:fldChar w:fldCharType="separate"/>
          </w:r>
          <w:r>
            <w:rPr>
              <w:rFonts w:ascii="宋体" w:hAnsi="宋体" w:eastAsia="宋体" w:cs="宋体"/>
              <w:bCs/>
              <w:color w:val="auto"/>
              <w:spacing w:val="-3"/>
              <w:szCs w:val="24"/>
              <w:highlight w:val="none"/>
            </w:rPr>
            <w:t>第五节</w:t>
          </w:r>
          <w:r>
            <w:rPr>
              <w:rFonts w:ascii="宋体" w:hAnsi="宋体" w:eastAsia="宋体" w:cs="宋体"/>
              <w:color w:val="auto"/>
              <w:spacing w:val="-3"/>
              <w:szCs w:val="24"/>
              <w:highlight w:val="none"/>
            </w:rPr>
            <w:t xml:space="preserve"> </w:t>
          </w:r>
          <w:r>
            <w:rPr>
              <w:rFonts w:ascii="宋体" w:hAnsi="宋体" w:eastAsia="宋体" w:cs="宋体"/>
              <w:bCs/>
              <w:color w:val="auto"/>
              <w:spacing w:val="-3"/>
              <w:szCs w:val="24"/>
              <w:highlight w:val="none"/>
            </w:rPr>
            <w:t>合同授予</w:t>
          </w:r>
          <w:r>
            <w:rPr>
              <w:color w:val="auto"/>
              <w:highlight w:val="none"/>
            </w:rPr>
            <w:tab/>
          </w:r>
          <w:r>
            <w:rPr>
              <w:color w:val="auto"/>
              <w:highlight w:val="none"/>
            </w:rPr>
            <w:fldChar w:fldCharType="begin"/>
          </w:r>
          <w:r>
            <w:rPr>
              <w:color w:val="auto"/>
              <w:highlight w:val="none"/>
            </w:rPr>
            <w:instrText xml:space="preserve"> PAGEREF _Toc13251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6DBB8EE3">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_Toc21228 </w:instrText>
          </w:r>
          <w:r>
            <w:rPr>
              <w:color w:val="auto"/>
              <w:highlight w:val="none"/>
            </w:rPr>
            <w:fldChar w:fldCharType="separate"/>
          </w:r>
          <w:r>
            <w:rPr>
              <w:rFonts w:ascii="宋体" w:hAnsi="宋体" w:eastAsia="宋体" w:cs="宋体"/>
              <w:bCs/>
              <w:color w:val="auto"/>
              <w:spacing w:val="-3"/>
              <w:szCs w:val="24"/>
              <w:highlight w:val="none"/>
            </w:rPr>
            <w:t>第六节</w:t>
          </w:r>
          <w:r>
            <w:rPr>
              <w:rFonts w:ascii="宋体" w:hAnsi="宋体" w:eastAsia="宋体" w:cs="宋体"/>
              <w:color w:val="auto"/>
              <w:spacing w:val="-3"/>
              <w:szCs w:val="24"/>
              <w:highlight w:val="none"/>
            </w:rPr>
            <w:t xml:space="preserve"> </w:t>
          </w:r>
          <w:r>
            <w:rPr>
              <w:rFonts w:ascii="宋体" w:hAnsi="宋体" w:eastAsia="宋体" w:cs="宋体"/>
              <w:bCs/>
              <w:color w:val="auto"/>
              <w:spacing w:val="-3"/>
              <w:szCs w:val="24"/>
              <w:highlight w:val="none"/>
            </w:rPr>
            <w:t>重新招标和不再招标</w:t>
          </w:r>
          <w:r>
            <w:rPr>
              <w:color w:val="auto"/>
              <w:highlight w:val="none"/>
            </w:rPr>
            <w:tab/>
          </w:r>
          <w:r>
            <w:rPr>
              <w:color w:val="auto"/>
              <w:highlight w:val="none"/>
            </w:rPr>
            <w:fldChar w:fldCharType="begin"/>
          </w:r>
          <w:r>
            <w:rPr>
              <w:color w:val="auto"/>
              <w:highlight w:val="none"/>
            </w:rPr>
            <w:instrText xml:space="preserve"> PAGEREF _Toc21228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0B7B8BC">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_Toc19810 </w:instrText>
          </w:r>
          <w:r>
            <w:rPr>
              <w:color w:val="auto"/>
              <w:highlight w:val="none"/>
            </w:rPr>
            <w:fldChar w:fldCharType="separate"/>
          </w:r>
          <w:r>
            <w:rPr>
              <w:rFonts w:ascii="宋体" w:hAnsi="宋体" w:eastAsia="宋体" w:cs="宋体"/>
              <w:bCs/>
              <w:color w:val="auto"/>
              <w:spacing w:val="-3"/>
              <w:szCs w:val="24"/>
              <w:highlight w:val="none"/>
            </w:rPr>
            <w:t>第七节</w:t>
          </w:r>
          <w:r>
            <w:rPr>
              <w:rFonts w:ascii="宋体" w:hAnsi="宋体" w:eastAsia="宋体" w:cs="宋体"/>
              <w:color w:val="auto"/>
              <w:spacing w:val="-3"/>
              <w:szCs w:val="24"/>
              <w:highlight w:val="none"/>
            </w:rPr>
            <w:t xml:space="preserve"> </w:t>
          </w:r>
          <w:r>
            <w:rPr>
              <w:rFonts w:ascii="宋体" w:hAnsi="宋体" w:eastAsia="宋体" w:cs="宋体"/>
              <w:bCs/>
              <w:color w:val="auto"/>
              <w:spacing w:val="-3"/>
              <w:szCs w:val="24"/>
              <w:highlight w:val="none"/>
            </w:rPr>
            <w:t>纪律和监督</w:t>
          </w:r>
          <w:r>
            <w:rPr>
              <w:color w:val="auto"/>
              <w:highlight w:val="none"/>
            </w:rPr>
            <w:tab/>
          </w:r>
          <w:r>
            <w:rPr>
              <w:color w:val="auto"/>
              <w:highlight w:val="none"/>
            </w:rPr>
            <w:fldChar w:fldCharType="begin"/>
          </w:r>
          <w:r>
            <w:rPr>
              <w:color w:val="auto"/>
              <w:highlight w:val="none"/>
            </w:rPr>
            <w:instrText xml:space="preserve"> PAGEREF _Toc19810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CA5EDE4">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_Toc31074 </w:instrText>
          </w:r>
          <w:r>
            <w:rPr>
              <w:color w:val="auto"/>
              <w:highlight w:val="none"/>
            </w:rPr>
            <w:fldChar w:fldCharType="separate"/>
          </w:r>
          <w:r>
            <w:rPr>
              <w:rFonts w:ascii="宋体" w:hAnsi="宋体" w:eastAsia="宋体" w:cs="宋体"/>
              <w:bCs/>
              <w:color w:val="auto"/>
              <w:spacing w:val="-3"/>
              <w:szCs w:val="24"/>
              <w:highlight w:val="none"/>
            </w:rPr>
            <w:t>第八节</w:t>
          </w:r>
          <w:r>
            <w:rPr>
              <w:rFonts w:ascii="宋体" w:hAnsi="宋体" w:eastAsia="宋体" w:cs="宋体"/>
              <w:color w:val="auto"/>
              <w:spacing w:val="-3"/>
              <w:szCs w:val="24"/>
              <w:highlight w:val="none"/>
            </w:rPr>
            <w:t xml:space="preserve"> </w:t>
          </w:r>
          <w:r>
            <w:rPr>
              <w:rFonts w:ascii="宋体" w:hAnsi="宋体" w:eastAsia="宋体" w:cs="宋体"/>
              <w:bCs/>
              <w:color w:val="auto"/>
              <w:spacing w:val="-3"/>
              <w:szCs w:val="24"/>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_Toc31074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4FF606C0">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_Toc31146 </w:instrText>
          </w:r>
          <w:r>
            <w:rPr>
              <w:color w:val="auto"/>
              <w:highlight w:val="none"/>
            </w:rPr>
            <w:fldChar w:fldCharType="separate"/>
          </w:r>
          <w:r>
            <w:rPr>
              <w:rFonts w:ascii="宋体" w:hAnsi="宋体" w:eastAsia="宋体" w:cs="宋体"/>
              <w:bCs/>
              <w:color w:val="auto"/>
              <w:spacing w:val="6"/>
              <w:szCs w:val="31"/>
              <w:highlight w:val="none"/>
            </w:rPr>
            <w:t>第四章</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评标办法</w:t>
          </w:r>
          <w:r>
            <w:rPr>
              <w:color w:val="auto"/>
              <w:highlight w:val="none"/>
            </w:rPr>
            <w:tab/>
          </w:r>
          <w:r>
            <w:rPr>
              <w:color w:val="auto"/>
              <w:highlight w:val="none"/>
            </w:rPr>
            <w:fldChar w:fldCharType="begin"/>
          </w:r>
          <w:r>
            <w:rPr>
              <w:color w:val="auto"/>
              <w:highlight w:val="none"/>
            </w:rPr>
            <w:instrText xml:space="preserve"> PAGEREF _Toc31146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2A58A761">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_Toc10411 </w:instrText>
          </w:r>
          <w:r>
            <w:rPr>
              <w:color w:val="auto"/>
              <w:highlight w:val="none"/>
            </w:rPr>
            <w:fldChar w:fldCharType="separate"/>
          </w:r>
          <w:r>
            <w:rPr>
              <w:rFonts w:ascii="宋体" w:hAnsi="宋体" w:eastAsia="宋体" w:cs="宋体"/>
              <w:bCs/>
              <w:color w:val="auto"/>
              <w:spacing w:val="6"/>
              <w:szCs w:val="31"/>
              <w:highlight w:val="none"/>
            </w:rPr>
            <w:t>第五章</w:t>
          </w:r>
          <w:r>
            <w:rPr>
              <w:rFonts w:ascii="宋体" w:hAnsi="宋体" w:eastAsia="宋体" w:cs="宋体"/>
              <w:color w:val="auto"/>
              <w:spacing w:val="6"/>
              <w:szCs w:val="31"/>
              <w:highlight w:val="none"/>
            </w:rPr>
            <w:t xml:space="preserve">  </w:t>
          </w:r>
          <w:r>
            <w:rPr>
              <w:rFonts w:ascii="宋体" w:hAnsi="宋体" w:eastAsia="宋体" w:cs="宋体"/>
              <w:bCs/>
              <w:color w:val="auto"/>
              <w:spacing w:val="6"/>
              <w:szCs w:val="31"/>
              <w:highlight w:val="none"/>
            </w:rPr>
            <w:t>合同条款及格</w:t>
          </w:r>
          <w:r>
            <w:rPr>
              <w:rFonts w:hint="eastAsia" w:ascii="宋体" w:hAnsi="宋体" w:eastAsia="宋体" w:cs="宋体"/>
              <w:bCs/>
              <w:color w:val="auto"/>
              <w:spacing w:val="6"/>
              <w:szCs w:val="31"/>
              <w:highlight w:val="none"/>
              <w:lang w:val="en-US" w:eastAsia="zh-CN"/>
            </w:rPr>
            <w:t>式</w:t>
          </w:r>
          <w:r>
            <w:rPr>
              <w:color w:val="auto"/>
              <w:highlight w:val="none"/>
            </w:rPr>
            <w:tab/>
          </w:r>
          <w:r>
            <w:rPr>
              <w:color w:val="auto"/>
              <w:highlight w:val="none"/>
            </w:rPr>
            <w:fldChar w:fldCharType="begin"/>
          </w:r>
          <w:r>
            <w:rPr>
              <w:color w:val="auto"/>
              <w:highlight w:val="none"/>
            </w:rPr>
            <w:instrText xml:space="preserve"> PAGEREF _Toc10411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7659726F">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_Toc5643 </w:instrText>
          </w:r>
          <w:r>
            <w:rPr>
              <w:color w:val="auto"/>
              <w:highlight w:val="none"/>
            </w:rPr>
            <w:fldChar w:fldCharType="separate"/>
          </w:r>
          <w:r>
            <w:rPr>
              <w:rFonts w:ascii="宋体" w:hAnsi="宋体" w:eastAsia="宋体" w:cs="宋体"/>
              <w:bCs/>
              <w:color w:val="auto"/>
              <w:spacing w:val="-6"/>
              <w:szCs w:val="24"/>
              <w:highlight w:val="none"/>
            </w:rPr>
            <w:t>第</w:t>
          </w:r>
          <w:r>
            <w:rPr>
              <w:rFonts w:ascii="宋体" w:hAnsi="宋体" w:eastAsia="宋体" w:cs="宋体"/>
              <w:color w:val="auto"/>
              <w:spacing w:val="-30"/>
              <w:szCs w:val="24"/>
              <w:highlight w:val="none"/>
            </w:rPr>
            <w:t xml:space="preserve"> </w:t>
          </w:r>
          <w:r>
            <w:rPr>
              <w:rFonts w:ascii="宋体" w:hAnsi="宋体" w:eastAsia="宋体" w:cs="宋体"/>
              <w:bCs/>
              <w:color w:val="auto"/>
              <w:spacing w:val="-6"/>
              <w:szCs w:val="24"/>
              <w:highlight w:val="none"/>
            </w:rPr>
            <w:t>1</w:t>
          </w:r>
          <w:r>
            <w:rPr>
              <w:rFonts w:ascii="宋体" w:hAnsi="宋体" w:eastAsia="宋体" w:cs="宋体"/>
              <w:color w:val="auto"/>
              <w:spacing w:val="-48"/>
              <w:szCs w:val="24"/>
              <w:highlight w:val="none"/>
            </w:rPr>
            <w:t xml:space="preserve"> </w:t>
          </w:r>
          <w:r>
            <w:rPr>
              <w:rFonts w:ascii="宋体" w:hAnsi="宋体" w:eastAsia="宋体" w:cs="宋体"/>
              <w:bCs/>
              <w:color w:val="auto"/>
              <w:spacing w:val="-6"/>
              <w:szCs w:val="24"/>
              <w:highlight w:val="none"/>
            </w:rPr>
            <w:t>节</w:t>
          </w:r>
          <w:r>
            <w:rPr>
              <w:rFonts w:ascii="宋体" w:hAnsi="宋体" w:eastAsia="宋体" w:cs="宋体"/>
              <w:color w:val="auto"/>
              <w:spacing w:val="-6"/>
              <w:szCs w:val="24"/>
              <w:highlight w:val="none"/>
            </w:rPr>
            <w:t xml:space="preserve">  </w:t>
          </w:r>
          <w:r>
            <w:rPr>
              <w:rFonts w:ascii="宋体" w:hAnsi="宋体" w:eastAsia="宋体" w:cs="宋体"/>
              <w:bCs/>
              <w:color w:val="auto"/>
              <w:spacing w:val="-6"/>
              <w:szCs w:val="24"/>
              <w:highlight w:val="none"/>
            </w:rPr>
            <w:t>通用合同条款</w:t>
          </w:r>
          <w:r>
            <w:rPr>
              <w:color w:val="auto"/>
              <w:highlight w:val="none"/>
            </w:rPr>
            <w:tab/>
          </w:r>
          <w:r>
            <w:rPr>
              <w:color w:val="auto"/>
              <w:highlight w:val="none"/>
            </w:rPr>
            <w:fldChar w:fldCharType="begin"/>
          </w:r>
          <w:r>
            <w:rPr>
              <w:color w:val="auto"/>
              <w:highlight w:val="none"/>
            </w:rPr>
            <w:instrText xml:space="preserve"> PAGEREF _Toc5643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3F69E94">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_Toc241 </w:instrText>
          </w:r>
          <w:r>
            <w:rPr>
              <w:color w:val="auto"/>
              <w:highlight w:val="none"/>
            </w:rPr>
            <w:fldChar w:fldCharType="separate"/>
          </w:r>
          <w:r>
            <w:rPr>
              <w:rFonts w:ascii="宋体" w:hAnsi="宋体" w:eastAsia="宋体" w:cs="宋体"/>
              <w:bCs/>
              <w:color w:val="auto"/>
              <w:spacing w:val="-5"/>
              <w:szCs w:val="28"/>
              <w:highlight w:val="none"/>
            </w:rPr>
            <w:t>第</w:t>
          </w:r>
          <w:r>
            <w:rPr>
              <w:rFonts w:ascii="宋体" w:hAnsi="宋体" w:eastAsia="宋体" w:cs="宋体"/>
              <w:color w:val="auto"/>
              <w:spacing w:val="-55"/>
              <w:szCs w:val="28"/>
              <w:highlight w:val="none"/>
            </w:rPr>
            <w:t xml:space="preserve"> </w:t>
          </w:r>
          <w:r>
            <w:rPr>
              <w:rFonts w:ascii="宋体" w:hAnsi="宋体" w:eastAsia="宋体" w:cs="宋体"/>
              <w:bCs/>
              <w:color w:val="auto"/>
              <w:spacing w:val="-5"/>
              <w:szCs w:val="28"/>
              <w:highlight w:val="none"/>
            </w:rPr>
            <w:t>2</w:t>
          </w:r>
          <w:r>
            <w:rPr>
              <w:rFonts w:ascii="宋体" w:hAnsi="宋体" w:eastAsia="宋体" w:cs="宋体"/>
              <w:color w:val="auto"/>
              <w:spacing w:val="-58"/>
              <w:szCs w:val="28"/>
              <w:highlight w:val="none"/>
            </w:rPr>
            <w:t xml:space="preserve"> </w:t>
          </w:r>
          <w:r>
            <w:rPr>
              <w:rFonts w:ascii="宋体" w:hAnsi="宋体" w:eastAsia="宋体" w:cs="宋体"/>
              <w:bCs/>
              <w:color w:val="auto"/>
              <w:spacing w:val="-5"/>
              <w:szCs w:val="28"/>
              <w:highlight w:val="none"/>
            </w:rPr>
            <w:t>节</w:t>
          </w:r>
          <w:r>
            <w:rPr>
              <w:rFonts w:ascii="宋体" w:hAnsi="宋体" w:eastAsia="宋体" w:cs="宋体"/>
              <w:color w:val="auto"/>
              <w:spacing w:val="-5"/>
              <w:szCs w:val="28"/>
              <w:highlight w:val="none"/>
            </w:rPr>
            <w:t xml:space="preserve">  </w:t>
          </w:r>
          <w:r>
            <w:rPr>
              <w:rFonts w:ascii="宋体" w:hAnsi="宋体" w:eastAsia="宋体" w:cs="宋体"/>
              <w:bCs/>
              <w:color w:val="auto"/>
              <w:spacing w:val="-5"/>
              <w:szCs w:val="28"/>
              <w:highlight w:val="none"/>
            </w:rPr>
            <w:t>专用合同条款</w:t>
          </w:r>
          <w:r>
            <w:rPr>
              <w:color w:val="auto"/>
              <w:highlight w:val="none"/>
            </w:rPr>
            <w:tab/>
          </w:r>
          <w:r>
            <w:rPr>
              <w:color w:val="auto"/>
              <w:highlight w:val="none"/>
            </w:rPr>
            <w:fldChar w:fldCharType="begin"/>
          </w:r>
          <w:r>
            <w:rPr>
              <w:color w:val="auto"/>
              <w:highlight w:val="none"/>
            </w:rPr>
            <w:instrText xml:space="preserve"> PAGEREF _Toc241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4C989142">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_Toc152 </w:instrText>
          </w:r>
          <w:r>
            <w:rPr>
              <w:color w:val="auto"/>
              <w:highlight w:val="none"/>
            </w:rPr>
            <w:fldChar w:fldCharType="separate"/>
          </w:r>
          <w:r>
            <w:rPr>
              <w:rFonts w:ascii="宋体" w:hAnsi="宋体" w:eastAsia="宋体" w:cs="宋体"/>
              <w:bCs/>
              <w:color w:val="auto"/>
              <w:spacing w:val="-5"/>
              <w:szCs w:val="24"/>
              <w:highlight w:val="none"/>
            </w:rPr>
            <w:t>第</w:t>
          </w:r>
          <w:r>
            <w:rPr>
              <w:rFonts w:ascii="宋体" w:hAnsi="宋体" w:eastAsia="宋体" w:cs="宋体"/>
              <w:color w:val="auto"/>
              <w:spacing w:val="-41"/>
              <w:szCs w:val="24"/>
              <w:highlight w:val="none"/>
            </w:rPr>
            <w:t xml:space="preserve"> </w:t>
          </w:r>
          <w:r>
            <w:rPr>
              <w:rFonts w:ascii="宋体" w:hAnsi="宋体" w:eastAsia="宋体" w:cs="宋体"/>
              <w:bCs/>
              <w:color w:val="auto"/>
              <w:spacing w:val="-5"/>
              <w:szCs w:val="24"/>
              <w:highlight w:val="none"/>
            </w:rPr>
            <w:t>3</w:t>
          </w:r>
          <w:r>
            <w:rPr>
              <w:rFonts w:ascii="宋体" w:hAnsi="宋体" w:eastAsia="宋体" w:cs="宋体"/>
              <w:color w:val="auto"/>
              <w:spacing w:val="-48"/>
              <w:szCs w:val="24"/>
              <w:highlight w:val="none"/>
            </w:rPr>
            <w:t xml:space="preserve"> </w:t>
          </w:r>
          <w:r>
            <w:rPr>
              <w:rFonts w:ascii="宋体" w:hAnsi="宋体" w:eastAsia="宋体" w:cs="宋体"/>
              <w:bCs/>
              <w:color w:val="auto"/>
              <w:spacing w:val="-5"/>
              <w:szCs w:val="24"/>
              <w:highlight w:val="none"/>
            </w:rPr>
            <w:t>节</w:t>
          </w:r>
          <w:r>
            <w:rPr>
              <w:rFonts w:ascii="宋体" w:hAnsi="宋体" w:eastAsia="宋体" w:cs="宋体"/>
              <w:color w:val="auto"/>
              <w:spacing w:val="-5"/>
              <w:szCs w:val="24"/>
              <w:highlight w:val="none"/>
            </w:rPr>
            <w:t xml:space="preserve">  </w:t>
          </w:r>
          <w:r>
            <w:rPr>
              <w:rFonts w:ascii="宋体" w:hAnsi="宋体" w:eastAsia="宋体" w:cs="宋体"/>
              <w:bCs/>
              <w:color w:val="auto"/>
              <w:spacing w:val="-5"/>
              <w:szCs w:val="24"/>
              <w:highlight w:val="none"/>
            </w:rPr>
            <w:t>合同附件格式</w:t>
          </w:r>
          <w:r>
            <w:rPr>
              <w:color w:val="auto"/>
              <w:highlight w:val="none"/>
            </w:rPr>
            <w:tab/>
          </w:r>
          <w:r>
            <w:rPr>
              <w:color w:val="auto"/>
              <w:highlight w:val="none"/>
            </w:rPr>
            <w:fldChar w:fldCharType="begin"/>
          </w:r>
          <w:r>
            <w:rPr>
              <w:color w:val="auto"/>
              <w:highlight w:val="none"/>
            </w:rPr>
            <w:instrText xml:space="preserve"> PAGEREF _Toc152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E8183C1">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_Toc29768 </w:instrText>
          </w:r>
          <w:r>
            <w:rPr>
              <w:color w:val="auto"/>
              <w:highlight w:val="none"/>
            </w:rPr>
            <w:fldChar w:fldCharType="separate"/>
          </w:r>
          <w:r>
            <w:rPr>
              <w:rFonts w:ascii="宋体" w:hAnsi="宋体" w:eastAsia="宋体" w:cs="宋体"/>
              <w:color w:val="auto"/>
              <w:spacing w:val="8"/>
              <w:szCs w:val="20"/>
              <w:highlight w:val="none"/>
            </w:rPr>
            <w:t>注：委托代理人应付授权委托书。</w:t>
          </w:r>
          <w:r>
            <w:rPr>
              <w:color w:val="auto"/>
              <w:highlight w:val="none"/>
            </w:rPr>
            <w:tab/>
          </w:r>
          <w:r>
            <w:rPr>
              <w:color w:val="auto"/>
              <w:highlight w:val="none"/>
            </w:rPr>
            <w:fldChar w:fldCharType="begin"/>
          </w:r>
          <w:r>
            <w:rPr>
              <w:color w:val="auto"/>
              <w:highlight w:val="none"/>
            </w:rPr>
            <w:instrText xml:space="preserve"> PAGEREF _Toc29768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11CF8D45">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_Toc26172 </w:instrText>
          </w:r>
          <w:r>
            <w:rPr>
              <w:color w:val="auto"/>
              <w:highlight w:val="none"/>
            </w:rPr>
            <w:fldChar w:fldCharType="separate"/>
          </w:r>
          <w:r>
            <w:rPr>
              <w:rFonts w:hint="eastAsia" w:ascii="宋体" w:hAnsi="宋体" w:eastAsia="宋体" w:cs="宋体"/>
              <w:bCs/>
              <w:color w:val="auto"/>
              <w:spacing w:val="8"/>
              <w:szCs w:val="36"/>
              <w:highlight w:val="none"/>
              <w:lang w:val="en-US" w:eastAsia="zh-CN"/>
            </w:rPr>
            <w:t>第六章 技术标准和要求</w:t>
          </w:r>
          <w:r>
            <w:rPr>
              <w:color w:val="auto"/>
              <w:highlight w:val="none"/>
            </w:rPr>
            <w:tab/>
          </w:r>
          <w:r>
            <w:rPr>
              <w:color w:val="auto"/>
              <w:highlight w:val="none"/>
            </w:rPr>
            <w:fldChar w:fldCharType="begin"/>
          </w:r>
          <w:r>
            <w:rPr>
              <w:color w:val="auto"/>
              <w:highlight w:val="none"/>
            </w:rPr>
            <w:instrText xml:space="preserve"> PAGEREF _Toc26172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22B5C293">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_Toc31368 </w:instrText>
          </w:r>
          <w:r>
            <w:rPr>
              <w:color w:val="auto"/>
              <w:highlight w:val="none"/>
            </w:rPr>
            <w:fldChar w:fldCharType="separate"/>
          </w:r>
          <w:r>
            <w:rPr>
              <w:rFonts w:ascii="宋体" w:hAnsi="宋体" w:eastAsia="宋体" w:cs="宋体"/>
              <w:bCs/>
              <w:color w:val="auto"/>
              <w:spacing w:val="5"/>
              <w:szCs w:val="31"/>
              <w:highlight w:val="none"/>
            </w:rPr>
            <w:t>第七章</w:t>
          </w:r>
          <w:r>
            <w:rPr>
              <w:rFonts w:ascii="宋体" w:hAnsi="宋体" w:eastAsia="宋体" w:cs="宋体"/>
              <w:color w:val="auto"/>
              <w:spacing w:val="5"/>
              <w:szCs w:val="31"/>
              <w:highlight w:val="none"/>
            </w:rPr>
            <w:t xml:space="preserve">  </w:t>
          </w:r>
          <w:r>
            <w:rPr>
              <w:rFonts w:ascii="宋体" w:hAnsi="宋体" w:eastAsia="宋体" w:cs="宋体"/>
              <w:bCs/>
              <w:color w:val="auto"/>
              <w:spacing w:val="5"/>
              <w:szCs w:val="31"/>
              <w:highlight w:val="none"/>
            </w:rPr>
            <w:t>工程量清单</w:t>
          </w:r>
          <w:r>
            <w:rPr>
              <w:color w:val="auto"/>
              <w:highlight w:val="none"/>
            </w:rPr>
            <w:tab/>
          </w:r>
          <w:r>
            <w:rPr>
              <w:color w:val="auto"/>
              <w:highlight w:val="none"/>
            </w:rPr>
            <w:fldChar w:fldCharType="begin"/>
          </w:r>
          <w:r>
            <w:rPr>
              <w:color w:val="auto"/>
              <w:highlight w:val="none"/>
            </w:rPr>
            <w:instrText xml:space="preserve"> PAGEREF _Toc31368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4BE4F6C7">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_Toc19356 </w:instrText>
          </w:r>
          <w:r>
            <w:rPr>
              <w:color w:val="auto"/>
              <w:highlight w:val="none"/>
            </w:rPr>
            <w:fldChar w:fldCharType="separate"/>
          </w:r>
          <w:r>
            <w:rPr>
              <w:rFonts w:hint="eastAsia" w:ascii="宋体" w:hAnsi="宋体" w:eastAsia="宋体" w:cs="宋体"/>
              <w:bCs/>
              <w:color w:val="auto"/>
              <w:spacing w:val="5"/>
              <w:szCs w:val="31"/>
              <w:highlight w:val="none"/>
              <w:lang w:val="en-US" w:eastAsia="zh-CN"/>
            </w:rPr>
            <w:t>另卷</w:t>
          </w:r>
          <w:r>
            <w:rPr>
              <w:color w:val="auto"/>
              <w:highlight w:val="none"/>
            </w:rPr>
            <w:tab/>
          </w:r>
          <w:r>
            <w:rPr>
              <w:color w:val="auto"/>
              <w:highlight w:val="none"/>
            </w:rPr>
            <w:fldChar w:fldCharType="begin"/>
          </w:r>
          <w:r>
            <w:rPr>
              <w:color w:val="auto"/>
              <w:highlight w:val="none"/>
            </w:rPr>
            <w:instrText xml:space="preserve"> PAGEREF _Toc19356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ADE6031">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_Toc2345 </w:instrText>
          </w:r>
          <w:r>
            <w:rPr>
              <w:color w:val="auto"/>
              <w:highlight w:val="none"/>
            </w:rPr>
            <w:fldChar w:fldCharType="separate"/>
          </w:r>
          <w:r>
            <w:rPr>
              <w:rFonts w:ascii="宋体" w:hAnsi="宋体" w:eastAsia="宋体" w:cs="宋体"/>
              <w:bCs/>
              <w:color w:val="auto"/>
              <w:spacing w:val="2"/>
              <w:szCs w:val="31"/>
              <w:highlight w:val="none"/>
            </w:rPr>
            <w:t>第八章</w:t>
          </w:r>
          <w:r>
            <w:rPr>
              <w:rFonts w:ascii="宋体" w:hAnsi="宋体" w:eastAsia="宋体" w:cs="宋体"/>
              <w:color w:val="auto"/>
              <w:spacing w:val="23"/>
              <w:szCs w:val="31"/>
              <w:highlight w:val="none"/>
            </w:rPr>
            <w:t xml:space="preserve">  </w:t>
          </w:r>
          <w:r>
            <w:rPr>
              <w:rFonts w:ascii="宋体" w:hAnsi="宋体" w:eastAsia="宋体" w:cs="宋体"/>
              <w:bCs/>
              <w:color w:val="auto"/>
              <w:spacing w:val="2"/>
              <w:szCs w:val="31"/>
              <w:highlight w:val="none"/>
            </w:rPr>
            <w:t>响应文件格式</w:t>
          </w:r>
          <w:r>
            <w:rPr>
              <w:color w:val="auto"/>
              <w:highlight w:val="none"/>
            </w:rPr>
            <w:tab/>
          </w:r>
          <w:r>
            <w:rPr>
              <w:color w:val="auto"/>
              <w:highlight w:val="none"/>
            </w:rPr>
            <w:fldChar w:fldCharType="begin"/>
          </w:r>
          <w:r>
            <w:rPr>
              <w:color w:val="auto"/>
              <w:highlight w:val="none"/>
            </w:rPr>
            <w:instrText xml:space="preserve"> PAGEREF _Toc2345 \h </w:instrText>
          </w:r>
          <w:r>
            <w:rPr>
              <w:color w:val="auto"/>
              <w:highlight w:val="none"/>
            </w:rPr>
            <w:fldChar w:fldCharType="separate"/>
          </w:r>
          <w:r>
            <w:rPr>
              <w:color w:val="auto"/>
              <w:highlight w:val="none"/>
            </w:rPr>
            <w:t>6</w:t>
          </w:r>
          <w:r>
            <w:rPr>
              <w:rFonts w:hint="eastAsia" w:eastAsia="宋体"/>
              <w:color w:val="auto"/>
              <w:highlight w:val="none"/>
              <w:lang w:val="en-US" w:eastAsia="zh-CN"/>
            </w:rPr>
            <w:t>5</w:t>
          </w:r>
          <w:r>
            <w:rPr>
              <w:color w:val="auto"/>
              <w:highlight w:val="none"/>
            </w:rPr>
            <w:fldChar w:fldCharType="end"/>
          </w:r>
          <w:r>
            <w:rPr>
              <w:color w:val="auto"/>
              <w:highlight w:val="none"/>
            </w:rPr>
            <w:fldChar w:fldCharType="end"/>
          </w:r>
        </w:p>
        <w:p w14:paraId="561D9349">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_Toc28178 </w:instrText>
          </w:r>
          <w:r>
            <w:rPr>
              <w:color w:val="auto"/>
              <w:highlight w:val="none"/>
            </w:rPr>
            <w:fldChar w:fldCharType="separate"/>
          </w:r>
          <w:r>
            <w:rPr>
              <w:rFonts w:ascii="宋体" w:hAnsi="宋体" w:eastAsia="宋体" w:cs="宋体"/>
              <w:bCs/>
              <w:color w:val="auto"/>
              <w:spacing w:val="-3"/>
              <w:szCs w:val="24"/>
              <w:highlight w:val="none"/>
            </w:rPr>
            <w:t>第一节</w:t>
          </w:r>
          <w:r>
            <w:rPr>
              <w:rFonts w:ascii="宋体" w:hAnsi="宋体" w:eastAsia="宋体" w:cs="宋体"/>
              <w:color w:val="auto"/>
              <w:spacing w:val="-3"/>
              <w:szCs w:val="24"/>
              <w:highlight w:val="none"/>
            </w:rPr>
            <w:t xml:space="preserve"> </w:t>
          </w:r>
          <w:r>
            <w:rPr>
              <w:rFonts w:ascii="宋体" w:hAnsi="宋体" w:eastAsia="宋体" w:cs="宋体"/>
              <w:bCs/>
              <w:color w:val="auto"/>
              <w:spacing w:val="-3"/>
              <w:szCs w:val="24"/>
              <w:highlight w:val="none"/>
            </w:rPr>
            <w:t>响应文件封面示例</w:t>
          </w:r>
          <w:r>
            <w:rPr>
              <w:color w:val="auto"/>
              <w:highlight w:val="none"/>
            </w:rPr>
            <w:tab/>
          </w:r>
          <w:r>
            <w:rPr>
              <w:color w:val="auto"/>
              <w:highlight w:val="none"/>
            </w:rPr>
            <w:fldChar w:fldCharType="begin"/>
          </w:r>
          <w:r>
            <w:rPr>
              <w:color w:val="auto"/>
              <w:highlight w:val="none"/>
            </w:rPr>
            <w:instrText xml:space="preserve"> PAGEREF _Toc28178 \h </w:instrText>
          </w:r>
          <w:r>
            <w:rPr>
              <w:color w:val="auto"/>
              <w:highlight w:val="none"/>
            </w:rPr>
            <w:fldChar w:fldCharType="separate"/>
          </w:r>
          <w:r>
            <w:rPr>
              <w:color w:val="auto"/>
              <w:highlight w:val="none"/>
            </w:rPr>
            <w:t>6</w:t>
          </w:r>
          <w:r>
            <w:rPr>
              <w:rFonts w:hint="eastAsia" w:eastAsia="宋体"/>
              <w:color w:val="auto"/>
              <w:highlight w:val="none"/>
              <w:lang w:val="en-US" w:eastAsia="zh-CN"/>
            </w:rPr>
            <w:t>5</w:t>
          </w:r>
          <w:r>
            <w:rPr>
              <w:color w:val="auto"/>
              <w:highlight w:val="none"/>
            </w:rPr>
            <w:fldChar w:fldCharType="end"/>
          </w:r>
          <w:r>
            <w:rPr>
              <w:color w:val="auto"/>
              <w:highlight w:val="none"/>
            </w:rPr>
            <w:fldChar w:fldCharType="end"/>
          </w:r>
        </w:p>
        <w:p w14:paraId="74C29ECE">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_Toc5853 </w:instrText>
          </w:r>
          <w:r>
            <w:rPr>
              <w:color w:val="auto"/>
              <w:highlight w:val="none"/>
            </w:rPr>
            <w:fldChar w:fldCharType="separate"/>
          </w:r>
          <w:r>
            <w:rPr>
              <w:rFonts w:ascii="宋体" w:hAnsi="宋体" w:eastAsia="宋体" w:cs="宋体"/>
              <w:bCs/>
              <w:color w:val="auto"/>
              <w:spacing w:val="-3"/>
              <w:szCs w:val="24"/>
              <w:highlight w:val="none"/>
            </w:rPr>
            <w:t>第二节</w:t>
          </w:r>
          <w:r>
            <w:rPr>
              <w:rFonts w:ascii="宋体" w:hAnsi="宋体" w:eastAsia="宋体" w:cs="宋体"/>
              <w:color w:val="auto"/>
              <w:spacing w:val="-3"/>
              <w:szCs w:val="24"/>
              <w:highlight w:val="none"/>
            </w:rPr>
            <w:t xml:space="preserve"> </w:t>
          </w:r>
          <w:r>
            <w:rPr>
              <w:rFonts w:ascii="宋体" w:hAnsi="宋体" w:eastAsia="宋体" w:cs="宋体"/>
              <w:bCs/>
              <w:color w:val="auto"/>
              <w:spacing w:val="-3"/>
              <w:szCs w:val="24"/>
              <w:highlight w:val="none"/>
            </w:rPr>
            <w:t>商务标目录示例</w:t>
          </w:r>
          <w:r>
            <w:rPr>
              <w:color w:val="auto"/>
              <w:highlight w:val="none"/>
            </w:rPr>
            <w:tab/>
          </w:r>
          <w:r>
            <w:rPr>
              <w:color w:val="auto"/>
              <w:highlight w:val="none"/>
            </w:rPr>
            <w:fldChar w:fldCharType="begin"/>
          </w:r>
          <w:r>
            <w:rPr>
              <w:color w:val="auto"/>
              <w:highlight w:val="none"/>
            </w:rPr>
            <w:instrText xml:space="preserve"> PAGEREF _Toc5853 \h </w:instrText>
          </w:r>
          <w:r>
            <w:rPr>
              <w:color w:val="auto"/>
              <w:highlight w:val="none"/>
            </w:rPr>
            <w:fldChar w:fldCharType="separate"/>
          </w:r>
          <w:r>
            <w:rPr>
              <w:color w:val="auto"/>
              <w:highlight w:val="none"/>
            </w:rPr>
            <w:t>6</w:t>
          </w:r>
          <w:r>
            <w:rPr>
              <w:rFonts w:hint="eastAsia" w:eastAsia="宋体"/>
              <w:color w:val="auto"/>
              <w:highlight w:val="none"/>
              <w:lang w:val="en-US" w:eastAsia="zh-CN"/>
            </w:rPr>
            <w:t>6</w:t>
          </w:r>
          <w:r>
            <w:rPr>
              <w:color w:val="auto"/>
              <w:highlight w:val="none"/>
            </w:rPr>
            <w:fldChar w:fldCharType="end"/>
          </w:r>
          <w:r>
            <w:rPr>
              <w:color w:val="auto"/>
              <w:highlight w:val="none"/>
            </w:rPr>
            <w:fldChar w:fldCharType="end"/>
          </w:r>
        </w:p>
        <w:p w14:paraId="7D31545D">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_Toc17755 </w:instrText>
          </w:r>
          <w:r>
            <w:rPr>
              <w:color w:val="auto"/>
              <w:highlight w:val="none"/>
            </w:rPr>
            <w:fldChar w:fldCharType="separate"/>
          </w:r>
          <w:r>
            <w:rPr>
              <w:rFonts w:ascii="宋体" w:hAnsi="宋体" w:eastAsia="宋体" w:cs="宋体"/>
              <w:bCs/>
              <w:color w:val="auto"/>
              <w:spacing w:val="4"/>
              <w:szCs w:val="31"/>
              <w:highlight w:val="none"/>
            </w:rPr>
            <w:t>开标一览表</w:t>
          </w:r>
          <w:r>
            <w:rPr>
              <w:color w:val="auto"/>
              <w:highlight w:val="none"/>
            </w:rPr>
            <w:tab/>
          </w:r>
          <w:r>
            <w:rPr>
              <w:color w:val="auto"/>
              <w:highlight w:val="none"/>
            </w:rPr>
            <w:fldChar w:fldCharType="begin"/>
          </w:r>
          <w:r>
            <w:rPr>
              <w:color w:val="auto"/>
              <w:highlight w:val="none"/>
            </w:rPr>
            <w:instrText xml:space="preserve"> PAGEREF _Toc17755 \h </w:instrText>
          </w:r>
          <w:r>
            <w:rPr>
              <w:color w:val="auto"/>
              <w:highlight w:val="none"/>
            </w:rPr>
            <w:fldChar w:fldCharType="separate"/>
          </w:r>
          <w:r>
            <w:rPr>
              <w:color w:val="auto"/>
              <w:highlight w:val="none"/>
            </w:rPr>
            <w:t>7</w:t>
          </w:r>
          <w:r>
            <w:rPr>
              <w:rFonts w:hint="eastAsia" w:eastAsia="宋体"/>
              <w:color w:val="auto"/>
              <w:highlight w:val="none"/>
              <w:lang w:val="en-US" w:eastAsia="zh-CN"/>
            </w:rPr>
            <w:t>2</w:t>
          </w:r>
          <w:r>
            <w:rPr>
              <w:color w:val="auto"/>
              <w:highlight w:val="none"/>
            </w:rPr>
            <w:fldChar w:fldCharType="end"/>
          </w:r>
          <w:r>
            <w:rPr>
              <w:color w:val="auto"/>
              <w:highlight w:val="none"/>
            </w:rPr>
            <w:fldChar w:fldCharType="end"/>
          </w:r>
        </w:p>
        <w:p w14:paraId="28F700D7">
          <w:pPr>
            <w:pStyle w:val="5"/>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_Toc28911 </w:instrText>
          </w:r>
          <w:r>
            <w:rPr>
              <w:color w:val="auto"/>
              <w:highlight w:val="none"/>
            </w:rPr>
            <w:fldChar w:fldCharType="separate"/>
          </w:r>
          <w:r>
            <w:rPr>
              <w:rFonts w:ascii="宋体" w:hAnsi="宋体" w:eastAsia="宋体" w:cs="宋体"/>
              <w:bCs/>
              <w:color w:val="auto"/>
              <w:spacing w:val="6"/>
              <w:szCs w:val="31"/>
              <w:highlight w:val="none"/>
            </w:rPr>
            <w:t>合同、商务条款偏离说明表</w:t>
          </w:r>
          <w:r>
            <w:rPr>
              <w:color w:val="auto"/>
              <w:highlight w:val="none"/>
            </w:rPr>
            <w:tab/>
          </w:r>
          <w:r>
            <w:rPr>
              <w:color w:val="auto"/>
              <w:highlight w:val="none"/>
            </w:rPr>
            <w:fldChar w:fldCharType="begin"/>
          </w:r>
          <w:r>
            <w:rPr>
              <w:color w:val="auto"/>
              <w:highlight w:val="none"/>
            </w:rPr>
            <w:instrText xml:space="preserve"> PAGEREF _Toc28911 \h </w:instrText>
          </w:r>
          <w:r>
            <w:rPr>
              <w:color w:val="auto"/>
              <w:highlight w:val="none"/>
            </w:rPr>
            <w:fldChar w:fldCharType="separate"/>
          </w:r>
          <w:r>
            <w:rPr>
              <w:color w:val="auto"/>
              <w:highlight w:val="none"/>
            </w:rPr>
            <w:t>8</w:t>
          </w:r>
          <w:r>
            <w:rPr>
              <w:rFonts w:hint="eastAsia" w:eastAsia="宋体"/>
              <w:color w:val="auto"/>
              <w:highlight w:val="none"/>
              <w:lang w:val="en-US" w:eastAsia="zh-CN"/>
            </w:rPr>
            <w:t>1</w:t>
          </w:r>
          <w:r>
            <w:rPr>
              <w:color w:val="auto"/>
              <w:highlight w:val="none"/>
            </w:rPr>
            <w:fldChar w:fldCharType="end"/>
          </w:r>
          <w:r>
            <w:rPr>
              <w:color w:val="auto"/>
              <w:highlight w:val="none"/>
            </w:rPr>
            <w:fldChar w:fldCharType="end"/>
          </w:r>
        </w:p>
        <w:p w14:paraId="4D6C8785">
          <w:pPr>
            <w:pStyle w:val="5"/>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_Toc29690 </w:instrText>
          </w:r>
          <w:r>
            <w:rPr>
              <w:color w:val="auto"/>
              <w:highlight w:val="none"/>
            </w:rPr>
            <w:fldChar w:fldCharType="separate"/>
          </w:r>
          <w:r>
            <w:rPr>
              <w:rFonts w:ascii="宋体" w:hAnsi="宋体" w:eastAsia="宋体" w:cs="宋体"/>
              <w:bCs/>
              <w:color w:val="auto"/>
              <w:spacing w:val="5"/>
              <w:szCs w:val="31"/>
              <w:highlight w:val="none"/>
            </w:rPr>
            <w:t>技术规范偏离表</w:t>
          </w:r>
          <w:r>
            <w:rPr>
              <w:color w:val="auto"/>
              <w:highlight w:val="none"/>
            </w:rPr>
            <w:tab/>
          </w:r>
          <w:r>
            <w:rPr>
              <w:color w:val="auto"/>
              <w:highlight w:val="none"/>
            </w:rPr>
            <w:fldChar w:fldCharType="begin"/>
          </w:r>
          <w:r>
            <w:rPr>
              <w:color w:val="auto"/>
              <w:highlight w:val="none"/>
            </w:rPr>
            <w:instrText xml:space="preserve"> PAGEREF _Toc29690 \h </w:instrText>
          </w:r>
          <w:r>
            <w:rPr>
              <w:color w:val="auto"/>
              <w:highlight w:val="none"/>
            </w:rPr>
            <w:fldChar w:fldCharType="separate"/>
          </w:r>
          <w:r>
            <w:rPr>
              <w:color w:val="auto"/>
              <w:highlight w:val="none"/>
            </w:rPr>
            <w:t>8</w:t>
          </w:r>
          <w:r>
            <w:rPr>
              <w:rFonts w:hint="eastAsia" w:eastAsia="宋体"/>
              <w:color w:val="auto"/>
              <w:highlight w:val="none"/>
              <w:lang w:val="en-US" w:eastAsia="zh-CN"/>
            </w:rPr>
            <w:t>2</w:t>
          </w:r>
          <w:r>
            <w:rPr>
              <w:color w:val="auto"/>
              <w:highlight w:val="none"/>
            </w:rPr>
            <w:fldChar w:fldCharType="end"/>
          </w:r>
          <w:r>
            <w:rPr>
              <w:color w:val="auto"/>
              <w:highlight w:val="none"/>
            </w:rPr>
            <w:fldChar w:fldCharType="end"/>
          </w:r>
        </w:p>
        <w:p w14:paraId="126C0DD7">
          <w:pPr>
            <w:pStyle w:val="7"/>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_Toc6327 </w:instrText>
          </w:r>
          <w:r>
            <w:rPr>
              <w:color w:val="auto"/>
              <w:highlight w:val="none"/>
            </w:rPr>
            <w:fldChar w:fldCharType="separate"/>
          </w:r>
          <w:r>
            <w:rPr>
              <w:rFonts w:ascii="宋体" w:hAnsi="宋体" w:eastAsia="宋体" w:cs="宋体"/>
              <w:bCs/>
              <w:color w:val="auto"/>
              <w:spacing w:val="5"/>
              <w:szCs w:val="31"/>
              <w:highlight w:val="none"/>
            </w:rPr>
            <w:t>第二节</w:t>
          </w:r>
          <w:r>
            <w:rPr>
              <w:rFonts w:ascii="宋体" w:hAnsi="宋体" w:eastAsia="宋体" w:cs="宋体"/>
              <w:color w:val="auto"/>
              <w:spacing w:val="5"/>
              <w:szCs w:val="31"/>
              <w:highlight w:val="none"/>
            </w:rPr>
            <w:t xml:space="preserve"> </w:t>
          </w:r>
          <w:r>
            <w:rPr>
              <w:rFonts w:ascii="宋体" w:hAnsi="宋体" w:eastAsia="宋体" w:cs="宋体"/>
              <w:bCs/>
              <w:color w:val="auto"/>
              <w:spacing w:val="5"/>
              <w:szCs w:val="31"/>
              <w:highlight w:val="none"/>
            </w:rPr>
            <w:t>技术标</w:t>
          </w:r>
          <w:r>
            <w:rPr>
              <w:color w:val="auto"/>
              <w:highlight w:val="none"/>
            </w:rPr>
            <w:tab/>
          </w:r>
          <w:r>
            <w:rPr>
              <w:color w:val="auto"/>
              <w:highlight w:val="none"/>
            </w:rPr>
            <w:fldChar w:fldCharType="begin"/>
          </w:r>
          <w:r>
            <w:rPr>
              <w:color w:val="auto"/>
              <w:highlight w:val="none"/>
            </w:rPr>
            <w:instrText xml:space="preserve"> PAGEREF _Toc6327 \h </w:instrText>
          </w:r>
          <w:r>
            <w:rPr>
              <w:color w:val="auto"/>
              <w:highlight w:val="none"/>
            </w:rPr>
            <w:fldChar w:fldCharType="separate"/>
          </w:r>
          <w:r>
            <w:rPr>
              <w:color w:val="auto"/>
              <w:highlight w:val="none"/>
            </w:rPr>
            <w:t>8</w:t>
          </w:r>
          <w:r>
            <w:rPr>
              <w:rFonts w:hint="eastAsia" w:eastAsia="宋体"/>
              <w:color w:val="auto"/>
              <w:highlight w:val="none"/>
              <w:lang w:val="en-US" w:eastAsia="zh-CN"/>
            </w:rPr>
            <w:t>3</w:t>
          </w:r>
          <w:r>
            <w:rPr>
              <w:color w:val="auto"/>
              <w:highlight w:val="none"/>
            </w:rPr>
            <w:fldChar w:fldCharType="end"/>
          </w:r>
          <w:r>
            <w:rPr>
              <w:color w:val="auto"/>
              <w:highlight w:val="none"/>
            </w:rPr>
            <w:fldChar w:fldCharType="end"/>
          </w:r>
        </w:p>
        <w:p w14:paraId="5B774D52">
          <w:pPr>
            <w:pStyle w:val="8"/>
            <w:keepNext w:val="0"/>
            <w:keepLines w:val="0"/>
            <w:pageBreakBefore w:val="0"/>
            <w:widowControl/>
            <w:tabs>
              <w:tab w:val="right" w:leader="dot" w:pos="8306"/>
            </w:tabs>
            <w:wordWrap/>
            <w:overflowPunct/>
            <w:topLinePunct w:val="0"/>
            <w:bidi w:val="0"/>
            <w:spacing w:line="360" w:lineRule="auto"/>
            <w:ind w:left="0" w:leftChars="0"/>
            <w:rPr>
              <w:color w:val="auto"/>
              <w:highlight w:val="none"/>
            </w:rPr>
          </w:pPr>
          <w:r>
            <w:rPr>
              <w:color w:val="auto"/>
              <w:highlight w:val="none"/>
            </w:rPr>
            <w:fldChar w:fldCharType="begin"/>
          </w:r>
          <w:r>
            <w:rPr>
              <w:color w:val="auto"/>
              <w:highlight w:val="none"/>
            </w:rPr>
            <w:instrText xml:space="preserve"> HYPERLINK \l _Toc9045 </w:instrText>
          </w:r>
          <w:r>
            <w:rPr>
              <w:color w:val="auto"/>
              <w:highlight w:val="none"/>
            </w:rPr>
            <w:fldChar w:fldCharType="separate"/>
          </w:r>
          <w:r>
            <w:rPr>
              <w:rFonts w:ascii="宋体" w:hAnsi="宋体" w:eastAsia="宋体" w:cs="宋体"/>
              <w:bCs/>
              <w:color w:val="auto"/>
              <w:spacing w:val="-4"/>
              <w:szCs w:val="28"/>
              <w:highlight w:val="none"/>
            </w:rPr>
            <w:t>其他补充文件</w:t>
          </w:r>
          <w:r>
            <w:rPr>
              <w:color w:val="auto"/>
              <w:highlight w:val="none"/>
            </w:rPr>
            <w:tab/>
          </w:r>
          <w:r>
            <w:rPr>
              <w:color w:val="auto"/>
              <w:highlight w:val="none"/>
            </w:rPr>
            <w:fldChar w:fldCharType="begin"/>
          </w:r>
          <w:r>
            <w:rPr>
              <w:color w:val="auto"/>
              <w:highlight w:val="none"/>
            </w:rPr>
            <w:instrText xml:space="preserve"> PAGEREF _Toc9045 \h </w:instrText>
          </w:r>
          <w:r>
            <w:rPr>
              <w:color w:val="auto"/>
              <w:highlight w:val="none"/>
            </w:rPr>
            <w:fldChar w:fldCharType="separate"/>
          </w:r>
          <w:r>
            <w:rPr>
              <w:color w:val="auto"/>
              <w:highlight w:val="none"/>
            </w:rPr>
            <w:t>8</w:t>
          </w:r>
          <w:r>
            <w:rPr>
              <w:rFonts w:hint="eastAsia" w:eastAsia="宋体"/>
              <w:color w:val="auto"/>
              <w:highlight w:val="none"/>
              <w:lang w:val="en-US" w:eastAsia="zh-CN"/>
            </w:rPr>
            <w:t>4</w:t>
          </w:r>
          <w:r>
            <w:rPr>
              <w:color w:val="auto"/>
              <w:highlight w:val="none"/>
            </w:rPr>
            <w:fldChar w:fldCharType="end"/>
          </w:r>
          <w:r>
            <w:rPr>
              <w:color w:val="auto"/>
              <w:highlight w:val="none"/>
            </w:rPr>
            <w:fldChar w:fldCharType="end"/>
          </w:r>
        </w:p>
        <w:p w14:paraId="2C4096B4">
          <w:pPr>
            <w:keepNext w:val="0"/>
            <w:keepLines w:val="0"/>
            <w:pageBreakBefore w:val="0"/>
            <w:widowControl/>
            <w:wordWrap/>
            <w:overflowPunct/>
            <w:topLinePunct w:val="0"/>
            <w:bidi w:val="0"/>
            <w:spacing w:before="0" w:beforeLines="0" w:after="0" w:afterLines="0" w:line="360" w:lineRule="auto"/>
            <w:ind w:left="0" w:leftChars="0"/>
            <w:rPr>
              <w:color w:val="auto"/>
              <w:highlight w:val="none"/>
            </w:rPr>
          </w:pPr>
          <w:r>
            <w:rPr>
              <w:color w:val="auto"/>
              <w:highlight w:val="none"/>
            </w:rPr>
            <w:fldChar w:fldCharType="end"/>
          </w:r>
        </w:p>
      </w:sdtContent>
    </w:sdt>
    <w:p w14:paraId="4B255590">
      <w:pPr>
        <w:rPr>
          <w:color w:val="auto"/>
          <w:highlight w:val="none"/>
        </w:rPr>
      </w:pPr>
    </w:p>
    <w:p w14:paraId="706D5E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outlineLvl w:val="0"/>
        <w:rPr>
          <w:rFonts w:ascii="宋体" w:hAnsi="宋体" w:eastAsia="宋体" w:cs="宋体"/>
          <w:b/>
          <w:bCs/>
          <w:color w:val="auto"/>
          <w:spacing w:val="6"/>
          <w:sz w:val="31"/>
          <w:szCs w:val="31"/>
          <w:highlight w:val="none"/>
        </w:rPr>
      </w:pPr>
      <w:bookmarkStart w:id="1" w:name="_Toc22297"/>
    </w:p>
    <w:p w14:paraId="4A1F2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b/>
          <w:bCs/>
          <w:color w:val="auto"/>
          <w:spacing w:val="6"/>
          <w:sz w:val="31"/>
          <w:szCs w:val="31"/>
          <w:highlight w:val="none"/>
        </w:rPr>
        <w:sectPr>
          <w:headerReference r:id="rId6" w:type="default"/>
          <w:footerReference r:id="rId7" w:type="default"/>
          <w:pgSz w:w="11906" w:h="16839"/>
          <w:pgMar w:top="1440" w:right="1800" w:bottom="1440" w:left="1800" w:header="0" w:footer="973" w:gutter="0"/>
          <w:pgNumType w:fmt="decimal" w:start="1"/>
          <w:cols w:space="720" w:num="1"/>
        </w:sectPr>
      </w:pPr>
    </w:p>
    <w:p w14:paraId="4A7D9E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第一章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竞争性磋商公告</w:t>
      </w:r>
      <w:bookmarkEnd w:id="1"/>
    </w:p>
    <w:tbl>
      <w:tblPr>
        <w:tblStyle w:val="13"/>
        <w:tblW w:w="896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61"/>
      </w:tblGrid>
      <w:tr w14:paraId="56ADD0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13" w:hRule="atLeast"/>
        </w:trPr>
        <w:tc>
          <w:tcPr>
            <w:tcW w:w="8961" w:type="dxa"/>
            <w:vAlign w:val="top"/>
          </w:tcPr>
          <w:p w14:paraId="672A7C89">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项目概况</w:t>
            </w:r>
          </w:p>
          <w:p w14:paraId="7707FA23">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color w:val="auto"/>
                <w:highlight w:val="none"/>
              </w:rPr>
            </w:pPr>
            <w:r>
              <w:rPr>
                <w:rFonts w:hint="eastAsia" w:ascii="宋体" w:hAnsi="宋体" w:eastAsia="宋体" w:cs="宋体"/>
                <w:snapToGrid w:val="0"/>
                <w:color w:val="auto"/>
                <w:kern w:val="0"/>
                <w:sz w:val="24"/>
                <w:szCs w:val="24"/>
                <w:highlight w:val="none"/>
                <w:lang w:val="en-US" w:eastAsia="zh-CN" w:bidi="ar-SA"/>
              </w:rPr>
              <w:t>伊宁市潘津镇2025年以工代赈示范工程水利配套项目</w:t>
            </w:r>
            <w:r>
              <w:rPr>
                <w:rFonts w:hint="eastAsia" w:ascii="宋体" w:hAnsi="宋体" w:eastAsia="宋体" w:cs="宋体"/>
                <w:snapToGrid w:val="0"/>
                <w:color w:val="auto"/>
                <w:kern w:val="0"/>
                <w:sz w:val="24"/>
                <w:szCs w:val="24"/>
                <w:highlight w:val="none"/>
                <w:lang w:val="en-US" w:eastAsia="en-US" w:bidi="ar-SA"/>
              </w:rPr>
              <w:t>的潜在投标人应在 新疆政府采购网-政采云平台（https://www.zcygov.cn）获取采购文件，并于</w:t>
            </w:r>
            <w:r>
              <w:rPr>
                <w:rFonts w:hint="eastAsia" w:ascii="宋体" w:hAnsi="宋体" w:eastAsia="宋体" w:cs="宋体"/>
                <w:snapToGrid w:val="0"/>
                <w:color w:val="auto"/>
                <w:kern w:val="0"/>
                <w:sz w:val="24"/>
                <w:szCs w:val="24"/>
                <w:highlight w:val="none"/>
                <w:lang w:val="en-US" w:eastAsia="zh-CN" w:bidi="ar-SA"/>
              </w:rPr>
              <w:t>2025年</w:t>
            </w:r>
            <w:r>
              <w:rPr>
                <w:rFonts w:hint="eastAsia" w:cs="宋体"/>
                <w:snapToGrid w:val="0"/>
                <w:color w:val="auto"/>
                <w:kern w:val="0"/>
                <w:sz w:val="24"/>
                <w:szCs w:val="24"/>
                <w:highlight w:val="none"/>
                <w:lang w:val="en-US" w:eastAsia="zh-CN" w:bidi="ar-SA"/>
              </w:rPr>
              <w:t>6</w:t>
            </w:r>
            <w:r>
              <w:rPr>
                <w:rFonts w:hint="eastAsia" w:ascii="宋体" w:hAnsi="宋体" w:eastAsia="宋体" w:cs="宋体"/>
                <w:snapToGrid w:val="0"/>
                <w:color w:val="auto"/>
                <w:kern w:val="0"/>
                <w:sz w:val="24"/>
                <w:szCs w:val="24"/>
                <w:highlight w:val="none"/>
                <w:lang w:val="en-US" w:eastAsia="zh-CN" w:bidi="ar-SA"/>
              </w:rPr>
              <w:t>月</w:t>
            </w:r>
            <w:r>
              <w:rPr>
                <w:rFonts w:hint="eastAsia" w:cs="宋体"/>
                <w:snapToGrid w:val="0"/>
                <w:color w:val="auto"/>
                <w:kern w:val="0"/>
                <w:sz w:val="24"/>
                <w:szCs w:val="24"/>
                <w:highlight w:val="none"/>
                <w:lang w:val="en-US" w:eastAsia="zh-CN" w:bidi="ar-SA"/>
              </w:rPr>
              <w:t>30</w:t>
            </w:r>
            <w:r>
              <w:rPr>
                <w:rFonts w:hint="eastAsia" w:ascii="宋体" w:hAnsi="宋体" w:eastAsia="宋体" w:cs="宋体"/>
                <w:snapToGrid w:val="0"/>
                <w:color w:val="auto"/>
                <w:kern w:val="0"/>
                <w:sz w:val="24"/>
                <w:szCs w:val="24"/>
                <w:highlight w:val="none"/>
                <w:lang w:val="en-US" w:eastAsia="zh-CN" w:bidi="ar-SA"/>
              </w:rPr>
              <w:t>日1</w:t>
            </w:r>
            <w:r>
              <w:rPr>
                <w:rFonts w:hint="eastAsia" w:cs="宋体"/>
                <w:snapToGrid w:val="0"/>
                <w:color w:val="auto"/>
                <w:kern w:val="0"/>
                <w:sz w:val="24"/>
                <w:szCs w:val="24"/>
                <w:highlight w:val="none"/>
                <w:lang w:val="en-US" w:eastAsia="zh-CN" w:bidi="ar-SA"/>
              </w:rPr>
              <w:t>0</w:t>
            </w:r>
            <w:r>
              <w:rPr>
                <w:rFonts w:hint="eastAsia" w:ascii="宋体" w:hAnsi="宋体" w:eastAsia="宋体" w:cs="宋体"/>
                <w:snapToGrid w:val="0"/>
                <w:color w:val="auto"/>
                <w:kern w:val="0"/>
                <w:sz w:val="24"/>
                <w:szCs w:val="24"/>
                <w:highlight w:val="none"/>
                <w:lang w:val="en-US" w:eastAsia="en-US" w:bidi="ar-SA"/>
              </w:rPr>
              <w:t>时</w:t>
            </w:r>
            <w:r>
              <w:rPr>
                <w:rFonts w:hint="eastAsia" w:cs="宋体"/>
                <w:snapToGrid w:val="0"/>
                <w:color w:val="auto"/>
                <w:kern w:val="0"/>
                <w:sz w:val="24"/>
                <w:szCs w:val="24"/>
                <w:highlight w:val="none"/>
                <w:lang w:val="en-US" w:eastAsia="zh-CN" w:bidi="ar-SA"/>
              </w:rPr>
              <w:t>3</w:t>
            </w:r>
            <w:r>
              <w:rPr>
                <w:rFonts w:hint="eastAsia" w:ascii="宋体" w:hAnsi="宋体" w:eastAsia="宋体" w:cs="宋体"/>
                <w:snapToGrid w:val="0"/>
                <w:color w:val="auto"/>
                <w:kern w:val="0"/>
                <w:sz w:val="24"/>
                <w:szCs w:val="24"/>
                <w:highlight w:val="none"/>
                <w:lang w:val="en-US" w:eastAsia="en-US" w:bidi="ar-SA"/>
              </w:rPr>
              <w:t>0分（北京时间）前提交响应文件。</w:t>
            </w:r>
          </w:p>
        </w:tc>
      </w:tr>
    </w:tbl>
    <w:p w14:paraId="4ADEB5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20BB1B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YNS-PJZ-YGDS-2025001</w:t>
      </w:r>
    </w:p>
    <w:p w14:paraId="6FC487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伊宁市潘津镇2025年以工代赈示范工程水利配套项目</w:t>
      </w:r>
    </w:p>
    <w:p w14:paraId="4A9068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采购方式：竞争性磋商 </w:t>
      </w:r>
    </w:p>
    <w:p w14:paraId="7EF9EE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7980000.00</w:t>
      </w:r>
      <w:r>
        <w:rPr>
          <w:rFonts w:hint="eastAsia" w:ascii="宋体" w:hAnsi="宋体" w:eastAsia="宋体" w:cs="宋体"/>
          <w:color w:val="auto"/>
          <w:sz w:val="24"/>
          <w:szCs w:val="24"/>
          <w:highlight w:val="none"/>
        </w:rPr>
        <w:t xml:space="preserve">元 </w:t>
      </w:r>
    </w:p>
    <w:p w14:paraId="423284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7624009.94</w:t>
      </w:r>
      <w:r>
        <w:rPr>
          <w:rFonts w:hint="eastAsia" w:ascii="宋体" w:hAnsi="宋体" w:eastAsia="宋体" w:cs="宋体"/>
          <w:color w:val="auto"/>
          <w:sz w:val="24"/>
          <w:szCs w:val="24"/>
          <w:highlight w:val="none"/>
        </w:rPr>
        <w:t>元</w:t>
      </w:r>
    </w:p>
    <w:p w14:paraId="4800E3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rPr>
        <w:t>1、新建排洪渠道2100米及相关配套附属建筑物29座，其中:格宾石笼渠道1060米，混凝土渠道1040米，桥涵22座(含户前桥)，谷坊7座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2、新建过水路面3处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3、新建及改建渠道总长10000米及配套建筑物63座，其中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UD80渠道3000米，UD60渠道4130米，UD40渠道2150米，梯形渠道(上口3m)720米，渡槽1座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分水闸30座，涵管桥32处。</w:t>
      </w:r>
      <w:r>
        <w:rPr>
          <w:rFonts w:ascii="宋体" w:hAnsi="宋体" w:eastAsia="宋体" w:cs="宋体"/>
          <w:color w:val="auto"/>
          <w:sz w:val="24"/>
          <w:szCs w:val="24"/>
          <w:highlight w:val="none"/>
        </w:rPr>
        <w:t>（包含工程量清单范围内全部内容）</w:t>
      </w:r>
      <w:r>
        <w:rPr>
          <w:rFonts w:hint="eastAsia" w:ascii="宋体" w:hAnsi="宋体" w:eastAsia="宋体" w:cs="宋体"/>
          <w:color w:val="auto"/>
          <w:sz w:val="24"/>
          <w:szCs w:val="24"/>
          <w:highlight w:val="none"/>
          <w:lang w:eastAsia="zh-CN"/>
        </w:rPr>
        <w:t>。</w:t>
      </w:r>
    </w:p>
    <w:p w14:paraId="514030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rPr>
        <w:t>合同履行期限：</w:t>
      </w:r>
      <w:r>
        <w:rPr>
          <w:rFonts w:ascii="宋体" w:hAnsi="宋体" w:eastAsia="宋体" w:cs="宋体"/>
          <w:color w:val="auto"/>
          <w:spacing w:val="-59"/>
          <w:sz w:val="24"/>
          <w:szCs w:val="24"/>
          <w:highlight w:val="none"/>
        </w:rPr>
        <w:t xml:space="preserve"> </w:t>
      </w:r>
      <w:r>
        <w:rPr>
          <w:rFonts w:ascii="宋体" w:hAnsi="宋体" w:eastAsia="宋体" w:cs="宋体"/>
          <w:color w:val="auto"/>
          <w:spacing w:val="-7"/>
          <w:sz w:val="24"/>
          <w:szCs w:val="24"/>
          <w:highlight w:val="none"/>
        </w:rPr>
        <w:t>自合同签订之日起</w:t>
      </w:r>
      <w:r>
        <w:rPr>
          <w:rFonts w:ascii="宋体" w:hAnsi="宋体" w:eastAsia="宋体" w:cs="宋体"/>
          <w:color w:val="auto"/>
          <w:spacing w:val="-46"/>
          <w:sz w:val="24"/>
          <w:szCs w:val="24"/>
          <w:highlight w:val="none"/>
        </w:rPr>
        <w:t xml:space="preserve"> </w:t>
      </w:r>
      <w:r>
        <w:rPr>
          <w:rFonts w:hint="eastAsia" w:ascii="宋体" w:hAnsi="宋体" w:eastAsia="宋体" w:cs="宋体"/>
          <w:color w:val="auto"/>
          <w:spacing w:val="-7"/>
          <w:sz w:val="24"/>
          <w:szCs w:val="24"/>
          <w:highlight w:val="none"/>
          <w:lang w:val="en-US" w:eastAsia="zh-CN"/>
        </w:rPr>
        <w:t>100</w:t>
      </w:r>
      <w:r>
        <w:rPr>
          <w:rFonts w:ascii="宋体" w:hAnsi="宋体" w:eastAsia="宋体" w:cs="宋体"/>
          <w:color w:val="auto"/>
          <w:spacing w:val="-7"/>
          <w:sz w:val="24"/>
          <w:szCs w:val="24"/>
          <w:highlight w:val="none"/>
        </w:rPr>
        <w:t>日历天</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p>
    <w:p w14:paraId="1B7C5B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本项目（是/否）接受联合体：否。</w:t>
      </w:r>
    </w:p>
    <w:p w14:paraId="1B98B0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14:paraId="498D01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w:t>
      </w:r>
      <w:r>
        <w:rPr>
          <w:rFonts w:ascii="宋体" w:hAnsi="宋体" w:eastAsia="宋体" w:cs="宋体"/>
          <w:color w:val="auto"/>
          <w:spacing w:val="-1"/>
          <w:sz w:val="24"/>
          <w:szCs w:val="24"/>
          <w:highlight w:val="none"/>
        </w:rPr>
        <w:t>府采购法》第二十二条</w:t>
      </w:r>
      <w:r>
        <w:rPr>
          <w:rFonts w:ascii="宋体" w:hAnsi="宋体" w:eastAsia="宋体" w:cs="宋体"/>
          <w:color w:val="auto"/>
          <w:spacing w:val="-2"/>
          <w:sz w:val="24"/>
          <w:szCs w:val="24"/>
          <w:highlight w:val="none"/>
        </w:rPr>
        <w:t>规定。</w:t>
      </w:r>
    </w:p>
    <w:p w14:paraId="69FE91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2、落实政府采购政策需满足的资格要求：</w:t>
      </w:r>
      <w:r>
        <w:rPr>
          <w:rFonts w:hint="eastAsia" w:ascii="宋体" w:hAnsi="宋体" w:eastAsia="宋体" w:cs="宋体"/>
          <w:color w:val="auto"/>
          <w:spacing w:val="-1"/>
          <w:sz w:val="24"/>
          <w:szCs w:val="24"/>
          <w:highlight w:val="none"/>
          <w:lang w:val="en-US" w:eastAsia="zh-CN"/>
        </w:rPr>
        <w:t>本项目不专门面向中小企业。</w:t>
      </w:r>
    </w:p>
    <w:p w14:paraId="7F26D8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3、本项目</w:t>
      </w:r>
      <w:r>
        <w:rPr>
          <w:rFonts w:hint="eastAsia" w:ascii="宋体" w:hAnsi="宋体" w:eastAsia="宋体" w:cs="宋体"/>
          <w:color w:val="auto"/>
          <w:spacing w:val="-2"/>
          <w:sz w:val="24"/>
          <w:szCs w:val="24"/>
          <w:highlight w:val="none"/>
          <w:lang w:val="en-US" w:eastAsia="zh-CN"/>
        </w:rPr>
        <w:t>特定</w:t>
      </w:r>
      <w:r>
        <w:rPr>
          <w:rFonts w:ascii="宋体" w:hAnsi="宋体" w:eastAsia="宋体" w:cs="宋体"/>
          <w:color w:val="auto"/>
          <w:spacing w:val="-2"/>
          <w:sz w:val="24"/>
          <w:szCs w:val="24"/>
          <w:highlight w:val="none"/>
        </w:rPr>
        <w:t>资格要求：</w:t>
      </w:r>
    </w:p>
    <w:p w14:paraId="532265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9"/>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w:t>
      </w:r>
      <w:r>
        <w:rPr>
          <w:rFonts w:ascii="宋体" w:hAnsi="宋体" w:eastAsia="宋体" w:cs="宋体"/>
          <w:color w:val="auto"/>
          <w:sz w:val="24"/>
          <w:szCs w:val="24"/>
          <w:highlight w:val="none"/>
        </w:rPr>
        <w:t>须具备水利水电工程施工总承包叁级及以上资质；并在人员、设备、资金</w:t>
      </w:r>
      <w:r>
        <w:rPr>
          <w:rFonts w:ascii="宋体" w:hAnsi="宋体" w:eastAsia="宋体" w:cs="宋体"/>
          <w:color w:val="auto"/>
          <w:spacing w:val="-1"/>
          <w:sz w:val="24"/>
          <w:szCs w:val="24"/>
          <w:highlight w:val="none"/>
        </w:rPr>
        <w:t>等方面具有相应的施工能力；具备有效的安全生产许可证；</w:t>
      </w:r>
    </w:p>
    <w:p w14:paraId="4A00B5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）项目负责人资格要求：须具有有效的水利水电工程专业二级及以上注册建造师执业资格，本单位注册，不接受临时建造师证书，且具备有效的安全生产考核合格证书（B 类）；</w:t>
      </w:r>
    </w:p>
    <w:p w14:paraId="7343A4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bookmarkStart w:id="2" w:name="bookmark10"/>
      <w:bookmarkEnd w:id="2"/>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 xml:space="preserve">）本项目不接受联合体投标。 </w:t>
      </w:r>
    </w:p>
    <w:p w14:paraId="349B9E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三、获取竞争性磋商文件</w:t>
      </w:r>
    </w:p>
    <w:p w14:paraId="4C1823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w:t>
      </w:r>
      <w:r>
        <w:rPr>
          <w:rFonts w:ascii="宋体" w:hAnsi="宋体" w:eastAsia="宋体" w:cs="宋体"/>
          <w:color w:val="auto"/>
          <w:sz w:val="24"/>
          <w:szCs w:val="24"/>
          <w:highlight w:val="none"/>
        </w:rPr>
        <w:t xml:space="preserve">日 </w:t>
      </w:r>
    </w:p>
    <w:p w14:paraId="07BBE9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地点：政采云https://www.zcygov.cn/平台</w:t>
      </w:r>
    </w:p>
    <w:p w14:paraId="713C29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方式：线上获取，供应商登录政采云平台https://www.zcygov.cn/在线申请获取招标文件。（进入“项目采购”应用，在获取招标文件菜单中选择项目，申请获取招标文件）。</w:t>
      </w:r>
    </w:p>
    <w:p w14:paraId="782399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售价：人民币 0 元。</w:t>
      </w:r>
    </w:p>
    <w:p w14:paraId="6BD2EE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四、响应文件提交</w:t>
      </w:r>
    </w:p>
    <w:p w14:paraId="2625BE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ascii="宋体" w:hAnsi="宋体" w:eastAsia="宋体" w:cs="宋体"/>
          <w:color w:val="auto"/>
          <w:sz w:val="24"/>
          <w:szCs w:val="24"/>
          <w:highlight w:val="none"/>
        </w:rPr>
        <w:t>日1</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0分（北京时间）</w:t>
      </w:r>
    </w:p>
    <w:p w14:paraId="6FB9D5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地点：政采云平台 http://www.zcygov.cn/ </w:t>
      </w:r>
    </w:p>
    <w:p w14:paraId="106EE3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五、开启时间：202</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ascii="宋体" w:hAnsi="宋体" w:eastAsia="宋体" w:cs="宋体"/>
          <w:color w:val="auto"/>
          <w:sz w:val="24"/>
          <w:szCs w:val="24"/>
          <w:highlight w:val="none"/>
        </w:rPr>
        <w:t>日1</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0分（北京时间）</w:t>
      </w:r>
    </w:p>
    <w:p w14:paraId="5A8666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地点：政采云平台 http://www.zcygov.cn/ </w:t>
      </w:r>
    </w:p>
    <w:p w14:paraId="3FD3CC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lang w:val="en-US" w:eastAsia="zh-CN"/>
        </w:rPr>
        <w:t xml:space="preserve">  </w:t>
      </w:r>
    </w:p>
    <w:p w14:paraId="5FC4F8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自本公告发布之日起5个工作日。</w:t>
      </w:r>
    </w:p>
    <w:p w14:paraId="54E84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七、其他补充事宜</w:t>
      </w:r>
    </w:p>
    <w:p w14:paraId="696E8F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本项目的建设符合国家、自治区以工代赈项目要求和标准，可有效带动乡村群众就地就近就业增收，通过以工代赈项目实施，可进一步提升乡村群众的就业技能培训，提升稳定就业几率，对乡村农业发展有着重大示范带动作用。</w:t>
      </w:r>
    </w:p>
    <w:p w14:paraId="0E7C33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2.本工程总投资为7980000.00元，其中须发放劳务报酬278万元,占投入以工代赈资金的34.84%，并尽可能提高劳务报酬发放比例。</w:t>
      </w:r>
    </w:p>
    <w:p w14:paraId="666A92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带动当地群众务工</w:t>
      </w: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rPr>
        <w:t>人，开展技能培训</w:t>
      </w: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rPr>
        <w:t>人，劳务报酬通过“新薪通”平台统一发放。</w:t>
      </w:r>
    </w:p>
    <w:p w14:paraId="1D5A706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采用“公益性基础设施建设+劳务报酬发放+就业技能培训+公益性岗位设置”模式实施，切实发挥本项目赈济作用，促进当地群众就地就近就业增收。在保证工程质量的前提下，按照“能用人工尽量不用机械，能组织当地群众务工尽量不用专业施工队伍”，加强当地群众务工组织，及时足额发放劳务报酬，且不得将租赁当地群众机械设备等费用计入劳务报酬。</w:t>
      </w:r>
    </w:p>
    <w:p w14:paraId="5C0FBD7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本项目采用全流程不见面电子开评标，投标供应商需要使用CA 加密设备，供应商可通过新疆数字证书认证中心官网（https://www.xjca.com.cn/）或下载“新疆政务通 ”APP 自行进行申领。</w:t>
      </w:r>
    </w:p>
    <w:p w14:paraId="17DD5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ascii="宋体" w:hAnsi="宋体" w:eastAsia="宋体" w:cs="宋体"/>
          <w:color w:val="auto"/>
          <w:sz w:val="24"/>
          <w:szCs w:val="24"/>
          <w:highlight w:val="none"/>
        </w:rPr>
        <w:t>.本项目实行网上投标</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采用加密电子投标文件(供应商须使用CA 加密设备通过政采云电子投标客户端制作投标文件)。若供应商参与投标，自行承担投标一切费用。</w:t>
      </w:r>
    </w:p>
    <w:p w14:paraId="6A8C64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rPr>
        <w:t>.各供应商在开标前应确保成为新疆维吾尔自治区政府采购网正式注册入库供应商（已在政府采购云平台其他省份入驻的供应商无须重复注册），并完成CA 数字证书申领。因未注册入库、未办理 CA 数字证书等原因造成无法投标或投标失败等后果由供应商自行承担。</w:t>
      </w:r>
    </w:p>
    <w:p w14:paraId="0E5404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rPr>
        <w:t>.供应商将政采云电子交易客户端下载、安装完成后，可通过账号密码或 CA 登录客户端进行投标文件制作。在使用政采云投标客户端时，建议使用WIN7+64 位及以上操作系统。客户端请至新疆政府采购网（http://www.ccgp-xinjiang.gov.cn/）下载专区查看。</w:t>
      </w:r>
    </w:p>
    <w:p w14:paraId="233ADE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rPr>
        <w:t>.供应商在开标时须使用制作加密电子投标文件所使用的 CA 锁及电脑，电脑须提前配置好浏览器（建议使用谷歌浏览器），以便开标时解锁。</w:t>
      </w:r>
    </w:p>
    <w:p w14:paraId="2F68E8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.供应商对不见面开评标系统的技术操作咨询，可通过（</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"https://edu.zcygov.cn/luban/xinjiang-e-biding" </w:instrText>
      </w:r>
      <w:r>
        <w:rPr>
          <w:rFonts w:ascii="宋体" w:hAnsi="宋体" w:eastAsia="宋体" w:cs="宋体"/>
          <w:color w:val="auto"/>
          <w:sz w:val="24"/>
          <w:szCs w:val="24"/>
          <w:highlight w:val="none"/>
        </w:rPr>
        <w:fldChar w:fldCharType="separate"/>
      </w:r>
      <w:r>
        <w:rPr>
          <w:rFonts w:ascii="宋体" w:hAnsi="宋体" w:eastAsia="宋体" w:cs="宋体"/>
          <w:color w:val="auto"/>
          <w:sz w:val="24"/>
          <w:szCs w:val="24"/>
          <w:highlight w:val="none"/>
        </w:rPr>
        <w:t>https://edu.zcygov.cn/luban/xinjiang-e-biding</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 自助查询，也可在政采云帮助中心常见问题解答和操作流程讲解视频中自助查询，网址为：</w:t>
      </w:r>
    </w:p>
    <w:p w14:paraId="1F40E4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ascii="宋体" w:hAnsi="宋体" w:eastAsia="宋体" w:cs="宋体"/>
          <w:color w:val="auto"/>
          <w:sz w:val="24"/>
          <w:szCs w:val="24"/>
          <w:highlight w:val="none"/>
        </w:rPr>
        <w:fldChar w:fldCharType="begin"/>
      </w:r>
      <w:r>
        <w:rPr>
          <w:rFonts w:ascii="宋体" w:hAnsi="宋体" w:eastAsia="宋体" w:cs="宋体"/>
          <w:color w:val="auto"/>
          <w:sz w:val="24"/>
          <w:szCs w:val="24"/>
          <w:highlight w:val="none"/>
        </w:rPr>
        <w:instrText xml:space="preserve"> HYPERLINK "https://service.zcygov.cn/#/help" </w:instrText>
      </w:r>
      <w:r>
        <w:rPr>
          <w:rFonts w:ascii="宋体" w:hAnsi="宋体" w:eastAsia="宋体" w:cs="宋体"/>
          <w:color w:val="auto"/>
          <w:sz w:val="24"/>
          <w:szCs w:val="24"/>
          <w:highlight w:val="none"/>
        </w:rPr>
        <w:fldChar w:fldCharType="separate"/>
      </w:r>
      <w:r>
        <w:rPr>
          <w:rFonts w:ascii="宋体" w:hAnsi="宋体" w:eastAsia="宋体" w:cs="宋体"/>
          <w:color w:val="auto"/>
          <w:sz w:val="24"/>
          <w:szCs w:val="24"/>
          <w:highlight w:val="none"/>
        </w:rPr>
        <w:t>https://service.zcygov.cn/#/help</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），“项目采购 ”—“操作流程-电子招投标 ”—“政府采购项目电子交易管理操作指南-供应商 ”版面获取操作指南。</w:t>
      </w:r>
    </w:p>
    <w:p w14:paraId="6FCB22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八、凡对本次采购提出询问，请按以下方式联系。</w:t>
      </w:r>
    </w:p>
    <w:p w14:paraId="30CD14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1.采购人信息</w:t>
      </w:r>
    </w:p>
    <w:p w14:paraId="272739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伊宁市潘津镇人民政府</w:t>
      </w:r>
      <w:r>
        <w:rPr>
          <w:rFonts w:ascii="宋体" w:hAnsi="宋体" w:eastAsia="宋体" w:cs="宋体"/>
          <w:color w:val="auto"/>
          <w:sz w:val="24"/>
          <w:szCs w:val="24"/>
          <w:highlight w:val="none"/>
        </w:rPr>
        <w:t xml:space="preserve">  </w:t>
      </w:r>
    </w:p>
    <w:p w14:paraId="6180F2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rPr>
        <w:t>虎振国</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18699935677</w:t>
      </w:r>
      <w:r>
        <w:rPr>
          <w:rFonts w:ascii="宋体" w:hAnsi="宋体" w:eastAsia="宋体" w:cs="宋体"/>
          <w:color w:val="auto"/>
          <w:sz w:val="24"/>
          <w:szCs w:val="24"/>
          <w:highlight w:val="none"/>
        </w:rPr>
        <w:t xml:space="preserve"> </w:t>
      </w:r>
    </w:p>
    <w:p w14:paraId="755796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采购代理机构信息</w:t>
      </w:r>
    </w:p>
    <w:p w14:paraId="6233A7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乌鲁木齐鑫盛开源工程项目管理有限公司</w:t>
      </w:r>
      <w:r>
        <w:rPr>
          <w:rFonts w:ascii="宋体" w:hAnsi="宋体" w:eastAsia="宋体" w:cs="宋体"/>
          <w:color w:val="auto"/>
          <w:sz w:val="24"/>
          <w:szCs w:val="24"/>
          <w:highlight w:val="none"/>
        </w:rPr>
        <w:t xml:space="preserve"> </w:t>
      </w:r>
    </w:p>
    <w:p w14:paraId="216BD2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蔡琰  13679942122</w:t>
      </w:r>
    </w:p>
    <w:p w14:paraId="53C097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val="en-US" w:eastAsia="zh-CN"/>
        </w:rPr>
      </w:pPr>
    </w:p>
    <w:p w14:paraId="2B840B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val="en-US" w:eastAsia="zh-CN"/>
        </w:rPr>
      </w:pPr>
    </w:p>
    <w:p w14:paraId="6BCB48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val="en-US" w:eastAsia="zh-CN"/>
        </w:rPr>
      </w:pPr>
    </w:p>
    <w:p w14:paraId="1FA29A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宋体" w:hAnsi="宋体" w:eastAsia="宋体" w:cs="宋体"/>
          <w:color w:val="auto"/>
          <w:sz w:val="24"/>
          <w:szCs w:val="24"/>
          <w:highlight w:val="none"/>
          <w:lang w:val="en-US" w:eastAsia="zh-CN"/>
        </w:rPr>
      </w:pPr>
    </w:p>
    <w:p w14:paraId="0D3BF0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outlineLvl w:val="0"/>
        <w:rPr>
          <w:color w:val="auto"/>
          <w:highlight w:val="none"/>
        </w:rPr>
      </w:pPr>
      <w:r>
        <w:rPr>
          <w:rFonts w:ascii="宋体" w:hAnsi="宋体" w:eastAsia="宋体" w:cs="宋体"/>
          <w:b/>
          <w:bCs/>
          <w:color w:val="auto"/>
          <w:spacing w:val="6"/>
          <w:sz w:val="31"/>
          <w:szCs w:val="31"/>
          <w:highlight w:val="none"/>
        </w:rPr>
        <w:t>第二章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投标人须知前附表</w:t>
      </w:r>
    </w:p>
    <w:tbl>
      <w:tblPr>
        <w:tblStyle w:val="13"/>
        <w:tblpPr w:leftFromText="180" w:rightFromText="180" w:vertAnchor="text" w:horzAnchor="page" w:tblpXSpec="center" w:tblpY="374"/>
        <w:tblOverlap w:val="never"/>
        <w:tblW w:w="87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211"/>
        <w:gridCol w:w="23"/>
        <w:gridCol w:w="6883"/>
        <w:gridCol w:w="23"/>
      </w:tblGrid>
      <w:tr w14:paraId="122D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40" w:hRule="atLeast"/>
          <w:jc w:val="center"/>
        </w:trPr>
        <w:tc>
          <w:tcPr>
            <w:tcW w:w="601" w:type="dxa"/>
            <w:vAlign w:val="top"/>
          </w:tcPr>
          <w:p w14:paraId="44C8EEC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bookmarkStart w:id="3" w:name="bookmark2"/>
            <w:bookmarkEnd w:id="3"/>
            <w:bookmarkStart w:id="4" w:name="_Toc31792"/>
            <w:r>
              <w:rPr>
                <w:b/>
                <w:bCs/>
                <w:color w:val="auto"/>
                <w:spacing w:val="0"/>
                <w:highlight w:val="none"/>
              </w:rPr>
              <w:t>项号</w:t>
            </w:r>
          </w:p>
        </w:tc>
        <w:tc>
          <w:tcPr>
            <w:tcW w:w="8117" w:type="dxa"/>
            <w:gridSpan w:val="3"/>
            <w:vAlign w:val="top"/>
          </w:tcPr>
          <w:p w14:paraId="75459D0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b/>
                <w:bCs/>
                <w:color w:val="auto"/>
                <w:spacing w:val="0"/>
                <w:highlight w:val="none"/>
              </w:rPr>
              <w:t>编</w:t>
            </w:r>
            <w:r>
              <w:rPr>
                <w:color w:val="auto"/>
                <w:spacing w:val="0"/>
                <w:highlight w:val="none"/>
              </w:rPr>
              <w:t xml:space="preserve"> </w:t>
            </w:r>
            <w:r>
              <w:rPr>
                <w:b/>
                <w:bCs/>
                <w:color w:val="auto"/>
                <w:spacing w:val="0"/>
                <w:highlight w:val="none"/>
              </w:rPr>
              <w:t>列</w:t>
            </w:r>
            <w:r>
              <w:rPr>
                <w:color w:val="auto"/>
                <w:spacing w:val="0"/>
                <w:highlight w:val="none"/>
              </w:rPr>
              <w:t xml:space="preserve"> </w:t>
            </w:r>
            <w:r>
              <w:rPr>
                <w:b/>
                <w:bCs/>
                <w:color w:val="auto"/>
                <w:spacing w:val="0"/>
                <w:highlight w:val="none"/>
              </w:rPr>
              <w:t>内</w:t>
            </w:r>
            <w:r>
              <w:rPr>
                <w:color w:val="auto"/>
                <w:spacing w:val="0"/>
                <w:highlight w:val="none"/>
              </w:rPr>
              <w:t xml:space="preserve"> </w:t>
            </w:r>
            <w:r>
              <w:rPr>
                <w:b/>
                <w:bCs/>
                <w:color w:val="auto"/>
                <w:spacing w:val="0"/>
                <w:highlight w:val="none"/>
              </w:rPr>
              <w:t>容</w:t>
            </w:r>
          </w:p>
        </w:tc>
      </w:tr>
      <w:tr w14:paraId="7B0C2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82" w:hRule="atLeast"/>
          <w:jc w:val="center"/>
        </w:trPr>
        <w:tc>
          <w:tcPr>
            <w:tcW w:w="601" w:type="dxa"/>
            <w:vMerge w:val="restart"/>
            <w:tcBorders>
              <w:bottom w:val="nil"/>
            </w:tcBorders>
            <w:vAlign w:val="center"/>
          </w:tcPr>
          <w:p w14:paraId="280ADAE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w:t>
            </w:r>
          </w:p>
        </w:tc>
        <w:tc>
          <w:tcPr>
            <w:tcW w:w="1211" w:type="dxa"/>
            <w:vAlign w:val="top"/>
          </w:tcPr>
          <w:p w14:paraId="63A506E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采 购 人</w:t>
            </w:r>
          </w:p>
        </w:tc>
        <w:tc>
          <w:tcPr>
            <w:tcW w:w="6906" w:type="dxa"/>
            <w:gridSpan w:val="2"/>
            <w:vAlign w:val="center"/>
          </w:tcPr>
          <w:p w14:paraId="262D58D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eastAsia="宋体"/>
                <w:color w:val="auto"/>
                <w:spacing w:val="0"/>
                <w:highlight w:val="none"/>
                <w:lang w:eastAsia="zh-CN"/>
              </w:rPr>
            </w:pPr>
            <w:r>
              <w:rPr>
                <w:rFonts w:hint="eastAsia"/>
                <w:color w:val="auto"/>
                <w:spacing w:val="0"/>
                <w:highlight w:val="none"/>
                <w:lang w:eastAsia="zh-CN"/>
              </w:rPr>
              <w:t>伊宁市潘津镇人民政府</w:t>
            </w:r>
          </w:p>
        </w:tc>
      </w:tr>
      <w:tr w14:paraId="79BE7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2" w:hRule="atLeast"/>
          <w:jc w:val="center"/>
        </w:trPr>
        <w:tc>
          <w:tcPr>
            <w:tcW w:w="601" w:type="dxa"/>
            <w:vMerge w:val="continue"/>
            <w:tcBorders>
              <w:top w:val="nil"/>
            </w:tcBorders>
            <w:vAlign w:val="center"/>
          </w:tcPr>
          <w:p w14:paraId="48C7B3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tc>
        <w:tc>
          <w:tcPr>
            <w:tcW w:w="1211" w:type="dxa"/>
            <w:vAlign w:val="top"/>
          </w:tcPr>
          <w:p w14:paraId="1B4454D9">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采    购 代理机构</w:t>
            </w:r>
          </w:p>
        </w:tc>
        <w:tc>
          <w:tcPr>
            <w:tcW w:w="6906" w:type="dxa"/>
            <w:gridSpan w:val="2"/>
            <w:vAlign w:val="center"/>
          </w:tcPr>
          <w:p w14:paraId="2521C628">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eastAsia="宋体"/>
                <w:color w:val="auto"/>
                <w:spacing w:val="0"/>
                <w:highlight w:val="none"/>
                <w:lang w:eastAsia="zh-CN"/>
              </w:rPr>
            </w:pPr>
            <w:r>
              <w:rPr>
                <w:rFonts w:hint="eastAsia"/>
                <w:color w:val="auto"/>
                <w:spacing w:val="0"/>
                <w:highlight w:val="none"/>
                <w:lang w:eastAsia="zh-CN"/>
              </w:rPr>
              <w:t>乌鲁木齐鑫盛开源工程项目管理有限公司</w:t>
            </w:r>
          </w:p>
        </w:tc>
      </w:tr>
      <w:tr w14:paraId="3A347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26" w:hRule="atLeast"/>
          <w:jc w:val="center"/>
        </w:trPr>
        <w:tc>
          <w:tcPr>
            <w:tcW w:w="601" w:type="dxa"/>
            <w:vMerge w:val="restart"/>
            <w:tcBorders>
              <w:bottom w:val="nil"/>
            </w:tcBorders>
            <w:vAlign w:val="center"/>
          </w:tcPr>
          <w:p w14:paraId="152B8C9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2</w:t>
            </w:r>
          </w:p>
        </w:tc>
        <w:tc>
          <w:tcPr>
            <w:tcW w:w="1211" w:type="dxa"/>
            <w:vAlign w:val="top"/>
          </w:tcPr>
          <w:p w14:paraId="3B996F7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项目名称</w:t>
            </w:r>
          </w:p>
        </w:tc>
        <w:tc>
          <w:tcPr>
            <w:tcW w:w="6906" w:type="dxa"/>
            <w:gridSpan w:val="2"/>
            <w:vAlign w:val="center"/>
          </w:tcPr>
          <w:p w14:paraId="7EDA8B2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eastAsia="宋体"/>
                <w:color w:val="auto"/>
                <w:spacing w:val="0"/>
                <w:highlight w:val="none"/>
                <w:lang w:eastAsia="zh-CN"/>
              </w:rPr>
            </w:pPr>
            <w:r>
              <w:rPr>
                <w:rFonts w:hint="eastAsia"/>
                <w:color w:val="auto"/>
                <w:spacing w:val="0"/>
                <w:highlight w:val="none"/>
                <w:lang w:eastAsia="zh-CN"/>
              </w:rPr>
              <w:t>伊宁市潘津镇2025年以工代赈示范工程水利配套项目</w:t>
            </w:r>
          </w:p>
        </w:tc>
      </w:tr>
      <w:tr w14:paraId="60C58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32" w:hRule="atLeast"/>
          <w:jc w:val="center"/>
        </w:trPr>
        <w:tc>
          <w:tcPr>
            <w:tcW w:w="601" w:type="dxa"/>
            <w:vMerge w:val="continue"/>
            <w:tcBorders>
              <w:top w:val="nil"/>
              <w:bottom w:val="nil"/>
            </w:tcBorders>
            <w:vAlign w:val="top"/>
          </w:tcPr>
          <w:p w14:paraId="5FED69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4F2AC7D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项目编号</w:t>
            </w:r>
          </w:p>
        </w:tc>
        <w:tc>
          <w:tcPr>
            <w:tcW w:w="6906" w:type="dxa"/>
            <w:gridSpan w:val="2"/>
            <w:vAlign w:val="center"/>
          </w:tcPr>
          <w:p w14:paraId="3A746D34">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eastAsia="宋体"/>
                <w:color w:val="auto"/>
                <w:spacing w:val="0"/>
                <w:highlight w:val="none"/>
                <w:lang w:eastAsia="zh-CN"/>
              </w:rPr>
            </w:pPr>
            <w:r>
              <w:rPr>
                <w:rFonts w:hint="eastAsia"/>
                <w:color w:val="auto"/>
                <w:spacing w:val="0"/>
                <w:highlight w:val="none"/>
                <w:lang w:eastAsia="zh-CN"/>
              </w:rPr>
              <w:t>YNS-PJZ-YGDS-2025001</w:t>
            </w:r>
          </w:p>
        </w:tc>
      </w:tr>
      <w:tr w14:paraId="286B6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2" w:hRule="atLeast"/>
          <w:jc w:val="center"/>
        </w:trPr>
        <w:tc>
          <w:tcPr>
            <w:tcW w:w="601" w:type="dxa"/>
            <w:vMerge w:val="continue"/>
            <w:tcBorders>
              <w:top w:val="nil"/>
              <w:bottom w:val="nil"/>
            </w:tcBorders>
            <w:vAlign w:val="top"/>
          </w:tcPr>
          <w:p w14:paraId="39D0A6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1CBC8C0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项目规模</w:t>
            </w:r>
          </w:p>
        </w:tc>
        <w:tc>
          <w:tcPr>
            <w:tcW w:w="6906" w:type="dxa"/>
            <w:gridSpan w:val="2"/>
            <w:vAlign w:val="center"/>
          </w:tcPr>
          <w:p w14:paraId="59F79A0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
              <w:jc w:val="both"/>
              <w:textAlignment w:val="baseline"/>
              <w:rPr>
                <w:color w:val="auto"/>
                <w:spacing w:val="0"/>
                <w:highlight w:val="none"/>
              </w:rPr>
            </w:pPr>
            <w:r>
              <w:rPr>
                <w:rFonts w:hint="eastAsia"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新建排洪渠道2100米及相关配套附属建筑物29座，其中:格宾石笼渠道1060米，混凝土渠道1040米，桥涵22座(含户前桥)，谷坊7座</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2、新建过水路面3处</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3、新建及改建渠道总长10000米及配套建筑物63座，其中:UD80渠道3000米，UD60渠道4130米，UD40渠道2150米，梯形渠道(上口3m)720米，渡槽1座</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分水闸30座，涵管桥32处。</w:t>
            </w:r>
            <w:r>
              <w:rPr>
                <w:color w:val="auto"/>
                <w:spacing w:val="0"/>
                <w:highlight w:val="none"/>
              </w:rPr>
              <w:t>（包含工程量清单范围内全部内容）</w:t>
            </w:r>
          </w:p>
        </w:tc>
      </w:tr>
      <w:tr w14:paraId="147C8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jc w:val="center"/>
        </w:trPr>
        <w:tc>
          <w:tcPr>
            <w:tcW w:w="601" w:type="dxa"/>
            <w:vMerge w:val="continue"/>
            <w:tcBorders>
              <w:top w:val="nil"/>
              <w:bottom w:val="nil"/>
            </w:tcBorders>
            <w:vAlign w:val="top"/>
          </w:tcPr>
          <w:p w14:paraId="2E1C61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6A242A6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项目内容</w:t>
            </w:r>
          </w:p>
        </w:tc>
        <w:tc>
          <w:tcPr>
            <w:tcW w:w="6906" w:type="dxa"/>
            <w:gridSpan w:val="2"/>
            <w:vAlign w:val="center"/>
          </w:tcPr>
          <w:p w14:paraId="45936FB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磋商文件规定的全套施工图纸内容、工程量清单、答疑所示全部 施工内容</w:t>
            </w:r>
          </w:p>
        </w:tc>
      </w:tr>
      <w:tr w14:paraId="0493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2" w:hRule="atLeast"/>
          <w:jc w:val="center"/>
        </w:trPr>
        <w:tc>
          <w:tcPr>
            <w:tcW w:w="601" w:type="dxa"/>
            <w:vMerge w:val="continue"/>
            <w:tcBorders>
              <w:top w:val="nil"/>
              <w:bottom w:val="nil"/>
            </w:tcBorders>
            <w:vAlign w:val="top"/>
          </w:tcPr>
          <w:p w14:paraId="6FDE3E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center"/>
          </w:tcPr>
          <w:p w14:paraId="6B1F3D3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最高限价</w:t>
            </w:r>
          </w:p>
        </w:tc>
        <w:tc>
          <w:tcPr>
            <w:tcW w:w="6906" w:type="dxa"/>
            <w:gridSpan w:val="2"/>
            <w:vAlign w:val="top"/>
          </w:tcPr>
          <w:p w14:paraId="7E68C06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4"/>
              <w:textAlignment w:val="baseline"/>
              <w:rPr>
                <w:color w:val="auto"/>
                <w:spacing w:val="0"/>
                <w:highlight w:val="none"/>
              </w:rPr>
            </w:pPr>
            <w:r>
              <w:rPr>
                <w:rFonts w:hint="eastAsia"/>
                <w:color w:val="auto"/>
                <w:spacing w:val="0"/>
                <w:highlight w:val="none"/>
                <w:lang w:val="en-US" w:eastAsia="zh-CN"/>
              </w:rPr>
              <w:t>7624009.94</w:t>
            </w:r>
            <w:r>
              <w:rPr>
                <w:color w:val="auto"/>
                <w:spacing w:val="0"/>
                <w:highlight w:val="none"/>
              </w:rPr>
              <w:t xml:space="preserve"> 元(投标人报价均不得超过此限价，超过此限价视为无效投标)</w:t>
            </w:r>
          </w:p>
        </w:tc>
      </w:tr>
      <w:tr w14:paraId="0E5E5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21" w:hRule="atLeast"/>
          <w:jc w:val="center"/>
        </w:trPr>
        <w:tc>
          <w:tcPr>
            <w:tcW w:w="601" w:type="dxa"/>
            <w:vMerge w:val="continue"/>
            <w:tcBorders>
              <w:top w:val="nil"/>
              <w:bottom w:val="nil"/>
            </w:tcBorders>
            <w:vAlign w:val="top"/>
          </w:tcPr>
          <w:p w14:paraId="443E9D7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420351E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承包方式</w:t>
            </w:r>
          </w:p>
        </w:tc>
        <w:tc>
          <w:tcPr>
            <w:tcW w:w="6906" w:type="dxa"/>
            <w:gridSpan w:val="2"/>
            <w:vAlign w:val="top"/>
          </w:tcPr>
          <w:p w14:paraId="30FB48B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包工包料</w:t>
            </w:r>
          </w:p>
        </w:tc>
      </w:tr>
      <w:tr w14:paraId="31889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20" w:hRule="atLeast"/>
          <w:jc w:val="center"/>
        </w:trPr>
        <w:tc>
          <w:tcPr>
            <w:tcW w:w="601" w:type="dxa"/>
            <w:vMerge w:val="continue"/>
            <w:tcBorders>
              <w:top w:val="nil"/>
              <w:bottom w:val="nil"/>
            </w:tcBorders>
            <w:vAlign w:val="top"/>
          </w:tcPr>
          <w:p w14:paraId="736EEF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293E9C5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建设地点</w:t>
            </w:r>
          </w:p>
        </w:tc>
        <w:tc>
          <w:tcPr>
            <w:tcW w:w="6906" w:type="dxa"/>
            <w:gridSpan w:val="2"/>
            <w:vAlign w:val="top"/>
          </w:tcPr>
          <w:p w14:paraId="2750772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采购人指定区域</w:t>
            </w:r>
          </w:p>
        </w:tc>
      </w:tr>
      <w:tr w14:paraId="695BF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67" w:hRule="atLeast"/>
          <w:jc w:val="center"/>
        </w:trPr>
        <w:tc>
          <w:tcPr>
            <w:tcW w:w="601" w:type="dxa"/>
            <w:vMerge w:val="continue"/>
            <w:tcBorders>
              <w:top w:val="nil"/>
              <w:bottom w:val="nil"/>
            </w:tcBorders>
            <w:vAlign w:val="top"/>
          </w:tcPr>
          <w:p w14:paraId="148B4F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6DB27B8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工     期</w:t>
            </w:r>
          </w:p>
        </w:tc>
        <w:tc>
          <w:tcPr>
            <w:tcW w:w="6906" w:type="dxa"/>
            <w:gridSpan w:val="2"/>
            <w:vAlign w:val="top"/>
          </w:tcPr>
          <w:p w14:paraId="2493EA5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 xml:space="preserve">自合同签订之日起 </w:t>
            </w:r>
            <w:r>
              <w:rPr>
                <w:rFonts w:hint="eastAsia"/>
                <w:color w:val="auto"/>
                <w:spacing w:val="0"/>
                <w:highlight w:val="none"/>
                <w:lang w:val="en-US" w:eastAsia="zh-CN"/>
              </w:rPr>
              <w:t>100</w:t>
            </w:r>
            <w:r>
              <w:rPr>
                <w:color w:val="auto"/>
                <w:spacing w:val="0"/>
                <w:highlight w:val="none"/>
              </w:rPr>
              <w:t>日历天</w:t>
            </w:r>
          </w:p>
        </w:tc>
      </w:tr>
      <w:tr w14:paraId="5CB7C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02" w:hRule="atLeast"/>
          <w:jc w:val="center"/>
        </w:trPr>
        <w:tc>
          <w:tcPr>
            <w:tcW w:w="601" w:type="dxa"/>
            <w:vMerge w:val="continue"/>
            <w:tcBorders>
              <w:top w:val="nil"/>
              <w:bottom w:val="nil"/>
            </w:tcBorders>
            <w:vAlign w:val="top"/>
          </w:tcPr>
          <w:p w14:paraId="7E30A9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6469C403">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保 修 期</w:t>
            </w:r>
          </w:p>
        </w:tc>
        <w:tc>
          <w:tcPr>
            <w:tcW w:w="6906" w:type="dxa"/>
            <w:gridSpan w:val="2"/>
            <w:vAlign w:val="top"/>
          </w:tcPr>
          <w:p w14:paraId="35810CA9">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rFonts w:hint="eastAsia"/>
                <w:color w:val="auto"/>
                <w:spacing w:val="0"/>
                <w:highlight w:val="none"/>
                <w:lang w:val="en-US" w:eastAsia="zh-CN"/>
              </w:rPr>
              <w:t>2</w:t>
            </w:r>
            <w:r>
              <w:rPr>
                <w:color w:val="auto"/>
                <w:spacing w:val="0"/>
                <w:highlight w:val="none"/>
              </w:rPr>
              <w:t>年</w:t>
            </w:r>
          </w:p>
        </w:tc>
      </w:tr>
      <w:tr w14:paraId="1C020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58" w:hRule="atLeast"/>
          <w:jc w:val="center"/>
        </w:trPr>
        <w:tc>
          <w:tcPr>
            <w:tcW w:w="601" w:type="dxa"/>
            <w:vMerge w:val="continue"/>
            <w:tcBorders>
              <w:top w:val="nil"/>
              <w:bottom w:val="nil"/>
            </w:tcBorders>
            <w:vAlign w:val="top"/>
          </w:tcPr>
          <w:p w14:paraId="182061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0B39048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质量要求</w:t>
            </w:r>
          </w:p>
        </w:tc>
        <w:tc>
          <w:tcPr>
            <w:tcW w:w="6906" w:type="dxa"/>
            <w:gridSpan w:val="2"/>
            <w:vAlign w:val="top"/>
          </w:tcPr>
          <w:p w14:paraId="5F454FE9">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符合现行国家有关工程施工验收规范和标准，达到合格</w:t>
            </w:r>
          </w:p>
        </w:tc>
      </w:tr>
      <w:tr w14:paraId="7CAC3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54" w:hRule="atLeast"/>
          <w:jc w:val="center"/>
        </w:trPr>
        <w:tc>
          <w:tcPr>
            <w:tcW w:w="601" w:type="dxa"/>
            <w:vMerge w:val="continue"/>
            <w:tcBorders>
              <w:top w:val="nil"/>
              <w:bottom w:val="nil"/>
            </w:tcBorders>
            <w:vAlign w:val="top"/>
          </w:tcPr>
          <w:p w14:paraId="00E54E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459E9688">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招标方式</w:t>
            </w:r>
          </w:p>
        </w:tc>
        <w:tc>
          <w:tcPr>
            <w:tcW w:w="6906" w:type="dxa"/>
            <w:gridSpan w:val="2"/>
            <w:vAlign w:val="top"/>
          </w:tcPr>
          <w:p w14:paraId="44D117C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竞争性磋商</w:t>
            </w:r>
          </w:p>
        </w:tc>
      </w:tr>
      <w:tr w14:paraId="12148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2" w:hRule="atLeast"/>
          <w:jc w:val="center"/>
        </w:trPr>
        <w:tc>
          <w:tcPr>
            <w:tcW w:w="601" w:type="dxa"/>
            <w:vMerge w:val="continue"/>
            <w:tcBorders>
              <w:top w:val="nil"/>
            </w:tcBorders>
            <w:vAlign w:val="top"/>
          </w:tcPr>
          <w:p w14:paraId="443B378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626AFF1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采购范围</w:t>
            </w:r>
          </w:p>
        </w:tc>
        <w:tc>
          <w:tcPr>
            <w:tcW w:w="6906" w:type="dxa"/>
            <w:gridSpan w:val="2"/>
            <w:vAlign w:val="top"/>
          </w:tcPr>
          <w:p w14:paraId="0872458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工程量清单所有工作内容、施工图纸所有工作内容、磋商文件补 充、设计变更内容及清单内容。</w:t>
            </w:r>
          </w:p>
        </w:tc>
      </w:tr>
      <w:tr w14:paraId="3EB7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67" w:hRule="atLeast"/>
          <w:jc w:val="center"/>
        </w:trPr>
        <w:tc>
          <w:tcPr>
            <w:tcW w:w="601" w:type="dxa"/>
            <w:vMerge w:val="restart"/>
            <w:tcBorders>
              <w:bottom w:val="nil"/>
            </w:tcBorders>
            <w:vAlign w:val="center"/>
          </w:tcPr>
          <w:p w14:paraId="27CDB07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3</w:t>
            </w:r>
          </w:p>
        </w:tc>
        <w:tc>
          <w:tcPr>
            <w:tcW w:w="1211" w:type="dxa"/>
            <w:vAlign w:val="top"/>
          </w:tcPr>
          <w:p w14:paraId="1D1D7E3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项目支付</w:t>
            </w:r>
          </w:p>
        </w:tc>
        <w:tc>
          <w:tcPr>
            <w:tcW w:w="6906" w:type="dxa"/>
            <w:gridSpan w:val="2"/>
            <w:vAlign w:val="top"/>
          </w:tcPr>
          <w:p w14:paraId="707CBD1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按工程施工进度支付</w:t>
            </w:r>
          </w:p>
        </w:tc>
      </w:tr>
      <w:tr w14:paraId="66E88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17" w:hRule="atLeast"/>
          <w:jc w:val="center"/>
        </w:trPr>
        <w:tc>
          <w:tcPr>
            <w:tcW w:w="601" w:type="dxa"/>
            <w:vMerge w:val="continue"/>
            <w:tcBorders>
              <w:top w:val="nil"/>
              <w:bottom w:val="nil"/>
            </w:tcBorders>
            <w:vAlign w:val="top"/>
          </w:tcPr>
          <w:p w14:paraId="6DA4BC6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69A0261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现场踏勘</w:t>
            </w:r>
          </w:p>
        </w:tc>
        <w:tc>
          <w:tcPr>
            <w:tcW w:w="6906" w:type="dxa"/>
            <w:gridSpan w:val="2"/>
            <w:vAlign w:val="center"/>
          </w:tcPr>
          <w:p w14:paraId="5C34621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不组织</w:t>
            </w:r>
          </w:p>
        </w:tc>
      </w:tr>
      <w:tr w14:paraId="456E2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jc w:val="center"/>
        </w:trPr>
        <w:tc>
          <w:tcPr>
            <w:tcW w:w="601" w:type="dxa"/>
            <w:vMerge w:val="continue"/>
            <w:tcBorders>
              <w:top w:val="nil"/>
              <w:bottom w:val="nil"/>
            </w:tcBorders>
            <w:vAlign w:val="top"/>
          </w:tcPr>
          <w:p w14:paraId="575502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406A709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投    标 预 备 会</w:t>
            </w:r>
          </w:p>
        </w:tc>
        <w:tc>
          <w:tcPr>
            <w:tcW w:w="6906" w:type="dxa"/>
            <w:gridSpan w:val="2"/>
            <w:vAlign w:val="center"/>
          </w:tcPr>
          <w:p w14:paraId="3D0C395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不召开</w:t>
            </w:r>
          </w:p>
        </w:tc>
      </w:tr>
      <w:tr w14:paraId="13DC1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5" w:hRule="atLeast"/>
          <w:jc w:val="center"/>
        </w:trPr>
        <w:tc>
          <w:tcPr>
            <w:tcW w:w="601" w:type="dxa"/>
            <w:vMerge w:val="continue"/>
            <w:tcBorders>
              <w:top w:val="nil"/>
            </w:tcBorders>
            <w:vAlign w:val="top"/>
          </w:tcPr>
          <w:p w14:paraId="5FE89B1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top"/>
          </w:tcPr>
          <w:p w14:paraId="4AFF291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
              <w:textAlignment w:val="baseline"/>
              <w:rPr>
                <w:color w:val="auto"/>
                <w:spacing w:val="0"/>
                <w:highlight w:val="none"/>
              </w:rPr>
            </w:pPr>
            <w:r>
              <w:rPr>
                <w:color w:val="auto"/>
                <w:spacing w:val="0"/>
                <w:highlight w:val="none"/>
              </w:rPr>
              <w:t>联 合 体 投     标</w:t>
            </w:r>
          </w:p>
        </w:tc>
        <w:tc>
          <w:tcPr>
            <w:tcW w:w="6906" w:type="dxa"/>
            <w:gridSpan w:val="2"/>
            <w:vAlign w:val="center"/>
          </w:tcPr>
          <w:p w14:paraId="3A98891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不接受</w:t>
            </w:r>
          </w:p>
        </w:tc>
      </w:tr>
      <w:tr w14:paraId="7892C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7" w:hRule="atLeast"/>
          <w:jc w:val="center"/>
        </w:trPr>
        <w:tc>
          <w:tcPr>
            <w:tcW w:w="601" w:type="dxa"/>
            <w:vMerge w:val="restart"/>
            <w:tcBorders>
              <w:bottom w:val="nil"/>
            </w:tcBorders>
            <w:vAlign w:val="top"/>
          </w:tcPr>
          <w:p w14:paraId="754F5D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center"/>
          </w:tcPr>
          <w:p w14:paraId="1B768AF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9"/>
              <w:jc w:val="center"/>
              <w:textAlignment w:val="baseline"/>
              <w:rPr>
                <w:color w:val="auto"/>
                <w:spacing w:val="0"/>
                <w:highlight w:val="none"/>
              </w:rPr>
            </w:pPr>
            <w:r>
              <w:rPr>
                <w:color w:val="auto"/>
                <w:spacing w:val="0"/>
                <w:highlight w:val="none"/>
              </w:rPr>
              <w:t>资格审查 方    式</w:t>
            </w:r>
          </w:p>
        </w:tc>
        <w:tc>
          <w:tcPr>
            <w:tcW w:w="6906" w:type="dxa"/>
            <w:gridSpan w:val="2"/>
            <w:vAlign w:val="center"/>
          </w:tcPr>
          <w:p w14:paraId="3B72466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资格后审</w:t>
            </w:r>
          </w:p>
        </w:tc>
      </w:tr>
      <w:tr w14:paraId="66100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86" w:hRule="atLeast"/>
          <w:jc w:val="center"/>
        </w:trPr>
        <w:tc>
          <w:tcPr>
            <w:tcW w:w="601" w:type="dxa"/>
            <w:vMerge w:val="continue"/>
            <w:tcBorders>
              <w:top w:val="nil"/>
            </w:tcBorders>
            <w:vAlign w:val="top"/>
          </w:tcPr>
          <w:p w14:paraId="7051F8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tc>
        <w:tc>
          <w:tcPr>
            <w:tcW w:w="1211" w:type="dxa"/>
            <w:vAlign w:val="center"/>
          </w:tcPr>
          <w:p w14:paraId="0ABC3C6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计价方式</w:t>
            </w:r>
          </w:p>
        </w:tc>
        <w:tc>
          <w:tcPr>
            <w:tcW w:w="6906" w:type="dxa"/>
            <w:gridSpan w:val="2"/>
            <w:vAlign w:val="top"/>
          </w:tcPr>
          <w:p w14:paraId="2DA3AB9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工程量清单计价</w:t>
            </w:r>
          </w:p>
        </w:tc>
      </w:tr>
      <w:tr w14:paraId="14958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jc w:val="center"/>
        </w:trPr>
        <w:tc>
          <w:tcPr>
            <w:tcW w:w="601" w:type="dxa"/>
            <w:tcBorders>
              <w:bottom w:val="nil"/>
            </w:tcBorders>
            <w:vAlign w:val="center"/>
          </w:tcPr>
          <w:p w14:paraId="1BBEDF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6651947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4</w:t>
            </w:r>
          </w:p>
        </w:tc>
        <w:tc>
          <w:tcPr>
            <w:tcW w:w="1211" w:type="dxa"/>
            <w:vAlign w:val="center"/>
          </w:tcPr>
          <w:p w14:paraId="7F445039">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0"/>
              <w:jc w:val="center"/>
              <w:textAlignment w:val="baseline"/>
              <w:rPr>
                <w:color w:val="auto"/>
                <w:spacing w:val="0"/>
                <w:highlight w:val="none"/>
              </w:rPr>
            </w:pPr>
            <w:r>
              <w:rPr>
                <w:color w:val="auto"/>
                <w:spacing w:val="0"/>
                <w:highlight w:val="none"/>
              </w:rPr>
              <w:t>磋商文件 的获取方     式</w:t>
            </w:r>
          </w:p>
        </w:tc>
        <w:tc>
          <w:tcPr>
            <w:tcW w:w="6906" w:type="dxa"/>
            <w:gridSpan w:val="2"/>
            <w:vAlign w:val="top"/>
          </w:tcPr>
          <w:p w14:paraId="634567A4">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时间：</w:t>
            </w:r>
            <w:r>
              <w:rPr>
                <w:rFonts w:hint="eastAsia"/>
                <w:color w:val="auto"/>
                <w:spacing w:val="0"/>
                <w:highlight w:val="none"/>
                <w:lang w:eastAsia="zh-CN"/>
              </w:rPr>
              <w:t>202</w:t>
            </w:r>
            <w:r>
              <w:rPr>
                <w:rFonts w:hint="eastAsia"/>
                <w:color w:val="auto"/>
                <w:spacing w:val="0"/>
                <w:highlight w:val="none"/>
                <w:lang w:val="en-US" w:eastAsia="zh-CN"/>
              </w:rPr>
              <w:t>5</w:t>
            </w:r>
            <w:r>
              <w:rPr>
                <w:rFonts w:hint="eastAsia"/>
                <w:color w:val="auto"/>
                <w:spacing w:val="0"/>
                <w:highlight w:val="none"/>
                <w:lang w:eastAsia="zh-CN"/>
              </w:rPr>
              <w:t>年</w:t>
            </w:r>
            <w:r>
              <w:rPr>
                <w:rFonts w:hint="eastAsia"/>
                <w:color w:val="auto"/>
                <w:spacing w:val="0"/>
                <w:highlight w:val="none"/>
                <w:lang w:val="en-US" w:eastAsia="zh-CN"/>
              </w:rPr>
              <w:t>06</w:t>
            </w:r>
            <w:r>
              <w:rPr>
                <w:rFonts w:hint="eastAsia"/>
                <w:color w:val="auto"/>
                <w:spacing w:val="0"/>
                <w:highlight w:val="none"/>
                <w:lang w:eastAsia="zh-CN"/>
              </w:rPr>
              <w:t>月</w:t>
            </w:r>
            <w:r>
              <w:rPr>
                <w:rFonts w:hint="eastAsia"/>
                <w:color w:val="auto"/>
                <w:spacing w:val="0"/>
                <w:highlight w:val="none"/>
                <w:lang w:val="en-US" w:eastAsia="zh-CN"/>
              </w:rPr>
              <w:t>18</w:t>
            </w:r>
            <w:r>
              <w:rPr>
                <w:rFonts w:hint="eastAsia"/>
                <w:color w:val="auto"/>
                <w:spacing w:val="0"/>
                <w:highlight w:val="none"/>
                <w:lang w:eastAsia="zh-CN"/>
              </w:rPr>
              <w:t>日至 2025年</w:t>
            </w:r>
            <w:r>
              <w:rPr>
                <w:rFonts w:hint="eastAsia"/>
                <w:color w:val="auto"/>
                <w:spacing w:val="0"/>
                <w:highlight w:val="none"/>
                <w:lang w:val="en-US" w:eastAsia="zh-CN"/>
              </w:rPr>
              <w:t>06</w:t>
            </w:r>
            <w:r>
              <w:rPr>
                <w:color w:val="auto"/>
                <w:spacing w:val="0"/>
                <w:highlight w:val="none"/>
              </w:rPr>
              <w:t>月</w:t>
            </w:r>
            <w:r>
              <w:rPr>
                <w:rFonts w:hint="eastAsia"/>
                <w:color w:val="auto"/>
                <w:spacing w:val="0"/>
                <w:highlight w:val="none"/>
                <w:lang w:val="en-US" w:eastAsia="zh-CN"/>
              </w:rPr>
              <w:t>25</w:t>
            </w:r>
            <w:r>
              <w:rPr>
                <w:color w:val="auto"/>
                <w:spacing w:val="0"/>
                <w:highlight w:val="none"/>
              </w:rPr>
              <w:t>日</w:t>
            </w:r>
          </w:p>
          <w:p w14:paraId="234605A3">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地点：新疆政府采购网-政采云平台（https://www.zcygov.cn）供应商登录政采云平台 https://www.zcygov.cn/在线申请获取采 购文件（进入“项目采购 ”应用，在获取采购文件菜单中选择项 目，申请获取采购文件）</w:t>
            </w:r>
          </w:p>
        </w:tc>
      </w:tr>
      <w:tr w14:paraId="59DDD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054" w:hRule="atLeast"/>
          <w:jc w:val="center"/>
        </w:trPr>
        <w:tc>
          <w:tcPr>
            <w:tcW w:w="601" w:type="dxa"/>
            <w:vMerge w:val="restart"/>
            <w:tcBorders>
              <w:bottom w:val="nil"/>
            </w:tcBorders>
            <w:vAlign w:val="center"/>
          </w:tcPr>
          <w:p w14:paraId="656874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4EDE467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5</w:t>
            </w:r>
          </w:p>
        </w:tc>
        <w:tc>
          <w:tcPr>
            <w:tcW w:w="1211" w:type="dxa"/>
            <w:vAlign w:val="center"/>
          </w:tcPr>
          <w:p w14:paraId="0FD8015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jc w:val="center"/>
              <w:textAlignment w:val="baseline"/>
              <w:rPr>
                <w:color w:val="auto"/>
                <w:spacing w:val="0"/>
                <w:highlight w:val="none"/>
              </w:rPr>
            </w:pPr>
            <w:r>
              <w:rPr>
                <w:color w:val="auto"/>
                <w:spacing w:val="0"/>
                <w:highlight w:val="none"/>
              </w:rPr>
              <w:t>响应文件 递    交</w:t>
            </w:r>
          </w:p>
        </w:tc>
        <w:tc>
          <w:tcPr>
            <w:tcW w:w="6906" w:type="dxa"/>
            <w:gridSpan w:val="2"/>
            <w:vAlign w:val="top"/>
          </w:tcPr>
          <w:p w14:paraId="0BE58FC4">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6"/>
              <w:textAlignment w:val="baseline"/>
              <w:rPr>
                <w:color w:val="auto"/>
                <w:spacing w:val="0"/>
                <w:highlight w:val="none"/>
              </w:rPr>
            </w:pPr>
            <w:r>
              <w:rPr>
                <w:color w:val="auto"/>
                <w:spacing w:val="0"/>
                <w:highlight w:val="none"/>
              </w:rPr>
              <w:t>截止时间</w:t>
            </w:r>
            <w:r>
              <w:rPr>
                <w:rFonts w:hint="eastAsia"/>
                <w:color w:val="auto"/>
                <w:spacing w:val="0"/>
                <w:highlight w:val="none"/>
                <w:lang w:val="en-US" w:eastAsia="zh-CN"/>
              </w:rPr>
              <w:t>：2025年06月30日 10时</w:t>
            </w:r>
            <w:r>
              <w:rPr>
                <w:color w:val="auto"/>
                <w:spacing w:val="0"/>
                <w:highlight w:val="none"/>
              </w:rPr>
              <w:t xml:space="preserve"> </w:t>
            </w:r>
            <w:r>
              <w:rPr>
                <w:rFonts w:hint="eastAsia"/>
                <w:color w:val="auto"/>
                <w:spacing w:val="0"/>
                <w:highlight w:val="none"/>
                <w:lang w:val="en-US" w:eastAsia="zh-CN"/>
              </w:rPr>
              <w:t>3</w:t>
            </w:r>
            <w:r>
              <w:rPr>
                <w:color w:val="auto"/>
                <w:spacing w:val="0"/>
                <w:highlight w:val="none"/>
              </w:rPr>
              <w:t>0 分（北京时间，如有调整、 另行通知）</w:t>
            </w:r>
          </w:p>
          <w:p w14:paraId="0DAD27D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地点：新疆政府采购网-政采云平台（https://www.zcygov.cn）</w:t>
            </w:r>
          </w:p>
        </w:tc>
      </w:tr>
      <w:tr w14:paraId="73F7D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055" w:hRule="atLeast"/>
          <w:jc w:val="center"/>
        </w:trPr>
        <w:tc>
          <w:tcPr>
            <w:tcW w:w="601" w:type="dxa"/>
            <w:vMerge w:val="continue"/>
            <w:tcBorders>
              <w:top w:val="nil"/>
            </w:tcBorders>
            <w:vAlign w:val="center"/>
          </w:tcPr>
          <w:p w14:paraId="3656B7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tc>
        <w:tc>
          <w:tcPr>
            <w:tcW w:w="1211" w:type="dxa"/>
            <w:vAlign w:val="center"/>
          </w:tcPr>
          <w:p w14:paraId="2D5D208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开标时间 地    点</w:t>
            </w:r>
          </w:p>
        </w:tc>
        <w:tc>
          <w:tcPr>
            <w:tcW w:w="6906" w:type="dxa"/>
            <w:gridSpan w:val="2"/>
            <w:vAlign w:val="top"/>
          </w:tcPr>
          <w:p w14:paraId="732717D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4"/>
              <w:textAlignment w:val="baseline"/>
              <w:rPr>
                <w:color w:val="auto"/>
                <w:spacing w:val="0"/>
                <w:highlight w:val="none"/>
              </w:rPr>
            </w:pPr>
            <w:r>
              <w:rPr>
                <w:color w:val="auto"/>
                <w:spacing w:val="0"/>
                <w:highlight w:val="none"/>
              </w:rPr>
              <w:t>开标时间：</w:t>
            </w:r>
            <w:r>
              <w:rPr>
                <w:rFonts w:hint="eastAsia"/>
                <w:color w:val="auto"/>
                <w:spacing w:val="0"/>
                <w:highlight w:val="none"/>
                <w:lang w:val="en-US" w:eastAsia="zh-CN"/>
              </w:rPr>
              <w:t>2025年06月30日 10 时 30 分（</w:t>
            </w:r>
            <w:r>
              <w:rPr>
                <w:color w:val="auto"/>
                <w:spacing w:val="0"/>
                <w:highlight w:val="none"/>
              </w:rPr>
              <w:t>北京时间，如有调整、 另行通知）</w:t>
            </w:r>
          </w:p>
          <w:p w14:paraId="0D9E96D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地点：政采云平台 https：//www.zcygov.cn/不见面开标大厅</w:t>
            </w:r>
          </w:p>
        </w:tc>
      </w:tr>
      <w:tr w14:paraId="7E42B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027" w:hRule="atLeast"/>
          <w:jc w:val="center"/>
        </w:trPr>
        <w:tc>
          <w:tcPr>
            <w:tcW w:w="601" w:type="dxa"/>
            <w:vAlign w:val="center"/>
          </w:tcPr>
          <w:p w14:paraId="3223DF4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6</w:t>
            </w:r>
          </w:p>
        </w:tc>
        <w:tc>
          <w:tcPr>
            <w:tcW w:w="1211" w:type="dxa"/>
            <w:vAlign w:val="top"/>
          </w:tcPr>
          <w:p w14:paraId="3250AA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08D774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44CE178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4B5F9F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561E93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9C292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6FEE0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2AD914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588EBD7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45C697F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color w:val="auto"/>
                <w:spacing w:val="0"/>
                <w:highlight w:val="none"/>
              </w:rPr>
            </w:pPr>
            <w:r>
              <w:rPr>
                <w:color w:val="auto"/>
                <w:spacing w:val="0"/>
                <w:highlight w:val="none"/>
              </w:rPr>
              <w:t>投    标 保 证 金</w:t>
            </w:r>
          </w:p>
        </w:tc>
        <w:tc>
          <w:tcPr>
            <w:tcW w:w="6906" w:type="dxa"/>
            <w:gridSpan w:val="2"/>
            <w:vAlign w:val="top"/>
          </w:tcPr>
          <w:p w14:paraId="4629DB3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1、投标保证金的缴纳形式：投标保证金必须以投标人名义采用支票、汇票、本票或者金融机构、担保机构出具的保函等非现金形式提交。</w:t>
            </w:r>
          </w:p>
          <w:p w14:paraId="0074A3C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2、投标保证金的金额：</w:t>
            </w:r>
            <w:r>
              <w:rPr>
                <w:rFonts w:hint="eastAsia" w:ascii="宋体" w:hAnsi="宋体" w:eastAsia="宋体" w:cs="宋体"/>
                <w:b/>
                <w:bCs/>
                <w:color w:val="auto"/>
                <w:spacing w:val="0"/>
                <w:sz w:val="24"/>
                <w:szCs w:val="24"/>
                <w:highlight w:val="none"/>
                <w:lang w:val="en-US" w:eastAsia="zh-CN"/>
              </w:rPr>
              <w:t>70000.00</w:t>
            </w:r>
            <w:r>
              <w:rPr>
                <w:rFonts w:hint="eastAsia" w:ascii="宋体" w:hAnsi="宋体" w:eastAsia="宋体" w:cs="宋体"/>
                <w:b/>
                <w:bCs/>
                <w:color w:val="auto"/>
                <w:spacing w:val="0"/>
                <w:sz w:val="24"/>
                <w:szCs w:val="24"/>
                <w:highlight w:val="none"/>
              </w:rPr>
              <w:t xml:space="preserve"> 元人民币（</w:t>
            </w:r>
            <w:r>
              <w:rPr>
                <w:rFonts w:hint="eastAsia" w:ascii="宋体" w:hAnsi="宋体" w:eastAsia="宋体" w:cs="宋体"/>
                <w:b/>
                <w:bCs/>
                <w:color w:val="auto"/>
                <w:spacing w:val="0"/>
                <w:sz w:val="24"/>
                <w:szCs w:val="24"/>
                <w:highlight w:val="none"/>
                <w:lang w:val="en-US" w:eastAsia="zh-CN"/>
              </w:rPr>
              <w:t>柒万</w:t>
            </w:r>
            <w:r>
              <w:rPr>
                <w:rFonts w:hint="eastAsia" w:ascii="宋体" w:hAnsi="宋体" w:eastAsia="宋体" w:cs="宋体"/>
                <w:b/>
                <w:bCs/>
                <w:color w:val="auto"/>
                <w:spacing w:val="0"/>
                <w:sz w:val="24"/>
                <w:szCs w:val="24"/>
                <w:highlight w:val="none"/>
                <w:lang w:eastAsia="zh-CN"/>
              </w:rPr>
              <w:t>元整</w:t>
            </w:r>
            <w:r>
              <w:rPr>
                <w:rFonts w:hint="eastAsia" w:ascii="宋体" w:hAnsi="宋体" w:eastAsia="宋体" w:cs="宋体"/>
                <w:b/>
                <w:bCs/>
                <w:color w:val="auto"/>
                <w:spacing w:val="0"/>
                <w:sz w:val="24"/>
                <w:szCs w:val="24"/>
                <w:highlight w:val="none"/>
              </w:rPr>
              <w:t>）</w:t>
            </w:r>
          </w:p>
          <w:p w14:paraId="45BF2A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6"/>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 xml:space="preserve">3、递交方式：投标单位将投标保证金从企业基本帐户汇至以下账户： </w:t>
            </w:r>
          </w:p>
          <w:p w14:paraId="67A10E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开户单位名称：乌鲁木齐鑫盛开源工程项目管理有限公司伊犁分公司</w:t>
            </w:r>
          </w:p>
          <w:p w14:paraId="74699D5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 xml:space="preserve">开户账号：30735901040001456 </w:t>
            </w:r>
          </w:p>
          <w:p w14:paraId="02FDA4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开户行：</w:t>
            </w:r>
            <w:r>
              <w:rPr>
                <w:rFonts w:hint="eastAsia" w:ascii="宋体" w:hAnsi="宋体" w:eastAsia="宋体" w:cs="宋体"/>
                <w:b/>
                <w:bCs/>
                <w:color w:val="auto"/>
                <w:spacing w:val="0"/>
                <w:sz w:val="24"/>
                <w:szCs w:val="24"/>
                <w:highlight w:val="none"/>
                <w:lang w:eastAsia="zh-CN"/>
              </w:rPr>
              <w:t>中国农业银行股份有限公司伊犁</w:t>
            </w:r>
            <w:r>
              <w:rPr>
                <w:rFonts w:hint="eastAsia" w:ascii="宋体" w:hAnsi="宋体" w:eastAsia="宋体" w:cs="宋体"/>
                <w:b/>
                <w:bCs/>
                <w:color w:val="auto"/>
                <w:spacing w:val="0"/>
                <w:sz w:val="24"/>
                <w:szCs w:val="24"/>
                <w:highlight w:val="none"/>
              </w:rPr>
              <w:t>丽苑</w:t>
            </w:r>
            <w:r>
              <w:rPr>
                <w:rFonts w:hint="eastAsia" w:ascii="宋体" w:hAnsi="宋体" w:eastAsia="宋体" w:cs="宋体"/>
                <w:b/>
                <w:bCs/>
                <w:color w:val="auto"/>
                <w:spacing w:val="0"/>
                <w:sz w:val="24"/>
                <w:szCs w:val="24"/>
                <w:highlight w:val="none"/>
                <w:lang w:eastAsia="zh-CN"/>
              </w:rPr>
              <w:t>（兵团）支行</w:t>
            </w:r>
          </w:p>
          <w:p w14:paraId="46D267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6"/>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3264E223">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友情提示：1、采用保函作为保证金形式的，投标企业将“保函”同投标文件提交；</w:t>
            </w:r>
          </w:p>
          <w:p w14:paraId="0E1E10C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2、潜在投标人可以自主选择以上任一种递交方式提交保证金</w:t>
            </w:r>
            <w:r>
              <w:rPr>
                <w:rFonts w:hint="eastAsia"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若投标人未按照上述规定缴纳投标保证金,投标文件将被拒绝评审。</w:t>
            </w:r>
          </w:p>
          <w:p w14:paraId="341DD463">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3、银行法定节假日不办理公对公账户电汇业务，请提前办理。投标保证金是否在规定截止时间前到户的风险由投标单位承担，投标保证金在银行的划转需要一定时间，望投标单位尽早缴纳！</w:t>
            </w:r>
          </w:p>
          <w:p w14:paraId="678915A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rFonts w:hint="eastAsia" w:ascii="宋体" w:hAnsi="宋体" w:eastAsia="宋体" w:cs="宋体"/>
                <w:color w:val="auto"/>
                <w:spacing w:val="0"/>
                <w:sz w:val="24"/>
                <w:szCs w:val="24"/>
                <w:highlight w:val="none"/>
              </w:rPr>
              <w:t>4、采用保函形式递交保证金的：①根据国家现行采购政策，投标保证金可以使用金融系统电子保函。电子保函按照“一包段一保函”的原则，办理电子保函必 须在投标截止时间（开标时间）前完成。投标人需自行评估异地、跨行、公休日等因素造成的保函办理延迟风险，并承担相应责任；开标前，投保人必须下载加密保单作为保证金缴纳凭证放入投标文件中；②电子保函操作流程：登录政采云平台→ 点击右上角[金融服务]进入详情页→ 点击页面上方[保险/保函]，根据 实际情况申请办理即可。供应商须在投标截止时间前，将所投项目对应的保函随响应文件一起上传到政采云平台。</w:t>
            </w:r>
          </w:p>
        </w:tc>
      </w:tr>
      <w:tr w14:paraId="5CCE9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993" w:hRule="atLeast"/>
          <w:jc w:val="center"/>
        </w:trPr>
        <w:tc>
          <w:tcPr>
            <w:tcW w:w="601" w:type="dxa"/>
            <w:vAlign w:val="top"/>
          </w:tcPr>
          <w:p w14:paraId="62713C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78078C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3AE0C3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1D4EAEB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7</w:t>
            </w:r>
          </w:p>
        </w:tc>
        <w:tc>
          <w:tcPr>
            <w:tcW w:w="1211" w:type="dxa"/>
            <w:vAlign w:val="top"/>
          </w:tcPr>
          <w:p w14:paraId="46AED4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1CB501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D12BBE4">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2"/>
              <w:textAlignment w:val="baseline"/>
              <w:rPr>
                <w:color w:val="auto"/>
                <w:spacing w:val="0"/>
                <w:highlight w:val="none"/>
              </w:rPr>
            </w:pPr>
            <w:r>
              <w:rPr>
                <w:color w:val="auto"/>
                <w:spacing w:val="0"/>
                <w:highlight w:val="none"/>
              </w:rPr>
              <w:t>响应文件 份    数</w:t>
            </w:r>
          </w:p>
        </w:tc>
        <w:tc>
          <w:tcPr>
            <w:tcW w:w="6906" w:type="dxa"/>
            <w:gridSpan w:val="2"/>
            <w:vAlign w:val="top"/>
          </w:tcPr>
          <w:p w14:paraId="486CABB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9"/>
              <w:textAlignment w:val="baseline"/>
              <w:rPr>
                <w:color w:val="auto"/>
                <w:spacing w:val="0"/>
                <w:highlight w:val="none"/>
              </w:rPr>
            </w:pPr>
            <w:r>
              <w:rPr>
                <w:color w:val="auto"/>
                <w:spacing w:val="0"/>
                <w:highlight w:val="none"/>
              </w:rPr>
              <w:t>电子投标文件包括“ 电子加密投标文件 ”和“备份投标文件 ”</w:t>
            </w:r>
            <w:r>
              <w:rPr>
                <w:rFonts w:hint="eastAsia"/>
                <w:color w:val="auto"/>
                <w:spacing w:val="0"/>
                <w:highlight w:val="none"/>
                <w:lang w:eastAsia="zh-CN"/>
              </w:rPr>
              <w:t>，</w:t>
            </w:r>
            <w:r>
              <w:rPr>
                <w:color w:val="auto"/>
                <w:spacing w:val="0"/>
                <w:highlight w:val="none"/>
              </w:rPr>
              <w:t>在投标文件编制完成后同时生成。</w:t>
            </w:r>
          </w:p>
          <w:p w14:paraId="1AA9E344">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5"/>
              <w:textAlignment w:val="baseline"/>
              <w:rPr>
                <w:color w:val="auto"/>
                <w:spacing w:val="0"/>
                <w:highlight w:val="none"/>
              </w:rPr>
            </w:pPr>
            <w:r>
              <w:rPr>
                <w:color w:val="auto"/>
                <w:spacing w:val="0"/>
                <w:highlight w:val="none"/>
              </w:rPr>
              <w:t>1、“ 电子加密投标文件 ”是指通过“政采云电子交易客户端 ”完 成投标文件编制后生成并加密的数据电文形式的投标文件。</w:t>
            </w:r>
          </w:p>
          <w:p w14:paraId="47A0D22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2、每份电子投标文件应包括资格证明文件和商务及技术文件两部 分。</w:t>
            </w:r>
          </w:p>
          <w:p w14:paraId="0E33623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成交结果公告发布之日起3日内，请各个投标单位需提供纸质版投标文件一正</w:t>
            </w:r>
            <w:r>
              <w:rPr>
                <w:rFonts w:hint="eastAsia"/>
                <w:color w:val="auto"/>
                <w:spacing w:val="0"/>
                <w:highlight w:val="none"/>
                <w:lang w:val="en-US" w:eastAsia="zh-CN"/>
              </w:rPr>
              <w:t>二</w:t>
            </w:r>
            <w:r>
              <w:rPr>
                <w:color w:val="auto"/>
                <w:spacing w:val="0"/>
                <w:highlight w:val="none"/>
              </w:rPr>
              <w:t>副，电子版</w:t>
            </w:r>
            <w:r>
              <w:rPr>
                <w:rFonts w:hint="eastAsia"/>
                <w:color w:val="auto"/>
                <w:spacing w:val="0"/>
                <w:highlight w:val="none"/>
                <w:lang w:val="en-US" w:eastAsia="zh-CN"/>
              </w:rPr>
              <w:t>壹</w:t>
            </w:r>
            <w:r>
              <w:rPr>
                <w:color w:val="auto"/>
                <w:spacing w:val="0"/>
                <w:highlight w:val="none"/>
              </w:rPr>
              <w:t>份（ U 盘，word 版和盖章 PDF版，其内容与纸质文件一致</w:t>
            </w:r>
            <w:r>
              <w:rPr>
                <w:rFonts w:hint="eastAsia"/>
                <w:color w:val="auto"/>
                <w:spacing w:val="0"/>
                <w:highlight w:val="none"/>
                <w:lang w:eastAsia="zh-CN"/>
              </w:rPr>
              <w:t>）</w:t>
            </w:r>
            <w:r>
              <w:rPr>
                <w:color w:val="auto"/>
                <w:spacing w:val="0"/>
                <w:highlight w:val="none"/>
              </w:rPr>
              <w:t>。投标人可采用邮寄方式提供纸质版投标文件（</w:t>
            </w:r>
            <w:r>
              <w:rPr>
                <w:rFonts w:hint="eastAsia" w:ascii="新宋体" w:hAnsi="新宋体" w:eastAsia="新宋体" w:cs="新宋体"/>
                <w:color w:val="auto"/>
                <w:spacing w:val="0"/>
                <w:sz w:val="24"/>
                <w:szCs w:val="24"/>
                <w:highlight w:val="none"/>
              </w:rPr>
              <w:t>伊宁市西环路306号开元新城3号楼12层（写字楼）</w:t>
            </w:r>
            <w:r>
              <w:rPr>
                <w:rFonts w:hint="eastAsia" w:eastAsia="新宋体"/>
                <w:color w:val="auto"/>
                <w:spacing w:val="0"/>
                <w:highlight w:val="none"/>
                <w:lang w:eastAsia="zh-CN"/>
              </w:rPr>
              <w:t>，</w:t>
            </w:r>
            <w:r>
              <w:rPr>
                <w:color w:val="auto"/>
                <w:spacing w:val="0"/>
                <w:highlight w:val="none"/>
              </w:rPr>
              <w:t>收件人：</w:t>
            </w:r>
            <w:r>
              <w:rPr>
                <w:rFonts w:hint="eastAsia"/>
                <w:color w:val="auto"/>
                <w:spacing w:val="0"/>
                <w:highlight w:val="none"/>
                <w:lang w:val="en-US" w:eastAsia="zh-CN"/>
              </w:rPr>
              <w:t>蔡琰</w:t>
            </w:r>
            <w:r>
              <w:rPr>
                <w:color w:val="auto"/>
                <w:spacing w:val="0"/>
                <w:highlight w:val="none"/>
              </w:rPr>
              <w:t>，联系电话：1</w:t>
            </w:r>
            <w:r>
              <w:rPr>
                <w:rFonts w:hint="eastAsia"/>
                <w:color w:val="auto"/>
                <w:spacing w:val="0"/>
                <w:highlight w:val="none"/>
                <w:lang w:val="en-US" w:eastAsia="zh-CN"/>
              </w:rPr>
              <w:t>3679942122</w:t>
            </w:r>
            <w:r>
              <w:rPr>
                <w:color w:val="auto"/>
                <w:spacing w:val="0"/>
                <w:highlight w:val="none"/>
              </w:rPr>
              <w:t>），费用投标人自行承担。</w:t>
            </w:r>
          </w:p>
        </w:tc>
      </w:tr>
      <w:tr w14:paraId="01896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jc w:val="center"/>
        </w:trPr>
        <w:tc>
          <w:tcPr>
            <w:tcW w:w="601" w:type="dxa"/>
            <w:vAlign w:val="top"/>
          </w:tcPr>
          <w:p w14:paraId="67B303B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8</w:t>
            </w:r>
          </w:p>
        </w:tc>
        <w:tc>
          <w:tcPr>
            <w:tcW w:w="1211" w:type="dxa"/>
            <w:vAlign w:val="top"/>
          </w:tcPr>
          <w:p w14:paraId="070A40F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color w:val="auto"/>
                <w:spacing w:val="0"/>
                <w:highlight w:val="none"/>
              </w:rPr>
            </w:pPr>
            <w:r>
              <w:rPr>
                <w:color w:val="auto"/>
                <w:spacing w:val="0"/>
                <w:highlight w:val="none"/>
              </w:rPr>
              <w:t>投    标 有 效 期</w:t>
            </w:r>
          </w:p>
        </w:tc>
        <w:tc>
          <w:tcPr>
            <w:tcW w:w="6906" w:type="dxa"/>
            <w:gridSpan w:val="2"/>
            <w:vAlign w:val="top"/>
          </w:tcPr>
          <w:p w14:paraId="17433A5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5"/>
              <w:textAlignment w:val="baseline"/>
              <w:rPr>
                <w:color w:val="auto"/>
                <w:spacing w:val="0"/>
                <w:highlight w:val="none"/>
              </w:rPr>
            </w:pPr>
            <w:r>
              <w:rPr>
                <w:color w:val="auto"/>
                <w:spacing w:val="0"/>
                <w:highlight w:val="none"/>
              </w:rPr>
              <w:t>自投标截止之日起 90 日历天，有效期不满足要求的投标将被视为非实质性响应投标。</w:t>
            </w:r>
          </w:p>
        </w:tc>
      </w:tr>
      <w:tr w14:paraId="25E4B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054" w:hRule="atLeast"/>
          <w:jc w:val="center"/>
        </w:trPr>
        <w:tc>
          <w:tcPr>
            <w:tcW w:w="601" w:type="dxa"/>
            <w:vAlign w:val="top"/>
          </w:tcPr>
          <w:p w14:paraId="0085676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73AFD0B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9</w:t>
            </w:r>
          </w:p>
        </w:tc>
        <w:tc>
          <w:tcPr>
            <w:tcW w:w="1211" w:type="dxa"/>
            <w:vAlign w:val="top"/>
          </w:tcPr>
          <w:p w14:paraId="7D0777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5EE304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磋商小组</w:t>
            </w:r>
          </w:p>
        </w:tc>
        <w:tc>
          <w:tcPr>
            <w:tcW w:w="6906" w:type="dxa"/>
            <w:gridSpan w:val="2"/>
            <w:vAlign w:val="top"/>
          </w:tcPr>
          <w:p w14:paraId="36A4A9B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磋商小组由采购人的代表和有关技术、经济等方面的专家组成，</w:t>
            </w:r>
          </w:p>
          <w:p w14:paraId="297D64E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成员人数为</w:t>
            </w:r>
            <w:r>
              <w:rPr>
                <w:color w:val="auto"/>
                <w:spacing w:val="0"/>
                <w:highlight w:val="none"/>
                <w:u w:val="single" w:color="auto"/>
              </w:rPr>
              <w:t xml:space="preserve"> </w:t>
            </w:r>
            <w:r>
              <w:rPr>
                <w:b/>
                <w:bCs/>
                <w:color w:val="auto"/>
                <w:spacing w:val="0"/>
                <w:highlight w:val="none"/>
                <w:u w:val="single" w:color="auto"/>
              </w:rPr>
              <w:t>3</w:t>
            </w:r>
            <w:r>
              <w:rPr>
                <w:color w:val="auto"/>
                <w:spacing w:val="0"/>
                <w:highlight w:val="none"/>
                <w:u w:val="single" w:color="auto"/>
              </w:rPr>
              <w:t xml:space="preserve"> </w:t>
            </w:r>
            <w:r>
              <w:rPr>
                <w:color w:val="auto"/>
                <w:spacing w:val="0"/>
                <w:highlight w:val="none"/>
              </w:rPr>
              <w:t>人以上单数，其中，技术、经济等方面的专家不得 少于成员总数的 2/3。</w:t>
            </w:r>
          </w:p>
        </w:tc>
      </w:tr>
      <w:tr w14:paraId="08D4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41" w:hRule="atLeast"/>
          <w:jc w:val="center"/>
        </w:trPr>
        <w:tc>
          <w:tcPr>
            <w:tcW w:w="601" w:type="dxa"/>
            <w:vMerge w:val="restart"/>
            <w:tcBorders>
              <w:bottom w:val="nil"/>
            </w:tcBorders>
            <w:vAlign w:val="top"/>
          </w:tcPr>
          <w:p w14:paraId="677BEC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616CC5A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10</w:t>
            </w:r>
          </w:p>
        </w:tc>
        <w:tc>
          <w:tcPr>
            <w:tcW w:w="1211" w:type="dxa"/>
            <w:vAlign w:val="top"/>
          </w:tcPr>
          <w:p w14:paraId="06B774D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定标方法</w:t>
            </w:r>
          </w:p>
        </w:tc>
        <w:tc>
          <w:tcPr>
            <w:tcW w:w="6906" w:type="dxa"/>
            <w:gridSpan w:val="2"/>
            <w:vAlign w:val="top"/>
          </w:tcPr>
          <w:p w14:paraId="61669E3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综合评分法，磋商小组推荐</w:t>
            </w:r>
            <w:r>
              <w:rPr>
                <w:color w:val="auto"/>
                <w:spacing w:val="0"/>
                <w:highlight w:val="none"/>
                <w:u w:val="single" w:color="auto"/>
              </w:rPr>
              <w:t xml:space="preserve"> 3 </w:t>
            </w:r>
            <w:r>
              <w:rPr>
                <w:color w:val="auto"/>
                <w:spacing w:val="0"/>
                <w:highlight w:val="none"/>
              </w:rPr>
              <w:t>名成交候选人；</w:t>
            </w:r>
          </w:p>
        </w:tc>
      </w:tr>
      <w:tr w14:paraId="5B101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jc w:val="center"/>
        </w:trPr>
        <w:tc>
          <w:tcPr>
            <w:tcW w:w="601" w:type="dxa"/>
            <w:vMerge w:val="continue"/>
            <w:tcBorders>
              <w:top w:val="nil"/>
            </w:tcBorders>
            <w:vAlign w:val="top"/>
          </w:tcPr>
          <w:p w14:paraId="65A24BA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tc>
        <w:tc>
          <w:tcPr>
            <w:tcW w:w="1211" w:type="dxa"/>
            <w:vAlign w:val="top"/>
          </w:tcPr>
          <w:p w14:paraId="1DD914F8">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
              <w:textAlignment w:val="baseline"/>
              <w:rPr>
                <w:color w:val="auto"/>
                <w:spacing w:val="0"/>
                <w:highlight w:val="none"/>
              </w:rPr>
            </w:pPr>
            <w:r>
              <w:rPr>
                <w:color w:val="auto"/>
                <w:spacing w:val="0"/>
                <w:highlight w:val="none"/>
              </w:rPr>
              <w:t>公告发布 媒    介</w:t>
            </w:r>
          </w:p>
        </w:tc>
        <w:tc>
          <w:tcPr>
            <w:tcW w:w="6906" w:type="dxa"/>
            <w:gridSpan w:val="2"/>
            <w:vAlign w:val="center"/>
          </w:tcPr>
          <w:p w14:paraId="3D17A09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新疆政府采购网（http://www.ccgp-xinjiang.gov.cn）</w:t>
            </w:r>
          </w:p>
        </w:tc>
      </w:tr>
      <w:tr w14:paraId="5212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743" w:hRule="atLeast"/>
          <w:jc w:val="center"/>
        </w:trPr>
        <w:tc>
          <w:tcPr>
            <w:tcW w:w="601" w:type="dxa"/>
            <w:vAlign w:val="top"/>
          </w:tcPr>
          <w:p w14:paraId="430F1C8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11</w:t>
            </w:r>
          </w:p>
        </w:tc>
        <w:tc>
          <w:tcPr>
            <w:tcW w:w="1211" w:type="dxa"/>
            <w:vAlign w:val="top"/>
          </w:tcPr>
          <w:p w14:paraId="37A1F1D8">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color w:val="auto"/>
                <w:spacing w:val="0"/>
                <w:highlight w:val="none"/>
              </w:rPr>
            </w:pPr>
            <w:r>
              <w:rPr>
                <w:color w:val="auto"/>
                <w:spacing w:val="0"/>
                <w:highlight w:val="none"/>
              </w:rPr>
              <w:t>履    约 保 证 金</w:t>
            </w:r>
          </w:p>
        </w:tc>
        <w:tc>
          <w:tcPr>
            <w:tcW w:w="6906" w:type="dxa"/>
            <w:gridSpan w:val="2"/>
            <w:vAlign w:val="center"/>
          </w:tcPr>
          <w:p w14:paraId="10B097D4">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投标人提供的履约担保金额为：合同价款的</w:t>
            </w:r>
            <w:r>
              <w:rPr>
                <w:color w:val="auto"/>
                <w:spacing w:val="0"/>
                <w:highlight w:val="none"/>
                <w:u w:val="single" w:color="auto"/>
              </w:rPr>
              <w:t xml:space="preserve">  5  </w:t>
            </w:r>
            <w:r>
              <w:rPr>
                <w:color w:val="auto"/>
                <w:spacing w:val="0"/>
                <w:highlight w:val="none"/>
              </w:rPr>
              <w:t xml:space="preserve"> %</w:t>
            </w:r>
          </w:p>
        </w:tc>
      </w:tr>
      <w:tr w14:paraId="02F91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6980" w:hRule="atLeast"/>
          <w:jc w:val="center"/>
        </w:trPr>
        <w:tc>
          <w:tcPr>
            <w:tcW w:w="601" w:type="dxa"/>
            <w:vAlign w:val="top"/>
          </w:tcPr>
          <w:p w14:paraId="061FFC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8F40F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1F7DD4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47959A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5BA618F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64A5068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74950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9035E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0223BC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8F844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D2D10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1ACCC7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5EB1669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6A1242B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12</w:t>
            </w:r>
          </w:p>
        </w:tc>
        <w:tc>
          <w:tcPr>
            <w:tcW w:w="1211" w:type="dxa"/>
            <w:vAlign w:val="top"/>
          </w:tcPr>
          <w:p w14:paraId="3C429D8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16A61C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27B22A7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28615B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0558ABA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6B013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209CFE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B9793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05C4A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6DBB47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1F599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827F27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4A08499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7"/>
              <w:textAlignment w:val="baseline"/>
              <w:rPr>
                <w:color w:val="auto"/>
                <w:spacing w:val="0"/>
                <w:highlight w:val="none"/>
              </w:rPr>
            </w:pPr>
            <w:r>
              <w:rPr>
                <w:color w:val="auto"/>
                <w:spacing w:val="0"/>
                <w:highlight w:val="none"/>
              </w:rPr>
              <w:t>投标人的 资格要求</w:t>
            </w:r>
          </w:p>
        </w:tc>
        <w:tc>
          <w:tcPr>
            <w:tcW w:w="6906" w:type="dxa"/>
            <w:gridSpan w:val="2"/>
            <w:vAlign w:val="top"/>
          </w:tcPr>
          <w:p w14:paraId="1E08DA2C">
            <w:pPr>
              <w:pStyle w:val="14"/>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0" w:right="0" w:firstLine="14"/>
              <w:textAlignment w:val="baseline"/>
              <w:rPr>
                <w:color w:val="auto"/>
                <w:spacing w:val="0"/>
                <w:highlight w:val="none"/>
              </w:rPr>
            </w:pPr>
            <w:r>
              <w:rPr>
                <w:color w:val="auto"/>
                <w:spacing w:val="0"/>
                <w:highlight w:val="none"/>
              </w:rPr>
              <w:t xml:space="preserve">满足《中华人民共和国政府采购法》第二十二条规定； </w:t>
            </w:r>
          </w:p>
          <w:p w14:paraId="1700929D">
            <w:pPr>
              <w:pStyle w:val="14"/>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left="0" w:right="0" w:firstLine="14"/>
              <w:textAlignment w:val="baseline"/>
              <w:rPr>
                <w:color w:val="auto"/>
                <w:spacing w:val="0"/>
                <w:highlight w:val="none"/>
              </w:rPr>
            </w:pPr>
            <w:r>
              <w:rPr>
                <w:color w:val="auto"/>
                <w:spacing w:val="0"/>
                <w:highlight w:val="none"/>
              </w:rPr>
              <w:t>落实政府采购政策需满足的资格要求：本项目</w:t>
            </w:r>
            <w:r>
              <w:rPr>
                <w:rFonts w:hint="eastAsia"/>
                <w:color w:val="auto"/>
                <w:spacing w:val="0"/>
                <w:highlight w:val="none"/>
                <w:lang w:val="en-US" w:eastAsia="zh-CN"/>
              </w:rPr>
              <w:t>不</w:t>
            </w:r>
            <w:r>
              <w:rPr>
                <w:color w:val="auto"/>
                <w:spacing w:val="0"/>
                <w:highlight w:val="none"/>
              </w:rPr>
              <w:t xml:space="preserve">专门面向中小企业采购。 </w:t>
            </w:r>
          </w:p>
          <w:p w14:paraId="607335B8">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
              <w:textAlignment w:val="baseline"/>
              <w:rPr>
                <w:color w:val="auto"/>
                <w:spacing w:val="0"/>
                <w:highlight w:val="none"/>
              </w:rPr>
            </w:pPr>
            <w:r>
              <w:rPr>
                <w:color w:val="auto"/>
                <w:spacing w:val="0"/>
                <w:highlight w:val="none"/>
              </w:rPr>
              <w:t>3.本项目的特定资格要求：</w:t>
            </w:r>
          </w:p>
          <w:p w14:paraId="5E0EEEA8">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（1）具备有效的营业执照；</w:t>
            </w:r>
          </w:p>
          <w:p w14:paraId="669A937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9"/>
              <w:textAlignment w:val="baseline"/>
              <w:rPr>
                <w:color w:val="auto"/>
                <w:spacing w:val="0"/>
                <w:highlight w:val="none"/>
              </w:rPr>
            </w:pPr>
            <w:r>
              <w:rPr>
                <w:color w:val="auto"/>
                <w:spacing w:val="0"/>
                <w:highlight w:val="none"/>
              </w:rPr>
              <w:t>（2）须具备水利水电工程施工总承包叁级及以上资质；并在人员、 设备、资金等方面具有相应的施工能力；具备有效的安全生产许 可证；</w:t>
            </w:r>
          </w:p>
          <w:p w14:paraId="792A476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2"/>
              <w:textAlignment w:val="baseline"/>
              <w:rPr>
                <w:color w:val="auto"/>
                <w:spacing w:val="0"/>
                <w:highlight w:val="none"/>
              </w:rPr>
            </w:pPr>
            <w:r>
              <w:rPr>
                <w:color w:val="auto"/>
                <w:spacing w:val="0"/>
                <w:highlight w:val="none"/>
              </w:rPr>
              <w:t>（3）项目负责人资格要求：须具有有效的水利水电工程专业二级 及以上注册建造师执业资格，本单位注册</w:t>
            </w:r>
            <w:r>
              <w:rPr>
                <w:rFonts w:hint="eastAsia"/>
                <w:color w:val="auto"/>
                <w:spacing w:val="0"/>
                <w:highlight w:val="none"/>
                <w:lang w:eastAsia="zh-CN"/>
              </w:rPr>
              <w:t>，</w:t>
            </w:r>
            <w:r>
              <w:rPr>
                <w:color w:val="auto"/>
                <w:spacing w:val="0"/>
                <w:highlight w:val="none"/>
              </w:rPr>
              <w:t>不接受临时建造师证 书，且具备有效的安全生产考核合格证书（B 类）；</w:t>
            </w:r>
          </w:p>
          <w:p w14:paraId="18BDA20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
              <w:textAlignment w:val="baseline"/>
              <w:rPr>
                <w:color w:val="auto"/>
                <w:spacing w:val="0"/>
                <w:highlight w:val="none"/>
              </w:rPr>
            </w:pPr>
            <w:r>
              <w:rPr>
                <w:color w:val="auto"/>
                <w:spacing w:val="0"/>
                <w:highlight w:val="none"/>
              </w:rPr>
              <w:t>（4)近三年内未被“信用中国 ”（www.creditchina.gov.cn）、 中国政府采购网（www.ccgp.gov.cn）列入失信被执行人、重大税 收违法案件当事人名单、政府采购严重违法失信行为记录名单（网 页打印件须自磋商文件发布之日起至投标截止时间从上述网站中 打印）；</w:t>
            </w:r>
          </w:p>
          <w:p w14:paraId="7C69034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textAlignment w:val="baseline"/>
              <w:rPr>
                <w:color w:val="auto"/>
                <w:spacing w:val="0"/>
                <w:highlight w:val="none"/>
              </w:rPr>
            </w:pPr>
            <w:r>
              <w:rPr>
                <w:color w:val="auto"/>
                <w:spacing w:val="0"/>
                <w:highlight w:val="none"/>
              </w:rPr>
              <w:t>（5）其他说明: (1) 与招标人存在利害关系可能影响招标公正性 的法人、其他组织或者个人，不得参加投标:(2) 单位负责人为同一人或者存在控股、管理关系的不同单位，不得参加同一标段 投标或者未划分标段的同一招标项目投标。违反上述两款规定的，相关投标均无效。</w:t>
            </w:r>
          </w:p>
          <w:p w14:paraId="5648A45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（6）本项目不接受联合体投标。</w:t>
            </w:r>
          </w:p>
        </w:tc>
      </w:tr>
      <w:tr w14:paraId="340C3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89" w:hRule="atLeast"/>
          <w:jc w:val="center"/>
        </w:trPr>
        <w:tc>
          <w:tcPr>
            <w:tcW w:w="601" w:type="dxa"/>
            <w:vAlign w:val="top"/>
          </w:tcPr>
          <w:p w14:paraId="717A9E9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13</w:t>
            </w:r>
          </w:p>
        </w:tc>
        <w:tc>
          <w:tcPr>
            <w:tcW w:w="1211" w:type="dxa"/>
            <w:vAlign w:val="top"/>
          </w:tcPr>
          <w:p w14:paraId="14395D7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响应文件递     交</w:t>
            </w:r>
          </w:p>
        </w:tc>
        <w:tc>
          <w:tcPr>
            <w:tcW w:w="6906" w:type="dxa"/>
            <w:gridSpan w:val="2"/>
            <w:vAlign w:val="top"/>
          </w:tcPr>
          <w:p w14:paraId="56ACD40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color w:val="auto"/>
                <w:spacing w:val="0"/>
                <w:highlight w:val="none"/>
                <w:lang w:val="en-US" w:eastAsia="zh-CN"/>
              </w:rPr>
            </w:pPr>
            <w:r>
              <w:rPr>
                <w:color w:val="auto"/>
                <w:spacing w:val="0"/>
                <w:highlight w:val="none"/>
              </w:rPr>
              <w:t>截止时间：</w:t>
            </w:r>
            <w:r>
              <w:rPr>
                <w:rFonts w:hint="eastAsia"/>
                <w:color w:val="auto"/>
                <w:spacing w:val="0"/>
                <w:highlight w:val="none"/>
                <w:lang w:val="en-US" w:eastAsia="zh-CN"/>
              </w:rPr>
              <w:t>2025年06月30日 10 时 30 分（北京时间）</w:t>
            </w:r>
          </w:p>
          <w:p w14:paraId="6F89D6E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rFonts w:hint="eastAsia"/>
                <w:color w:val="auto"/>
                <w:spacing w:val="0"/>
                <w:highlight w:val="none"/>
                <w:lang w:val="en-US" w:eastAsia="zh-CN"/>
              </w:rPr>
              <w:t>递交地点：将响应文件上传至政采云平</w:t>
            </w:r>
            <w:r>
              <w:rPr>
                <w:color w:val="auto"/>
                <w:spacing w:val="0"/>
                <w:highlight w:val="none"/>
              </w:rPr>
              <w:t>台https：</w:t>
            </w:r>
          </w:p>
          <w:p w14:paraId="456284C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//www.zcygov.cn/对应位置（逾期未上传的或不符合规定的投标 文件将被拒绝接收。）</w:t>
            </w:r>
          </w:p>
        </w:tc>
      </w:tr>
      <w:tr w14:paraId="049B1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2614" w:hRule="atLeast"/>
          <w:jc w:val="center"/>
        </w:trPr>
        <w:tc>
          <w:tcPr>
            <w:tcW w:w="601" w:type="dxa"/>
            <w:vAlign w:val="top"/>
          </w:tcPr>
          <w:p w14:paraId="3ECA76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64D80D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223979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48C668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2EE84F5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14</w:t>
            </w:r>
          </w:p>
        </w:tc>
        <w:tc>
          <w:tcPr>
            <w:tcW w:w="1211" w:type="dxa"/>
            <w:vAlign w:val="top"/>
          </w:tcPr>
          <w:p w14:paraId="502D51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217A4E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255D22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18FB3EC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color w:val="auto"/>
                <w:spacing w:val="0"/>
                <w:highlight w:val="none"/>
              </w:rPr>
            </w:pPr>
            <w:r>
              <w:rPr>
                <w:color w:val="auto"/>
                <w:spacing w:val="0"/>
                <w:highlight w:val="none"/>
              </w:rPr>
              <w:t>开标时间 及 地 点</w:t>
            </w:r>
          </w:p>
        </w:tc>
        <w:tc>
          <w:tcPr>
            <w:tcW w:w="6906" w:type="dxa"/>
            <w:gridSpan w:val="2"/>
            <w:vAlign w:val="top"/>
          </w:tcPr>
          <w:p w14:paraId="5EA6FB7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采用不见面开标：</w:t>
            </w:r>
          </w:p>
          <w:p w14:paraId="7A1C529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开标时间</w:t>
            </w:r>
            <w:r>
              <w:rPr>
                <w:rFonts w:hint="eastAsia"/>
                <w:color w:val="auto"/>
                <w:spacing w:val="0"/>
                <w:highlight w:val="none"/>
                <w:lang w:val="en-US" w:eastAsia="zh-CN"/>
              </w:rPr>
              <w:t xml:space="preserve">：2025年06月30日 10 时 30 </w:t>
            </w:r>
            <w:r>
              <w:rPr>
                <w:color w:val="auto"/>
                <w:spacing w:val="0"/>
                <w:highlight w:val="none"/>
              </w:rPr>
              <w:t>分（北京时间）</w:t>
            </w:r>
          </w:p>
          <w:p w14:paraId="2885AEE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color w:val="auto"/>
                <w:spacing w:val="0"/>
                <w:highlight w:val="none"/>
              </w:rPr>
            </w:pPr>
            <w:r>
              <w:rPr>
                <w:color w:val="auto"/>
                <w:spacing w:val="0"/>
                <w:highlight w:val="none"/>
              </w:rPr>
              <w:t>开标地点：新疆政府采购网（</w:t>
            </w:r>
            <w:r>
              <w:rPr>
                <w:color w:val="auto"/>
                <w:spacing w:val="0"/>
                <w:highlight w:val="none"/>
              </w:rPr>
              <w:fldChar w:fldCharType="begin"/>
            </w:r>
            <w:r>
              <w:rPr>
                <w:color w:val="auto"/>
                <w:spacing w:val="0"/>
                <w:highlight w:val="none"/>
              </w:rPr>
              <w:instrText xml:space="preserve"> HYPERLINK "http://www.ccgp-xinjiang.gov.cn" </w:instrText>
            </w:r>
            <w:r>
              <w:rPr>
                <w:color w:val="auto"/>
                <w:spacing w:val="0"/>
                <w:highlight w:val="none"/>
              </w:rPr>
              <w:fldChar w:fldCharType="separate"/>
            </w:r>
            <w:r>
              <w:rPr>
                <w:color w:val="auto"/>
                <w:spacing w:val="0"/>
                <w:highlight w:val="none"/>
              </w:rPr>
              <w:t>http://www.ccgp-xinjiang.gov.cn</w:t>
            </w:r>
            <w:r>
              <w:rPr>
                <w:color w:val="auto"/>
                <w:spacing w:val="0"/>
                <w:highlight w:val="none"/>
              </w:rPr>
              <w:fldChar w:fldCharType="end"/>
            </w:r>
            <w:r>
              <w:rPr>
                <w:color w:val="auto"/>
                <w:spacing w:val="0"/>
                <w:highlight w:val="none"/>
              </w:rPr>
              <w:t>） 政采云线上平台不见面开标默认解密时长：30 分钟</w:t>
            </w:r>
          </w:p>
          <w:p w14:paraId="287AABA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color w:val="auto"/>
                <w:spacing w:val="0"/>
                <w:highlight w:val="none"/>
              </w:rPr>
            </w:pPr>
            <w:r>
              <w:rPr>
                <w:color w:val="auto"/>
                <w:spacing w:val="0"/>
                <w:highlight w:val="none"/>
              </w:rPr>
              <w:t>注：如因供应商自身原因导致在规定时间内无法正常解密的</w:t>
            </w:r>
          </w:p>
          <w:p w14:paraId="33500D0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1"/>
              <w:textAlignment w:val="baseline"/>
              <w:rPr>
                <w:color w:val="auto"/>
                <w:spacing w:val="0"/>
                <w:highlight w:val="none"/>
              </w:rPr>
            </w:pPr>
            <w:r>
              <w:rPr>
                <w:color w:val="auto"/>
                <w:spacing w:val="0"/>
                <w:highlight w:val="none"/>
              </w:rPr>
              <w:t>（如：浏览器故障、未安装相关驱动、网络故障、加密 CA 与解 密 CA 不一致等）</w:t>
            </w:r>
            <w:r>
              <w:rPr>
                <w:rFonts w:hint="eastAsia"/>
                <w:color w:val="auto"/>
                <w:spacing w:val="0"/>
                <w:highlight w:val="none"/>
                <w:lang w:eastAsia="zh-CN"/>
              </w:rPr>
              <w:t>，</w:t>
            </w:r>
            <w:r>
              <w:rPr>
                <w:color w:val="auto"/>
                <w:spacing w:val="0"/>
                <w:highlight w:val="none"/>
              </w:rPr>
              <w:t>采购中心/代理机构不予异常处理，视为供应商自动弃标。</w:t>
            </w:r>
          </w:p>
        </w:tc>
      </w:tr>
      <w:tr w14:paraId="61D85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5109" w:hRule="atLeast"/>
          <w:jc w:val="center"/>
        </w:trPr>
        <w:tc>
          <w:tcPr>
            <w:tcW w:w="601" w:type="dxa"/>
            <w:vAlign w:val="top"/>
          </w:tcPr>
          <w:p w14:paraId="66F16D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16E284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534A38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1EE6FC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7F9ED1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7C37BF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507BC1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1B81A5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6FC999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51B8E050">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15</w:t>
            </w:r>
          </w:p>
        </w:tc>
        <w:tc>
          <w:tcPr>
            <w:tcW w:w="1211" w:type="dxa"/>
            <w:vAlign w:val="top"/>
          </w:tcPr>
          <w:p w14:paraId="56B0A6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1AFCC27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5050D5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0F6AB09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CC4965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3911E1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6226D8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515805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color w:val="auto"/>
                <w:spacing w:val="0"/>
                <w:highlight w:val="none"/>
              </w:rPr>
              <w:t>低于成本 价不正当 竞争预防 措     施</w:t>
            </w:r>
          </w:p>
        </w:tc>
        <w:tc>
          <w:tcPr>
            <w:tcW w:w="6906" w:type="dxa"/>
            <w:gridSpan w:val="2"/>
            <w:vAlign w:val="top"/>
          </w:tcPr>
          <w:p w14:paraId="159061F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4"/>
              <w:textAlignment w:val="baseline"/>
              <w:rPr>
                <w:color w:val="auto"/>
                <w:spacing w:val="0"/>
                <w:highlight w:val="none"/>
              </w:rPr>
            </w:pPr>
            <w:r>
              <w:rPr>
                <w:color w:val="auto"/>
                <w:spacing w:val="0"/>
                <w:highlight w:val="none"/>
              </w:rPr>
              <w:t>1、在招标过程中，投标人报价明显低于其他满足磋商文件要求的 投标人的报价，有可能影响产品质量或者不能诚信履约的，磋商 小组应当要求其在评审现场合理的时间内提供成本构成书面说明，并在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C5C2F4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color w:val="auto"/>
                <w:spacing w:val="0"/>
                <w:highlight w:val="none"/>
              </w:rPr>
            </w:pPr>
            <w:r>
              <w:rPr>
                <w:color w:val="auto"/>
                <w:spacing w:val="0"/>
                <w:highlight w:val="none"/>
              </w:rPr>
              <w:t>2、供应商书面说明应当签字确认或者加盖公章，否则无效。书面 说明的签字确认，供应商为法人的，由其法定代表人或者代理人签字确认；供应商为其他组织的，由其主要负责人或者代理人签字确认；供应商为自然人的，由其本人或者代理人签字确认；</w:t>
            </w:r>
          </w:p>
          <w:p w14:paraId="7D07718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textAlignment w:val="baseline"/>
              <w:rPr>
                <w:color w:val="auto"/>
                <w:spacing w:val="0"/>
                <w:highlight w:val="none"/>
              </w:rPr>
            </w:pPr>
            <w:r>
              <w:rPr>
                <w:color w:val="auto"/>
                <w:spacing w:val="0"/>
                <w:highlight w:val="none"/>
              </w:rPr>
              <w:t>3、供应商提供书面说明后，磋商小组应当结合采购项目采购需求、 专业实际情况、供应商财务状况报告以及与其他供应商比较情况 等，对供应商书面说明进行审查评价。供应商拒绝或者变相拒绝 提供有效书面说明，或书面说明不能证明其报价合理性的，磋商 小组应当将其响应文件作无效投标处理。</w:t>
            </w:r>
          </w:p>
        </w:tc>
      </w:tr>
      <w:tr w14:paraId="316C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758" w:hRule="atLeast"/>
          <w:jc w:val="center"/>
        </w:trPr>
        <w:tc>
          <w:tcPr>
            <w:tcW w:w="601" w:type="dxa"/>
            <w:vAlign w:val="top"/>
          </w:tcPr>
          <w:p w14:paraId="0CD5803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5C0642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2F6BEA9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02725B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0034F9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48B34AB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5F5289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5F5DB1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Arial"/>
                <w:color w:val="auto"/>
                <w:spacing w:val="0"/>
                <w:sz w:val="21"/>
                <w:highlight w:val="none"/>
              </w:rPr>
            </w:pPr>
          </w:p>
          <w:p w14:paraId="46C485B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16</w:t>
            </w:r>
          </w:p>
        </w:tc>
        <w:tc>
          <w:tcPr>
            <w:tcW w:w="1211" w:type="dxa"/>
            <w:vAlign w:val="top"/>
          </w:tcPr>
          <w:p w14:paraId="661336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60D0CA8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411F03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EE602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7A9B8E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563791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5499BD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0B04FD0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color w:val="auto"/>
                <w:spacing w:val="0"/>
                <w:sz w:val="21"/>
                <w:highlight w:val="none"/>
              </w:rPr>
            </w:pPr>
          </w:p>
          <w:p w14:paraId="1F4FC29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报价要求</w:t>
            </w:r>
          </w:p>
        </w:tc>
        <w:tc>
          <w:tcPr>
            <w:tcW w:w="6906" w:type="dxa"/>
            <w:gridSpan w:val="2"/>
            <w:vAlign w:val="top"/>
          </w:tcPr>
          <w:p w14:paraId="334EBBE9">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本工程的计价方式采用工程量清单计价方式。</w:t>
            </w:r>
          </w:p>
          <w:p w14:paraId="60C433F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报价（含首次报价或最后报价）超出本项目采购预算金额的为无 效报价，其响应文件将被认定为无效响应。 供应商最后报价采用 总价方式进行报价，结算单价由中标供应商根据其最终报价对其 分部分项单价进行调整（调整规则为：在总价不变的情况下调整， 原不可竞争费用不调整，根据其最终报价优惠率调整其相应单 价），在施工合同签订之前，由采购人指定的造价审核单位对中 标供应商调整的最终报价清单进行审核，审核后的报价清单经采 购人确认后作为签订合同和计量支付的依据。</w:t>
            </w:r>
          </w:p>
          <w:p w14:paraId="3B26893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color w:val="auto"/>
                <w:spacing w:val="0"/>
                <w:highlight w:val="none"/>
              </w:rPr>
            </w:pPr>
            <w:r>
              <w:rPr>
                <w:b/>
                <w:bCs/>
                <w:color w:val="auto"/>
                <w:spacing w:val="0"/>
                <w:highlight w:val="none"/>
              </w:rPr>
              <w:t>本项目共二轮报价，磋商现场第二轮报价为最后报价（最终报价）。</w:t>
            </w:r>
          </w:p>
          <w:p w14:paraId="6D1F0CB8">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1、本项目的报价和结算支付均以人民币为货币单位。</w:t>
            </w:r>
          </w:p>
          <w:p w14:paraId="7322034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textAlignment w:val="baseline"/>
              <w:rPr>
                <w:color w:val="auto"/>
                <w:spacing w:val="0"/>
                <w:highlight w:val="none"/>
              </w:rPr>
            </w:pPr>
            <w:r>
              <w:rPr>
                <w:color w:val="auto"/>
                <w:spacing w:val="0"/>
                <w:highlight w:val="none"/>
              </w:rPr>
              <w:t>2、供应商报价应包括设计、采购、运输、安装、相关部门验收及 保修期内的维护保养等所有含税费用，以及供应商认为必要的其 他货物、材料、工程、服务。</w:t>
            </w:r>
          </w:p>
          <w:p w14:paraId="02D220B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textAlignment w:val="baseline"/>
              <w:rPr>
                <w:color w:val="auto"/>
                <w:spacing w:val="0"/>
                <w:highlight w:val="none"/>
              </w:rPr>
            </w:pPr>
            <w:r>
              <w:rPr>
                <w:color w:val="auto"/>
                <w:spacing w:val="0"/>
                <w:highlight w:val="none"/>
              </w:rPr>
              <w:t>3、如出现任何遗漏内容需产生额外费用，均由成交供应商自行承 担，采购人将不再另支付任何费用。</w:t>
            </w:r>
          </w:p>
          <w:p w14:paraId="1CAEDC1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4、供应商的报价文件应包括单价和总价，总价是对采购的所有内 容所计算的总价，为合同总价；其填报的明细单价则应是供应商 对本采购项目所包含的具体的服务进行详细列示的计算单价。</w:t>
            </w:r>
          </w:p>
          <w:p w14:paraId="79C11BD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color w:val="auto"/>
                <w:spacing w:val="0"/>
                <w:highlight w:val="none"/>
              </w:rPr>
            </w:pPr>
            <w:r>
              <w:rPr>
                <w:color w:val="auto"/>
                <w:spacing w:val="0"/>
                <w:highlight w:val="none"/>
              </w:rPr>
              <w:t>5、供应商应被认为在填报报价之前，已经仔细阅读了本磋商文件 的所有有关章节以及审查了所有相关资料，已确保本次磋商的所 有磋商范围内的各种价格风险均已包含在磋商的报价内。</w:t>
            </w:r>
          </w:p>
        </w:tc>
      </w:tr>
      <w:tr w14:paraId="3AE6B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117" w:hRule="atLeast"/>
          <w:jc w:val="center"/>
        </w:trPr>
        <w:tc>
          <w:tcPr>
            <w:tcW w:w="601" w:type="dxa"/>
            <w:vAlign w:val="center"/>
          </w:tcPr>
          <w:p w14:paraId="5788FD2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17</w:t>
            </w:r>
          </w:p>
        </w:tc>
        <w:tc>
          <w:tcPr>
            <w:tcW w:w="1211" w:type="dxa"/>
            <w:vAlign w:val="center"/>
          </w:tcPr>
          <w:p w14:paraId="1639F6E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color w:val="auto"/>
                <w:spacing w:val="0"/>
                <w:highlight w:val="none"/>
              </w:rPr>
            </w:pPr>
            <w:r>
              <w:rPr>
                <w:color w:val="auto"/>
                <w:spacing w:val="0"/>
                <w:highlight w:val="none"/>
              </w:rPr>
              <w:t>中小微型企业有关政策</w:t>
            </w:r>
          </w:p>
        </w:tc>
        <w:tc>
          <w:tcPr>
            <w:tcW w:w="6906" w:type="dxa"/>
            <w:gridSpan w:val="2"/>
            <w:vAlign w:val="top"/>
          </w:tcPr>
          <w:p w14:paraId="11206E4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8"/>
              <w:textAlignment w:val="baseline"/>
              <w:rPr>
                <w:color w:val="auto"/>
                <w:spacing w:val="0"/>
                <w:highlight w:val="none"/>
              </w:rPr>
            </w:pPr>
            <w:r>
              <w:rPr>
                <w:color w:val="auto"/>
                <w:spacing w:val="0"/>
                <w:highlight w:val="none"/>
              </w:rPr>
              <w:t>1、根据《关于印发政府采购促进中小企业发展管理办法的通知》 （财库[2020]46 号文）规定要求，对非专门面向中小企业采购的 采购项目，将对小微企业报价给予 6%—10%（工程项目为 3%-5%） 的扣除，用扣除后的价格参加评审。本项目对全部提供小型或微 型企业的工程的价格给予 3%的扣除（扣除后的价格仅作为评标使 用）。</w:t>
            </w:r>
          </w:p>
          <w:p w14:paraId="56A8F95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
              <w:textAlignment w:val="baseline"/>
              <w:rPr>
                <w:color w:val="auto"/>
                <w:spacing w:val="0"/>
                <w:highlight w:val="none"/>
              </w:rPr>
            </w:pPr>
            <w:r>
              <w:rPr>
                <w:color w:val="auto"/>
                <w:spacing w:val="0"/>
                <w:highlight w:val="none"/>
              </w:rPr>
              <w:t>2、根据《关于印发中小企业划型标准规定的通知》 (工信部联企 业[2011]300 号) 文件的规定，监狱企业、残疾人福利性单位 视同为小微企业；</w:t>
            </w:r>
          </w:p>
          <w:p w14:paraId="125A2BB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3、本项目所属行业：建筑业。</w:t>
            </w:r>
          </w:p>
        </w:tc>
      </w:tr>
      <w:tr w14:paraId="388DC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4117" w:hRule="atLeast"/>
          <w:jc w:val="center"/>
        </w:trPr>
        <w:tc>
          <w:tcPr>
            <w:tcW w:w="601" w:type="dxa"/>
            <w:vAlign w:val="center"/>
          </w:tcPr>
          <w:p w14:paraId="515C665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18</w:t>
            </w:r>
          </w:p>
        </w:tc>
        <w:tc>
          <w:tcPr>
            <w:tcW w:w="1211" w:type="dxa"/>
            <w:vAlign w:val="center"/>
          </w:tcPr>
          <w:p w14:paraId="0BBF0C44">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节能、环保 要求</w:t>
            </w:r>
          </w:p>
        </w:tc>
        <w:tc>
          <w:tcPr>
            <w:tcW w:w="6906" w:type="dxa"/>
            <w:gridSpan w:val="2"/>
            <w:vAlign w:val="top"/>
          </w:tcPr>
          <w:p w14:paraId="4690D81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按国家有关节能环保政策执行：</w:t>
            </w:r>
          </w:p>
          <w:p w14:paraId="6634678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6"/>
              <w:textAlignment w:val="baseline"/>
              <w:rPr>
                <w:color w:val="auto"/>
                <w:spacing w:val="0"/>
                <w:highlight w:val="none"/>
              </w:rPr>
            </w:pPr>
            <w:r>
              <w:rPr>
                <w:color w:val="auto"/>
                <w:spacing w:val="0"/>
                <w:highlight w:val="none"/>
              </w:rPr>
              <w:t>1、财政部 发展改革委 生态环境部 市场监管总局《关于调整优 化节能产品、环境标志产品政府采购执行机制的通知》 （财库</w:t>
            </w:r>
          </w:p>
          <w:p w14:paraId="3295B369">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〔2019〕9 号）。</w:t>
            </w:r>
          </w:p>
          <w:p w14:paraId="7746F61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color w:val="auto"/>
                <w:spacing w:val="0"/>
                <w:highlight w:val="none"/>
              </w:rPr>
            </w:pPr>
            <w:r>
              <w:rPr>
                <w:color w:val="auto"/>
                <w:spacing w:val="0"/>
                <w:highlight w:val="none"/>
              </w:rPr>
              <w:t>2、财政部 发展改革委《关于印发节能产品政府采购品目清单的 通知》（财库〔2019〕19 号）。</w:t>
            </w:r>
          </w:p>
          <w:p w14:paraId="799689C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color w:val="auto"/>
                <w:spacing w:val="0"/>
                <w:highlight w:val="none"/>
              </w:rPr>
            </w:pPr>
            <w:r>
              <w:rPr>
                <w:color w:val="auto"/>
                <w:spacing w:val="0"/>
                <w:highlight w:val="none"/>
              </w:rPr>
              <w:t>3、财政部 生态环境部《关于印发环境标志产品政府采购品目清 单的通知》（财库〔2019〕18 号）。</w:t>
            </w:r>
          </w:p>
          <w:p w14:paraId="6AFDCB7B">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8"/>
              <w:textAlignment w:val="baseline"/>
              <w:rPr>
                <w:color w:val="auto"/>
                <w:spacing w:val="0"/>
                <w:highlight w:val="none"/>
              </w:rPr>
            </w:pPr>
            <w:r>
              <w:rPr>
                <w:color w:val="auto"/>
                <w:spacing w:val="0"/>
                <w:highlight w:val="none"/>
              </w:rPr>
              <w:t>4、市场监管总局《关于发布参与实施政府采购节能产品、环境标 志产品认证机构名录的公告》（2019 年第 16 号）。</w:t>
            </w:r>
          </w:p>
        </w:tc>
      </w:tr>
      <w:tr w14:paraId="44F5A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367" w:hRule="atLeast"/>
          <w:jc w:val="center"/>
        </w:trPr>
        <w:tc>
          <w:tcPr>
            <w:tcW w:w="601" w:type="dxa"/>
            <w:vAlign w:val="center"/>
          </w:tcPr>
          <w:p w14:paraId="61C9DD0D">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19</w:t>
            </w:r>
          </w:p>
        </w:tc>
        <w:tc>
          <w:tcPr>
            <w:tcW w:w="1211" w:type="dxa"/>
            <w:vAlign w:val="center"/>
          </w:tcPr>
          <w:p w14:paraId="4DCBBD7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招标答疑</w:t>
            </w:r>
          </w:p>
        </w:tc>
        <w:tc>
          <w:tcPr>
            <w:tcW w:w="6906" w:type="dxa"/>
            <w:gridSpan w:val="2"/>
            <w:vAlign w:val="top"/>
          </w:tcPr>
          <w:p w14:paraId="17C05A5E">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color w:val="auto"/>
                <w:spacing w:val="0"/>
                <w:highlight w:val="none"/>
              </w:rPr>
            </w:pPr>
            <w:r>
              <w:rPr>
                <w:color w:val="auto"/>
                <w:spacing w:val="0"/>
                <w:highlight w:val="none"/>
              </w:rPr>
              <w:t>投标文件递交截止时间 72 小时前以书面形式加盖公章递交至</w:t>
            </w:r>
            <w:r>
              <w:rPr>
                <w:rFonts w:hint="eastAsia"/>
                <w:color w:val="auto"/>
                <w:spacing w:val="0"/>
                <w:highlight w:val="none"/>
                <w:lang w:eastAsia="zh-CN"/>
              </w:rPr>
              <w:t>乌鲁木齐鑫盛开源工程项目管理有限公司</w:t>
            </w:r>
            <w:r>
              <w:rPr>
                <w:color w:val="auto"/>
                <w:spacing w:val="0"/>
                <w:highlight w:val="none"/>
              </w:rPr>
              <w:t>，否则招标人不作任何解释。</w:t>
            </w:r>
          </w:p>
          <w:p w14:paraId="4FB8D93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6"/>
              <w:textAlignment w:val="baseline"/>
              <w:rPr>
                <w:color w:val="auto"/>
                <w:spacing w:val="0"/>
                <w:highlight w:val="none"/>
              </w:rPr>
            </w:pPr>
            <w:r>
              <w:rPr>
                <w:color w:val="auto"/>
                <w:spacing w:val="0"/>
                <w:highlight w:val="none"/>
              </w:rPr>
              <w:t>招标人将在投标截止时间48 小时前对投标人的疑问作出统一解答 以磋商文件补充形式发出。</w:t>
            </w:r>
          </w:p>
        </w:tc>
      </w:tr>
      <w:tr w14:paraId="3B658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3" w:type="dxa"/>
          <w:trHeight w:val="1057" w:hRule="atLeast"/>
          <w:jc w:val="center"/>
        </w:trPr>
        <w:tc>
          <w:tcPr>
            <w:tcW w:w="601" w:type="dxa"/>
            <w:vAlign w:val="center"/>
          </w:tcPr>
          <w:p w14:paraId="298A00A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20</w:t>
            </w:r>
          </w:p>
        </w:tc>
        <w:tc>
          <w:tcPr>
            <w:tcW w:w="1211" w:type="dxa"/>
            <w:vAlign w:val="center"/>
          </w:tcPr>
          <w:p w14:paraId="1D27617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特别提示</w:t>
            </w:r>
          </w:p>
        </w:tc>
        <w:tc>
          <w:tcPr>
            <w:tcW w:w="6906" w:type="dxa"/>
            <w:gridSpan w:val="2"/>
            <w:vAlign w:val="top"/>
          </w:tcPr>
          <w:p w14:paraId="5E9C8467">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color w:val="auto"/>
                <w:spacing w:val="0"/>
                <w:highlight w:val="none"/>
              </w:rPr>
            </w:pPr>
            <w:r>
              <w:rPr>
                <w:color w:val="auto"/>
                <w:spacing w:val="0"/>
                <w:highlight w:val="none"/>
              </w:rPr>
              <w:t>1、采购人根据工作实际需要情况要求成交企业按期完工；</w:t>
            </w:r>
          </w:p>
          <w:p w14:paraId="57D1E7C2">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color w:val="auto"/>
                <w:spacing w:val="0"/>
                <w:highlight w:val="none"/>
              </w:rPr>
            </w:pPr>
            <w:r>
              <w:rPr>
                <w:color w:val="auto"/>
                <w:spacing w:val="0"/>
                <w:highlight w:val="none"/>
              </w:rPr>
              <w:t>2、成交企业根据采购人实际需求按照指定的服务内容及时提供优 质服务，并向采购人提供服务项目进度计划表，否则自行承担一切损失；</w:t>
            </w:r>
          </w:p>
          <w:p w14:paraId="007ADACF">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pacing w:val="0"/>
                <w:highlight w:val="none"/>
                <w:lang w:val="en-US" w:eastAsia="zh-CN"/>
              </w:rPr>
            </w:pPr>
            <w:r>
              <w:rPr>
                <w:rFonts w:hint="eastAsia"/>
                <w:color w:val="auto"/>
                <w:spacing w:val="0"/>
                <w:highlight w:val="none"/>
                <w:lang w:val="en-US" w:eastAsia="zh-CN"/>
              </w:rPr>
              <w:t>3、</w:t>
            </w:r>
            <w:r>
              <w:rPr>
                <w:rFonts w:hint="eastAsia" w:ascii="宋体" w:hAnsi="宋体" w:eastAsia="宋体" w:cs="宋体"/>
                <w:color w:val="auto"/>
                <w:spacing w:val="0"/>
                <w:highlight w:val="none"/>
                <w:lang w:val="en-US" w:eastAsia="zh-CN"/>
              </w:rPr>
              <w:t>本项目的建设符合国家、自治区以工代赈项目要求和标准，可有效带动乡村群众就地就近就业增收，通过以工代赈项目实施，可进一步提升乡村群众的就业技能培训，提升稳定就业几率，对乡村农业发展有着重大示范带动作用。</w:t>
            </w:r>
          </w:p>
          <w:p w14:paraId="6C5C76EA">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default" w:ascii="宋体" w:hAnsi="宋体" w:eastAsia="宋体" w:cs="宋体"/>
                <w:color w:val="auto"/>
                <w:spacing w:val="0"/>
                <w:highlight w:val="none"/>
                <w:lang w:val="en-US" w:eastAsia="zh-CN"/>
              </w:rPr>
            </w:pPr>
            <w:r>
              <w:rPr>
                <w:rFonts w:hint="eastAsia" w:cs="宋体"/>
                <w:color w:val="auto"/>
                <w:spacing w:val="0"/>
                <w:highlight w:val="none"/>
                <w:lang w:val="en-US" w:eastAsia="zh-CN"/>
              </w:rPr>
              <w:t>4、</w:t>
            </w:r>
            <w:r>
              <w:rPr>
                <w:rFonts w:hint="eastAsia" w:ascii="宋体" w:hAnsi="宋体" w:eastAsia="宋体" w:cs="宋体"/>
                <w:color w:val="auto"/>
                <w:spacing w:val="0"/>
                <w:highlight w:val="none"/>
                <w:lang w:val="en-US" w:eastAsia="zh-CN"/>
              </w:rPr>
              <w:t>本工程总投资为7980000.00元，其中须发放劳务报酬278万元,占投入以工代赈资金的34.84%，并尽可能提高劳务报酬发放比例。</w:t>
            </w:r>
          </w:p>
          <w:p w14:paraId="38642B9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pacing w:val="0"/>
                <w:highlight w:val="none"/>
                <w:lang w:val="en-US" w:eastAsia="zh-CN"/>
              </w:rPr>
            </w:pPr>
            <w:r>
              <w:rPr>
                <w:rFonts w:hint="eastAsia" w:cs="宋体"/>
                <w:color w:val="auto"/>
                <w:spacing w:val="0"/>
                <w:highlight w:val="none"/>
                <w:lang w:val="en-US" w:eastAsia="zh-CN"/>
              </w:rPr>
              <w:t>5、</w:t>
            </w:r>
            <w:r>
              <w:rPr>
                <w:rFonts w:hint="eastAsia" w:ascii="宋体" w:hAnsi="宋体" w:eastAsia="宋体" w:cs="宋体"/>
                <w:color w:val="auto"/>
                <w:spacing w:val="0"/>
                <w:highlight w:val="none"/>
                <w:lang w:val="en-US" w:eastAsia="zh-CN"/>
              </w:rPr>
              <w:t>本项目须带动当地群众务工210人，开展技能培训210人，劳务报酬通过“新薪通”平台统一发放。</w:t>
            </w:r>
          </w:p>
          <w:p w14:paraId="2393A786">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rFonts w:hint="default" w:eastAsia="宋体"/>
                <w:color w:val="auto"/>
                <w:spacing w:val="0"/>
                <w:highlight w:val="none"/>
                <w:lang w:val="en-US" w:eastAsia="zh-CN"/>
              </w:rPr>
            </w:pPr>
            <w:r>
              <w:rPr>
                <w:rFonts w:hint="eastAsia" w:cs="宋体"/>
                <w:color w:val="auto"/>
                <w:spacing w:val="0"/>
                <w:highlight w:val="none"/>
                <w:lang w:val="en-US" w:eastAsia="zh-CN"/>
              </w:rPr>
              <w:t>6、</w:t>
            </w:r>
            <w:r>
              <w:rPr>
                <w:rFonts w:hint="eastAsia" w:ascii="宋体" w:hAnsi="宋体" w:eastAsia="宋体" w:cs="宋体"/>
                <w:color w:val="auto"/>
                <w:spacing w:val="0"/>
                <w:highlight w:val="none"/>
                <w:lang w:val="en-US" w:eastAsia="zh-CN"/>
              </w:rPr>
              <w:t>本项目采用“公益性基础设施建设+劳务报酬发放+就业技能培训+公益性岗位设置”模式实施，切实发挥本项目赈济作用，促进当地群众就地就近就业增收。在保证工程质量的前提下，按照“能用人工尽量不用机械，能组织当地群众务工尽量不用专业施工队伍”，加强当地群众务工组织，及时足额发放劳务报酬，且不得将租赁当地群众机械设备等费用计入劳务报酬。</w:t>
            </w:r>
          </w:p>
        </w:tc>
      </w:tr>
      <w:tr w14:paraId="267BC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jc w:val="center"/>
        </w:trPr>
        <w:tc>
          <w:tcPr>
            <w:tcW w:w="601" w:type="dxa"/>
            <w:vAlign w:val="center"/>
          </w:tcPr>
          <w:p w14:paraId="32A11B93">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21</w:t>
            </w:r>
          </w:p>
        </w:tc>
        <w:tc>
          <w:tcPr>
            <w:tcW w:w="1234" w:type="dxa"/>
            <w:gridSpan w:val="2"/>
            <w:vAlign w:val="center"/>
          </w:tcPr>
          <w:p w14:paraId="4CAD6A25">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color w:val="auto"/>
                <w:spacing w:val="0"/>
                <w:highlight w:val="none"/>
              </w:rPr>
            </w:pPr>
            <w:r>
              <w:rPr>
                <w:rFonts w:ascii="宋体" w:hAnsi="宋体" w:eastAsia="宋体" w:cs="宋体"/>
                <w:color w:val="auto"/>
                <w:spacing w:val="0"/>
                <w:highlight w:val="none"/>
              </w:rPr>
              <w:t>招    标 代 理 费</w:t>
            </w:r>
          </w:p>
        </w:tc>
        <w:tc>
          <w:tcPr>
            <w:tcW w:w="6906" w:type="dxa"/>
            <w:gridSpan w:val="2"/>
            <w:vAlign w:val="top"/>
          </w:tcPr>
          <w:p w14:paraId="34732FBC">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rFonts w:hint="eastAsia" w:ascii="宋体" w:hAnsi="宋体" w:eastAsia="宋体" w:cs="宋体"/>
                <w:color w:val="auto"/>
                <w:spacing w:val="0"/>
                <w:highlight w:val="none"/>
              </w:rPr>
            </w:pPr>
            <w:r>
              <w:rPr>
                <w:rFonts w:hint="eastAsia" w:cs="宋体"/>
                <w:color w:val="auto"/>
                <w:spacing w:val="0"/>
                <w:highlight w:val="none"/>
                <w:lang w:val="en-US" w:eastAsia="zh-CN"/>
              </w:rPr>
              <w:t>1.</w:t>
            </w:r>
            <w:r>
              <w:rPr>
                <w:rFonts w:hint="eastAsia" w:ascii="宋体" w:hAnsi="宋体" w:eastAsia="宋体" w:cs="宋体"/>
                <w:color w:val="auto"/>
                <w:spacing w:val="0"/>
                <w:highlight w:val="none"/>
              </w:rPr>
              <w:t>招标代理服务费由成交人向采购代理机构支付。</w:t>
            </w:r>
          </w:p>
          <w:p w14:paraId="309EFBF1">
            <w:pPr>
              <w:pStyle w:val="14"/>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left"/>
              <w:textAlignment w:val="baseline"/>
              <w:rPr>
                <w:color w:val="auto"/>
                <w:spacing w:val="0"/>
                <w:highlight w:val="none"/>
              </w:rPr>
            </w:pPr>
            <w:r>
              <w:rPr>
                <w:rFonts w:hint="eastAsia" w:cs="宋体"/>
                <w:color w:val="auto"/>
                <w:spacing w:val="0"/>
                <w:highlight w:val="none"/>
                <w:lang w:val="en-US" w:eastAsia="zh-CN"/>
              </w:rPr>
              <w:t>2.</w:t>
            </w:r>
            <w:r>
              <w:rPr>
                <w:rFonts w:hint="eastAsia" w:ascii="宋体" w:hAnsi="宋体" w:eastAsia="宋体" w:cs="宋体"/>
                <w:color w:val="auto"/>
                <w:spacing w:val="0"/>
                <w:highlight w:val="none"/>
              </w:rPr>
              <w:t>交纳时间：中标单位在领取中标通知书前，向</w:t>
            </w:r>
            <w:r>
              <w:rPr>
                <w:rFonts w:hint="eastAsia" w:ascii="宋体" w:hAnsi="宋体" w:eastAsia="宋体" w:cs="宋体"/>
                <w:color w:val="auto"/>
                <w:spacing w:val="0"/>
                <w:highlight w:val="none"/>
                <w:lang w:eastAsia="zh-CN"/>
              </w:rPr>
              <w:t>采购代理机构</w:t>
            </w:r>
            <w:r>
              <w:rPr>
                <w:rFonts w:hint="eastAsia" w:ascii="宋体" w:hAnsi="宋体" w:eastAsia="宋体" w:cs="宋体"/>
                <w:color w:val="auto"/>
                <w:spacing w:val="0"/>
                <w:highlight w:val="none"/>
              </w:rPr>
              <w:t>一次性缴纳招标代理服务费。</w:t>
            </w:r>
          </w:p>
        </w:tc>
      </w:tr>
      <w:bookmarkEnd w:id="4"/>
    </w:tbl>
    <w:p w14:paraId="043584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rFonts w:ascii="宋体" w:hAnsi="宋体" w:eastAsia="宋体" w:cs="宋体"/>
          <w:color w:val="auto"/>
          <w:sz w:val="20"/>
          <w:szCs w:val="20"/>
          <w:highlight w:val="none"/>
        </w:rPr>
        <w:sectPr>
          <w:footerReference r:id="rId8" w:type="default"/>
          <w:pgSz w:w="11906" w:h="16839"/>
          <w:pgMar w:top="1440" w:right="1800" w:bottom="1440" w:left="1800" w:header="0" w:footer="973" w:gutter="0"/>
          <w:pgNumType w:fmt="decimal"/>
          <w:cols w:space="720" w:num="1"/>
        </w:sectPr>
      </w:pPr>
      <w:r>
        <w:rPr>
          <w:rFonts w:ascii="宋体" w:hAnsi="宋体" w:eastAsia="宋体" w:cs="宋体"/>
          <w:b/>
          <w:bCs/>
          <w:color w:val="auto"/>
          <w:spacing w:val="7"/>
          <w:sz w:val="20"/>
          <w:szCs w:val="20"/>
          <w:highlight w:val="none"/>
        </w:rPr>
        <w:t>说明：《投标人须知前附表》是对投标须知条款的具体规定和补充，投标人应</w:t>
      </w:r>
      <w:r>
        <w:rPr>
          <w:rFonts w:ascii="宋体" w:hAnsi="宋体" w:eastAsia="宋体" w:cs="宋体"/>
          <w:b/>
          <w:bCs/>
          <w:color w:val="auto"/>
          <w:spacing w:val="6"/>
          <w:sz w:val="20"/>
          <w:szCs w:val="20"/>
          <w:highlight w:val="none"/>
        </w:rPr>
        <w:t>详细阅读，如有矛</w:t>
      </w:r>
      <w:r>
        <w:rPr>
          <w:rFonts w:ascii="宋体" w:hAnsi="宋体" w:eastAsia="宋体" w:cs="宋体"/>
          <w:b/>
          <w:bCs/>
          <w:color w:val="auto"/>
          <w:spacing w:val="2"/>
          <w:sz w:val="20"/>
          <w:szCs w:val="20"/>
          <w:highlight w:val="none"/>
        </w:rPr>
        <w:t>盾，</w:t>
      </w:r>
      <w:r>
        <w:rPr>
          <w:rFonts w:ascii="宋体" w:hAnsi="宋体" w:eastAsia="宋体" w:cs="宋体"/>
          <w:color w:val="auto"/>
          <w:spacing w:val="-55"/>
          <w:sz w:val="20"/>
          <w:szCs w:val="20"/>
          <w:highlight w:val="none"/>
        </w:rPr>
        <w:t xml:space="preserve"> </w:t>
      </w:r>
      <w:r>
        <w:rPr>
          <w:rFonts w:ascii="宋体" w:hAnsi="宋体" w:eastAsia="宋体" w:cs="宋体"/>
          <w:b/>
          <w:bCs/>
          <w:color w:val="auto"/>
          <w:spacing w:val="2"/>
          <w:sz w:val="20"/>
          <w:szCs w:val="20"/>
          <w:highlight w:val="none"/>
        </w:rPr>
        <w:t>以本资料表为准。</w:t>
      </w:r>
    </w:p>
    <w:p w14:paraId="7BDC17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highlight w:val="none"/>
        </w:rPr>
      </w:pPr>
      <w:bookmarkStart w:id="5" w:name="bookmark3"/>
      <w:bookmarkEnd w:id="5"/>
      <w:bookmarkStart w:id="6" w:name="_Toc2167"/>
      <w:r>
        <w:rPr>
          <w:rFonts w:ascii="宋体" w:hAnsi="宋体" w:eastAsia="宋体" w:cs="宋体"/>
          <w:b/>
          <w:bCs/>
          <w:color w:val="auto"/>
          <w:spacing w:val="5"/>
          <w:sz w:val="31"/>
          <w:szCs w:val="31"/>
          <w:highlight w:val="none"/>
        </w:rPr>
        <w:t>第三章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投标须知</w:t>
      </w:r>
      <w:bookmarkEnd w:id="6"/>
    </w:p>
    <w:p w14:paraId="1CC719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1"/>
        <w:rPr>
          <w:rFonts w:ascii="宋体" w:hAnsi="宋体" w:eastAsia="宋体" w:cs="宋体"/>
          <w:color w:val="auto"/>
          <w:sz w:val="24"/>
          <w:szCs w:val="24"/>
          <w:highlight w:val="none"/>
        </w:rPr>
      </w:pPr>
      <w:bookmarkStart w:id="7" w:name="_Toc4458"/>
      <w:r>
        <w:rPr>
          <w:rFonts w:ascii="宋体" w:hAnsi="宋体" w:eastAsia="宋体" w:cs="宋体"/>
          <w:b/>
          <w:bCs/>
          <w:color w:val="auto"/>
          <w:spacing w:val="-8"/>
          <w:sz w:val="24"/>
          <w:szCs w:val="24"/>
          <w:highlight w:val="none"/>
        </w:rPr>
        <w:t>第一节</w:t>
      </w:r>
      <w:r>
        <w:rPr>
          <w:rFonts w:ascii="宋体" w:hAnsi="宋体" w:eastAsia="宋体" w:cs="宋体"/>
          <w:color w:val="auto"/>
          <w:spacing w:val="21"/>
          <w:sz w:val="24"/>
          <w:szCs w:val="24"/>
          <w:highlight w:val="none"/>
        </w:rPr>
        <w:t xml:space="preserve"> </w:t>
      </w:r>
      <w:r>
        <w:rPr>
          <w:rFonts w:ascii="宋体" w:hAnsi="宋体" w:eastAsia="宋体" w:cs="宋体"/>
          <w:b/>
          <w:bCs/>
          <w:color w:val="auto"/>
          <w:spacing w:val="-8"/>
          <w:sz w:val="24"/>
          <w:szCs w:val="24"/>
          <w:highlight w:val="none"/>
        </w:rPr>
        <w:t>总则</w:t>
      </w:r>
      <w:bookmarkEnd w:id="7"/>
    </w:p>
    <w:p w14:paraId="1FF6BD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一、适用范围</w:t>
      </w:r>
    </w:p>
    <w:p w14:paraId="2CF369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根据《中华人民共和国政府采购法》、《中华人民共和国政府采购法实施条例》</w:t>
      </w:r>
      <w:r>
        <w:rPr>
          <w:rFonts w:ascii="宋体" w:hAnsi="宋体" w:eastAsia="宋体" w:cs="宋体"/>
          <w:color w:val="auto"/>
          <w:spacing w:val="-3"/>
          <w:sz w:val="24"/>
          <w:szCs w:val="24"/>
          <w:highlight w:val="none"/>
        </w:rPr>
        <w:t>等有关法律、法规和规章的规定，本招标项目已具备招标条件，本次招标采取竞争性</w:t>
      </w:r>
      <w:r>
        <w:rPr>
          <w:rFonts w:ascii="宋体" w:hAnsi="宋体" w:eastAsia="宋体" w:cs="宋体"/>
          <w:color w:val="auto"/>
          <w:sz w:val="24"/>
          <w:szCs w:val="24"/>
          <w:highlight w:val="none"/>
        </w:rPr>
        <w:t>磋商方式，且文件仅适用于本招标项目中所叙</w:t>
      </w:r>
      <w:r>
        <w:rPr>
          <w:rFonts w:ascii="宋体" w:hAnsi="宋体" w:eastAsia="宋体" w:cs="宋体"/>
          <w:color w:val="auto"/>
          <w:spacing w:val="-1"/>
          <w:sz w:val="24"/>
          <w:szCs w:val="24"/>
          <w:highlight w:val="none"/>
        </w:rPr>
        <w:t>述的工程服务项目等；</w:t>
      </w:r>
    </w:p>
    <w:p w14:paraId="1529C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w:t>
      </w:r>
      <w:r>
        <w:rPr>
          <w:rFonts w:ascii="宋体" w:hAnsi="宋体" w:eastAsia="宋体" w:cs="宋体"/>
          <w:color w:val="auto"/>
          <w:spacing w:val="-38"/>
          <w:sz w:val="24"/>
          <w:szCs w:val="24"/>
          <w:highlight w:val="none"/>
        </w:rPr>
        <w:t xml:space="preserve"> </w:t>
      </w:r>
      <w:r>
        <w:rPr>
          <w:rFonts w:ascii="宋体" w:hAnsi="宋体" w:eastAsia="宋体" w:cs="宋体"/>
          <w:color w:val="auto"/>
          <w:spacing w:val="-3"/>
          <w:sz w:val="24"/>
          <w:szCs w:val="24"/>
          <w:highlight w:val="none"/>
        </w:rPr>
        <w:t>采购人：见投标人须知前附表；</w:t>
      </w:r>
    </w:p>
    <w:p w14:paraId="115671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采购代理机构：见投标人须知前附表；</w:t>
      </w:r>
    </w:p>
    <w:p w14:paraId="646DEA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1.3“招标采购单位</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”系指“采购人</w:t>
      </w:r>
      <w:r>
        <w:rPr>
          <w:rFonts w:ascii="宋体" w:hAnsi="宋体" w:eastAsia="宋体" w:cs="宋体"/>
          <w:color w:val="auto"/>
          <w:spacing w:val="-89"/>
          <w:sz w:val="24"/>
          <w:szCs w:val="24"/>
          <w:highlight w:val="none"/>
        </w:rPr>
        <w:t xml:space="preserve"> </w:t>
      </w:r>
      <w:r>
        <w:rPr>
          <w:rFonts w:ascii="宋体" w:hAnsi="宋体" w:eastAsia="宋体" w:cs="宋体"/>
          <w:color w:val="auto"/>
          <w:spacing w:val="-4"/>
          <w:sz w:val="24"/>
          <w:szCs w:val="24"/>
          <w:highlight w:val="none"/>
        </w:rPr>
        <w:t>”和“采购代理机构</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”的统称；</w:t>
      </w:r>
    </w:p>
    <w:p w14:paraId="00C1BD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投标人：购买了磋商文件拟参加投标和向采购人提</w:t>
      </w:r>
      <w:r>
        <w:rPr>
          <w:rFonts w:ascii="宋体" w:hAnsi="宋体" w:eastAsia="宋体" w:cs="宋体"/>
          <w:color w:val="auto"/>
          <w:spacing w:val="-2"/>
          <w:sz w:val="24"/>
          <w:szCs w:val="24"/>
          <w:highlight w:val="none"/>
        </w:rPr>
        <w:t>供服务的供应商；</w:t>
      </w:r>
    </w:p>
    <w:p w14:paraId="708A88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1.5</w:t>
      </w:r>
      <w:r>
        <w:rPr>
          <w:rFonts w:ascii="宋体" w:hAnsi="宋体" w:eastAsia="宋体" w:cs="宋体"/>
          <w:color w:val="auto"/>
          <w:spacing w:val="-35"/>
          <w:sz w:val="24"/>
          <w:szCs w:val="24"/>
          <w:highlight w:val="none"/>
        </w:rPr>
        <w:t xml:space="preserve"> </w:t>
      </w:r>
      <w:r>
        <w:rPr>
          <w:rFonts w:ascii="宋体" w:hAnsi="宋体" w:eastAsia="宋体" w:cs="宋体"/>
          <w:color w:val="auto"/>
          <w:spacing w:val="-3"/>
          <w:sz w:val="24"/>
          <w:szCs w:val="24"/>
          <w:highlight w:val="none"/>
        </w:rPr>
        <w:t>项目名称：见投标人须知前附表；</w:t>
      </w:r>
    </w:p>
    <w:p w14:paraId="45BC99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w:t>
      </w:r>
      <w:r>
        <w:rPr>
          <w:rFonts w:ascii="宋体" w:hAnsi="宋体" w:eastAsia="宋体" w:cs="宋体"/>
          <w:color w:val="auto"/>
          <w:spacing w:val="-35"/>
          <w:sz w:val="24"/>
          <w:szCs w:val="24"/>
          <w:highlight w:val="none"/>
        </w:rPr>
        <w:t xml:space="preserve"> </w:t>
      </w:r>
      <w:r>
        <w:rPr>
          <w:rFonts w:ascii="宋体" w:hAnsi="宋体" w:eastAsia="宋体" w:cs="宋体"/>
          <w:color w:val="auto"/>
          <w:spacing w:val="-3"/>
          <w:sz w:val="24"/>
          <w:szCs w:val="24"/>
          <w:highlight w:val="none"/>
        </w:rPr>
        <w:t>建设地点：见投标人须知前附表；</w:t>
      </w:r>
    </w:p>
    <w:p w14:paraId="6B7D8F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1.7</w:t>
      </w:r>
      <w:r>
        <w:rPr>
          <w:rFonts w:ascii="宋体" w:hAnsi="宋体" w:eastAsia="宋体" w:cs="宋体"/>
          <w:color w:val="auto"/>
          <w:spacing w:val="-35"/>
          <w:sz w:val="24"/>
          <w:szCs w:val="24"/>
          <w:highlight w:val="none"/>
        </w:rPr>
        <w:t xml:space="preserve"> </w:t>
      </w:r>
      <w:r>
        <w:rPr>
          <w:rFonts w:ascii="宋体" w:hAnsi="宋体" w:eastAsia="宋体" w:cs="宋体"/>
          <w:color w:val="auto"/>
          <w:spacing w:val="-3"/>
          <w:sz w:val="24"/>
          <w:szCs w:val="24"/>
          <w:highlight w:val="none"/>
        </w:rPr>
        <w:t>项目规模：见投标人须知前附表；</w:t>
      </w:r>
    </w:p>
    <w:p w14:paraId="58E9E3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1.8</w:t>
      </w:r>
      <w:r>
        <w:rPr>
          <w:rFonts w:ascii="宋体" w:hAnsi="宋体" w:eastAsia="宋体" w:cs="宋体"/>
          <w:color w:val="auto"/>
          <w:spacing w:val="-35"/>
          <w:sz w:val="24"/>
          <w:szCs w:val="24"/>
          <w:highlight w:val="none"/>
        </w:rPr>
        <w:t xml:space="preserve"> </w:t>
      </w:r>
      <w:r>
        <w:rPr>
          <w:rFonts w:ascii="宋体" w:hAnsi="宋体" w:eastAsia="宋体" w:cs="宋体"/>
          <w:color w:val="auto"/>
          <w:spacing w:val="-3"/>
          <w:sz w:val="24"/>
          <w:szCs w:val="24"/>
          <w:highlight w:val="none"/>
        </w:rPr>
        <w:t>项目概况：见投标人须知前附表。</w:t>
      </w:r>
    </w:p>
    <w:p w14:paraId="7AD671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二、资金来源</w:t>
      </w:r>
    </w:p>
    <w:p w14:paraId="1B467F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本招标项目的资金来源：见投标人须知前附表；</w:t>
      </w:r>
    </w:p>
    <w:p w14:paraId="5F82A9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招标控制价：见投标人须知前附表。</w:t>
      </w:r>
    </w:p>
    <w:p w14:paraId="7E0551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三、招标范围、计划工期和质量要求</w:t>
      </w:r>
    </w:p>
    <w:p w14:paraId="4245D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本招标项目的范围：见投标人须知前附表；</w:t>
      </w:r>
    </w:p>
    <w:p w14:paraId="194D3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本招标项目的承包方式：见投标人须知前附</w:t>
      </w:r>
      <w:r>
        <w:rPr>
          <w:rFonts w:ascii="宋体" w:hAnsi="宋体" w:eastAsia="宋体" w:cs="宋体"/>
          <w:color w:val="auto"/>
          <w:spacing w:val="-2"/>
          <w:sz w:val="24"/>
          <w:szCs w:val="24"/>
          <w:highlight w:val="none"/>
        </w:rPr>
        <w:t>表；</w:t>
      </w:r>
    </w:p>
    <w:p w14:paraId="5D5648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3.3</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本招标项目的工期：见投标人须知前附表；</w:t>
      </w:r>
    </w:p>
    <w:p w14:paraId="0543D5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3.4</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本招标项目的质量要求：见投标人须知前附</w:t>
      </w:r>
      <w:r>
        <w:rPr>
          <w:rFonts w:ascii="宋体" w:hAnsi="宋体" w:eastAsia="宋体" w:cs="宋体"/>
          <w:color w:val="auto"/>
          <w:spacing w:val="-2"/>
          <w:sz w:val="24"/>
          <w:szCs w:val="24"/>
          <w:highlight w:val="none"/>
        </w:rPr>
        <w:t>表。</w:t>
      </w:r>
    </w:p>
    <w:p w14:paraId="237A99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四、合格的投标人：</w:t>
      </w:r>
    </w:p>
    <w:p w14:paraId="4F196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 满足《中华人民共和国政府采购法》第二十二条规定</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⑴ 具有独立承担民事责任的能力；</w:t>
      </w:r>
    </w:p>
    <w:p w14:paraId="105A53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16"/>
          <w:sz w:val="24"/>
          <w:szCs w:val="24"/>
          <w:highlight w:val="none"/>
        </w:rPr>
      </w:pPr>
      <w:r>
        <w:rPr>
          <w:rFonts w:ascii="宋体" w:hAnsi="宋体" w:eastAsia="宋体" w:cs="宋体"/>
          <w:color w:val="auto"/>
          <w:spacing w:val="-4"/>
          <w:sz w:val="24"/>
          <w:szCs w:val="24"/>
          <w:highlight w:val="none"/>
        </w:rPr>
        <w:t>⑵ 具有良好的商业信誉和健全的财务会计制度；</w:t>
      </w:r>
      <w:r>
        <w:rPr>
          <w:rFonts w:ascii="宋体" w:hAnsi="宋体" w:eastAsia="宋体" w:cs="宋体"/>
          <w:color w:val="auto"/>
          <w:spacing w:val="16"/>
          <w:sz w:val="24"/>
          <w:szCs w:val="24"/>
          <w:highlight w:val="none"/>
        </w:rPr>
        <w:t xml:space="preserve"> </w:t>
      </w:r>
    </w:p>
    <w:p w14:paraId="5238C4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rFonts w:ascii="宋体" w:hAnsi="宋体" w:eastAsia="宋体" w:cs="宋体"/>
          <w:color w:val="auto"/>
          <w:spacing w:val="-4"/>
          <w:sz w:val="24"/>
          <w:szCs w:val="24"/>
          <w:highlight w:val="none"/>
        </w:rPr>
        <w:t>⑶ 具有履行合同所必需的设备和专业技术能力；</w:t>
      </w:r>
    </w:p>
    <w:p w14:paraId="0B2F5A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⑷ 有依法缴纳税收和社会保障资金的良好记录；</w:t>
      </w:r>
    </w:p>
    <w:p w14:paraId="4A3A96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⑸ 参加政府采购活动前三年内，在经营活动中没有重大违法记录；</w:t>
      </w:r>
    </w:p>
    <w:p w14:paraId="4021C1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⑹ 法律、行政法规规定的其他条件。</w:t>
      </w:r>
    </w:p>
    <w:p w14:paraId="20DCBF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4.2 落实政府采购政策需满足得资格要求：</w:t>
      </w:r>
    </w:p>
    <w:p w14:paraId="499AEF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 xml:space="preserve"> </w:t>
      </w:r>
      <w:r>
        <w:rPr>
          <w:rFonts w:ascii="宋体" w:hAnsi="宋体" w:eastAsia="宋体" w:cs="宋体"/>
          <w:color w:val="auto"/>
          <w:spacing w:val="-2"/>
          <w:sz w:val="24"/>
          <w:szCs w:val="24"/>
          <w:highlight w:val="none"/>
        </w:rPr>
        <w:t>⑴ 采购政策</w:t>
      </w:r>
    </w:p>
    <w:p w14:paraId="58079FC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政府采购应当优先采购本国货物、工程和服务，并执行节能产品、环境标</w:t>
      </w:r>
      <w:r>
        <w:rPr>
          <w:rFonts w:ascii="宋体" w:hAnsi="宋体" w:eastAsia="宋体" w:cs="宋体"/>
          <w:color w:val="auto"/>
          <w:spacing w:val="-4"/>
          <w:sz w:val="24"/>
          <w:szCs w:val="24"/>
          <w:highlight w:val="none"/>
        </w:rPr>
        <w:t>志产</w:t>
      </w:r>
      <w:r>
        <w:rPr>
          <w:rFonts w:ascii="宋体" w:hAnsi="宋体" w:eastAsia="宋体" w:cs="宋体"/>
          <w:color w:val="auto"/>
          <w:spacing w:val="-1"/>
          <w:sz w:val="24"/>
          <w:szCs w:val="24"/>
          <w:highlight w:val="none"/>
        </w:rPr>
        <w:t>品、中小企业、残疾人福利性单位、监狱企业等适宜本项目的政府采购政策。</w:t>
      </w:r>
    </w:p>
    <w:p w14:paraId="6420C1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⑵ 政策依据</w:t>
      </w:r>
    </w:p>
    <w:p w14:paraId="671F65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① 财政部、国家发展改革委、生态环境部、市场监管总局《关于调整优化节能</w:t>
      </w:r>
      <w:r>
        <w:rPr>
          <w:rFonts w:ascii="宋体" w:hAnsi="宋体" w:eastAsia="宋体" w:cs="宋体"/>
          <w:color w:val="auto"/>
          <w:spacing w:val="-1"/>
          <w:sz w:val="24"/>
          <w:szCs w:val="24"/>
          <w:highlight w:val="none"/>
        </w:rPr>
        <w:t>产品、环境标志产品政府采购执行机制的通知》（财库[2019]9</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号文</w:t>
      </w:r>
      <w:r>
        <w:rPr>
          <w:rFonts w:ascii="宋体" w:hAnsi="宋体" w:eastAsia="宋体" w:cs="宋体"/>
          <w:color w:val="auto"/>
          <w:spacing w:val="3"/>
          <w:sz w:val="24"/>
          <w:szCs w:val="24"/>
          <w:highlight w:val="none"/>
        </w:rPr>
        <w:t>）；</w:t>
      </w:r>
    </w:p>
    <w:p w14:paraId="69F76A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② 财政部、生态环境部《关于印发环境标志产品政府采购品目清</w:t>
      </w:r>
      <w:r>
        <w:rPr>
          <w:rFonts w:ascii="宋体" w:hAnsi="宋体" w:eastAsia="宋体" w:cs="宋体"/>
          <w:color w:val="auto"/>
          <w:spacing w:val="-7"/>
          <w:sz w:val="24"/>
          <w:szCs w:val="24"/>
          <w:highlight w:val="none"/>
        </w:rPr>
        <w:t>单的通知》（财</w:t>
      </w:r>
      <w:r>
        <w:rPr>
          <w:rFonts w:ascii="宋体" w:hAnsi="宋体" w:eastAsia="宋体" w:cs="宋体"/>
          <w:color w:val="auto"/>
          <w:spacing w:val="-3"/>
          <w:sz w:val="24"/>
          <w:szCs w:val="24"/>
          <w:highlight w:val="none"/>
        </w:rPr>
        <w:t>库[2019]18</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号文</w:t>
      </w:r>
      <w:r>
        <w:rPr>
          <w:rFonts w:ascii="宋体" w:hAnsi="宋体" w:eastAsia="宋体" w:cs="宋体"/>
          <w:color w:val="auto"/>
          <w:spacing w:val="3"/>
          <w:sz w:val="24"/>
          <w:szCs w:val="24"/>
          <w:highlight w:val="none"/>
        </w:rPr>
        <w:t>）；</w:t>
      </w:r>
    </w:p>
    <w:p w14:paraId="0BBE99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③ 财政部、发展改革委《关于印发节能产品政府采购品目清单的通知》（财库</w:t>
      </w:r>
      <w:r>
        <w:rPr>
          <w:rFonts w:ascii="宋体" w:hAnsi="宋体" w:eastAsia="宋体" w:cs="宋体"/>
          <w:color w:val="auto"/>
          <w:spacing w:val="-7"/>
          <w:sz w:val="24"/>
          <w:szCs w:val="24"/>
          <w:highlight w:val="none"/>
        </w:rPr>
        <w:t>[2019]19</w:t>
      </w:r>
      <w:r>
        <w:rPr>
          <w:rFonts w:ascii="宋体" w:hAnsi="宋体" w:eastAsia="宋体" w:cs="宋体"/>
          <w:color w:val="auto"/>
          <w:spacing w:val="-44"/>
          <w:sz w:val="24"/>
          <w:szCs w:val="24"/>
          <w:highlight w:val="none"/>
        </w:rPr>
        <w:t xml:space="preserve"> </w:t>
      </w:r>
      <w:r>
        <w:rPr>
          <w:rFonts w:ascii="宋体" w:hAnsi="宋体" w:eastAsia="宋体" w:cs="宋体"/>
          <w:color w:val="auto"/>
          <w:spacing w:val="-7"/>
          <w:sz w:val="24"/>
          <w:szCs w:val="24"/>
          <w:highlight w:val="none"/>
        </w:rPr>
        <w:t>号文</w:t>
      </w:r>
      <w:r>
        <w:rPr>
          <w:rFonts w:ascii="宋体" w:hAnsi="宋体" w:eastAsia="宋体" w:cs="宋体"/>
          <w:color w:val="auto"/>
          <w:spacing w:val="3"/>
          <w:sz w:val="24"/>
          <w:szCs w:val="24"/>
          <w:highlight w:val="none"/>
        </w:rPr>
        <w:t>）；</w:t>
      </w:r>
    </w:p>
    <w:p w14:paraId="17BDC8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④ 市场监管总局《市场监管总局关于发布参与实施政府采购节能产品、环境标</w:t>
      </w:r>
      <w:r>
        <w:rPr>
          <w:rFonts w:ascii="宋体" w:hAnsi="宋体" w:eastAsia="宋体" w:cs="宋体"/>
          <w:color w:val="auto"/>
          <w:spacing w:val="-3"/>
          <w:sz w:val="24"/>
          <w:szCs w:val="24"/>
          <w:highlight w:val="none"/>
        </w:rPr>
        <w:t>志产品认证机构名录的公告》（2019</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年第</w:t>
      </w:r>
      <w:r>
        <w:rPr>
          <w:rFonts w:ascii="宋体" w:hAnsi="宋体" w:eastAsia="宋体" w:cs="宋体"/>
          <w:color w:val="auto"/>
          <w:spacing w:val="-32"/>
          <w:sz w:val="24"/>
          <w:szCs w:val="24"/>
          <w:highlight w:val="none"/>
        </w:rPr>
        <w:t xml:space="preserve"> </w:t>
      </w:r>
      <w:r>
        <w:rPr>
          <w:rFonts w:ascii="宋体" w:hAnsi="宋体" w:eastAsia="宋体" w:cs="宋体"/>
          <w:color w:val="auto"/>
          <w:spacing w:val="-3"/>
          <w:sz w:val="24"/>
          <w:szCs w:val="24"/>
          <w:highlight w:val="none"/>
        </w:rPr>
        <w:t>1</w:t>
      </w:r>
      <w:r>
        <w:rPr>
          <w:rFonts w:ascii="宋体" w:hAnsi="宋体" w:eastAsia="宋体" w:cs="宋体"/>
          <w:color w:val="auto"/>
          <w:spacing w:val="-4"/>
          <w:sz w:val="24"/>
          <w:szCs w:val="24"/>
          <w:highlight w:val="none"/>
        </w:rPr>
        <w:t>6</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号</w:t>
      </w:r>
      <w:r>
        <w:rPr>
          <w:rFonts w:ascii="宋体" w:hAnsi="宋体" w:eastAsia="宋体" w:cs="宋体"/>
          <w:color w:val="auto"/>
          <w:sz w:val="24"/>
          <w:szCs w:val="24"/>
          <w:highlight w:val="none"/>
        </w:rPr>
        <w:t>）；</w:t>
      </w:r>
    </w:p>
    <w:p w14:paraId="40AB76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⑤ 财政部、工业和信息化部《关于印发《政府采购促进中小</w:t>
      </w:r>
      <w:r>
        <w:rPr>
          <w:rFonts w:ascii="宋体" w:hAnsi="宋体" w:eastAsia="宋体" w:cs="宋体"/>
          <w:color w:val="auto"/>
          <w:spacing w:val="-4"/>
          <w:sz w:val="24"/>
          <w:szCs w:val="24"/>
          <w:highlight w:val="none"/>
        </w:rPr>
        <w:t>企业发展管理办法》</w:t>
      </w:r>
      <w:r>
        <w:rPr>
          <w:rFonts w:ascii="宋体" w:hAnsi="宋体" w:eastAsia="宋体" w:cs="宋体"/>
          <w:color w:val="auto"/>
          <w:spacing w:val="-3"/>
          <w:sz w:val="24"/>
          <w:szCs w:val="24"/>
          <w:highlight w:val="none"/>
        </w:rPr>
        <w:t>的通知》（财库[2020]46</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号文</w:t>
      </w:r>
      <w:r>
        <w:rPr>
          <w:rFonts w:ascii="宋体" w:hAnsi="宋体" w:eastAsia="宋体" w:cs="宋体"/>
          <w:color w:val="auto"/>
          <w:spacing w:val="2"/>
          <w:sz w:val="24"/>
          <w:szCs w:val="24"/>
          <w:highlight w:val="none"/>
        </w:rPr>
        <w:t>）；</w:t>
      </w:r>
    </w:p>
    <w:p w14:paraId="7310C1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⑥ 财政部、民政部、中国残疾人联合会《关于促进残疾人就业政府采购政策的</w:t>
      </w:r>
      <w:r>
        <w:rPr>
          <w:rFonts w:ascii="宋体" w:hAnsi="宋体" w:eastAsia="宋体" w:cs="宋体"/>
          <w:color w:val="auto"/>
          <w:spacing w:val="-2"/>
          <w:sz w:val="24"/>
          <w:szCs w:val="24"/>
          <w:highlight w:val="none"/>
        </w:rPr>
        <w:t>通知》（财库[2017]141</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号文</w:t>
      </w:r>
      <w:r>
        <w:rPr>
          <w:rFonts w:ascii="宋体" w:hAnsi="宋体" w:eastAsia="宋体" w:cs="宋体"/>
          <w:color w:val="auto"/>
          <w:spacing w:val="4"/>
          <w:sz w:val="24"/>
          <w:szCs w:val="24"/>
          <w:highlight w:val="none"/>
        </w:rPr>
        <w:t>）；</w:t>
      </w:r>
    </w:p>
    <w:p w14:paraId="4CBB55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⑦ 财政部、司法部《关于政府采购支持监狱企业发展有关问题的通知》（财库</w:t>
      </w:r>
      <w:r>
        <w:rPr>
          <w:rFonts w:ascii="宋体" w:hAnsi="宋体" w:eastAsia="宋体" w:cs="宋体"/>
          <w:color w:val="auto"/>
          <w:spacing w:val="-7"/>
          <w:sz w:val="24"/>
          <w:szCs w:val="24"/>
          <w:highlight w:val="none"/>
        </w:rPr>
        <w:t>[2014]68</w:t>
      </w:r>
      <w:r>
        <w:rPr>
          <w:rFonts w:ascii="宋体" w:hAnsi="宋体" w:eastAsia="宋体" w:cs="宋体"/>
          <w:color w:val="auto"/>
          <w:spacing w:val="-44"/>
          <w:sz w:val="24"/>
          <w:szCs w:val="24"/>
          <w:highlight w:val="none"/>
        </w:rPr>
        <w:t xml:space="preserve"> </w:t>
      </w:r>
      <w:r>
        <w:rPr>
          <w:rFonts w:ascii="宋体" w:hAnsi="宋体" w:eastAsia="宋体" w:cs="宋体"/>
          <w:color w:val="auto"/>
          <w:spacing w:val="-7"/>
          <w:sz w:val="24"/>
          <w:szCs w:val="24"/>
          <w:highlight w:val="none"/>
        </w:rPr>
        <w:t>号文</w:t>
      </w:r>
      <w:r>
        <w:rPr>
          <w:rFonts w:ascii="宋体" w:hAnsi="宋体" w:eastAsia="宋体" w:cs="宋体"/>
          <w:color w:val="auto"/>
          <w:spacing w:val="3"/>
          <w:sz w:val="24"/>
          <w:szCs w:val="24"/>
          <w:highlight w:val="none"/>
        </w:rPr>
        <w:t>）；</w:t>
      </w:r>
    </w:p>
    <w:p w14:paraId="5A7217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⑧ 《财政部农业农村部国家乡村振兴局关于运用政府采购政策支持乡村产业振</w:t>
      </w:r>
      <w:r>
        <w:rPr>
          <w:rFonts w:ascii="宋体" w:hAnsi="宋体" w:eastAsia="宋体" w:cs="宋体"/>
          <w:color w:val="auto"/>
          <w:spacing w:val="2"/>
          <w:sz w:val="24"/>
          <w:szCs w:val="24"/>
          <w:highlight w:val="none"/>
        </w:rPr>
        <w:t>兴的通知》（财库[2021]19</w:t>
      </w:r>
      <w:r>
        <w:rPr>
          <w:rFonts w:ascii="宋体" w:hAnsi="宋体" w:eastAsia="宋体" w:cs="宋体"/>
          <w:color w:val="auto"/>
          <w:spacing w:val="-43"/>
          <w:sz w:val="24"/>
          <w:szCs w:val="24"/>
          <w:highlight w:val="none"/>
        </w:rPr>
        <w:t xml:space="preserve"> </w:t>
      </w:r>
      <w:r>
        <w:rPr>
          <w:rFonts w:ascii="宋体" w:hAnsi="宋体" w:eastAsia="宋体" w:cs="宋体"/>
          <w:color w:val="auto"/>
          <w:spacing w:val="2"/>
          <w:sz w:val="24"/>
          <w:szCs w:val="24"/>
          <w:highlight w:val="none"/>
        </w:rPr>
        <w:t>号文）</w:t>
      </w:r>
      <w:r>
        <w:rPr>
          <w:rFonts w:ascii="宋体" w:hAnsi="宋体" w:eastAsia="宋体" w:cs="宋体"/>
          <w:color w:val="auto"/>
          <w:spacing w:val="1"/>
          <w:sz w:val="24"/>
          <w:szCs w:val="24"/>
          <w:highlight w:val="none"/>
        </w:rPr>
        <w:t>、《财政部农业农村部国家乡村振兴局中华全国</w:t>
      </w:r>
      <w:r>
        <w:rPr>
          <w:rFonts w:ascii="宋体" w:hAnsi="宋体" w:eastAsia="宋体" w:cs="宋体"/>
          <w:color w:val="auto"/>
          <w:sz w:val="24"/>
          <w:szCs w:val="24"/>
          <w:highlight w:val="none"/>
        </w:rPr>
        <w:t>供销合作总社关于印发&lt;关于深入开展政府采购脱贫地区农副产品工作推进乡村产业</w:t>
      </w:r>
      <w:r>
        <w:rPr>
          <w:rFonts w:ascii="宋体" w:hAnsi="宋体" w:eastAsia="宋体" w:cs="宋体"/>
          <w:color w:val="auto"/>
          <w:spacing w:val="-1"/>
          <w:sz w:val="24"/>
          <w:szCs w:val="24"/>
          <w:highlight w:val="none"/>
        </w:rPr>
        <w:t>振兴的实施意见&gt;的通知》（财库[2021]20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号文）、《财政部办公厅关于组织地方预</w:t>
      </w:r>
      <w:r>
        <w:rPr>
          <w:rFonts w:ascii="宋体" w:hAnsi="宋体" w:eastAsia="宋体" w:cs="宋体"/>
          <w:color w:val="auto"/>
          <w:spacing w:val="-10"/>
          <w:sz w:val="24"/>
          <w:szCs w:val="24"/>
          <w:highlight w:val="none"/>
        </w:rPr>
        <w:t>算单位做好</w:t>
      </w:r>
      <w:r>
        <w:rPr>
          <w:rFonts w:ascii="宋体" w:hAnsi="宋体" w:eastAsia="宋体" w:cs="宋体"/>
          <w:color w:val="auto"/>
          <w:spacing w:val="-60"/>
          <w:sz w:val="24"/>
          <w:szCs w:val="24"/>
          <w:highlight w:val="none"/>
        </w:rPr>
        <w:t xml:space="preserve"> </w:t>
      </w:r>
      <w:r>
        <w:rPr>
          <w:rFonts w:ascii="宋体" w:hAnsi="宋体" w:eastAsia="宋体" w:cs="宋体"/>
          <w:color w:val="auto"/>
          <w:spacing w:val="-10"/>
          <w:sz w:val="24"/>
          <w:szCs w:val="24"/>
          <w:highlight w:val="none"/>
        </w:rPr>
        <w:t>2021</w:t>
      </w:r>
      <w:r>
        <w:rPr>
          <w:rFonts w:ascii="宋体" w:hAnsi="宋体" w:eastAsia="宋体" w:cs="宋体"/>
          <w:color w:val="auto"/>
          <w:spacing w:val="-59"/>
          <w:sz w:val="24"/>
          <w:szCs w:val="24"/>
          <w:highlight w:val="none"/>
        </w:rPr>
        <w:t xml:space="preserve"> </w:t>
      </w:r>
      <w:r>
        <w:rPr>
          <w:rFonts w:ascii="宋体" w:hAnsi="宋体" w:eastAsia="宋体" w:cs="宋体"/>
          <w:color w:val="auto"/>
          <w:spacing w:val="-10"/>
          <w:sz w:val="24"/>
          <w:szCs w:val="24"/>
          <w:highlight w:val="none"/>
        </w:rPr>
        <w:t>年政府采购脱贫地区农副产品工作的通知》（财办库[2021</w:t>
      </w:r>
      <w:r>
        <w:rPr>
          <w:rFonts w:ascii="宋体" w:hAnsi="宋体" w:eastAsia="宋体" w:cs="宋体"/>
          <w:color w:val="auto"/>
          <w:spacing w:val="-11"/>
          <w:sz w:val="24"/>
          <w:szCs w:val="24"/>
          <w:highlight w:val="none"/>
        </w:rPr>
        <w:t>]76</w:t>
      </w:r>
      <w:r>
        <w:rPr>
          <w:rFonts w:ascii="宋体" w:hAnsi="宋体" w:eastAsia="宋体" w:cs="宋体"/>
          <w:color w:val="auto"/>
          <w:spacing w:val="-57"/>
          <w:sz w:val="24"/>
          <w:szCs w:val="24"/>
          <w:highlight w:val="none"/>
        </w:rPr>
        <w:t xml:space="preserve"> </w:t>
      </w:r>
      <w:r>
        <w:rPr>
          <w:rFonts w:ascii="宋体" w:hAnsi="宋体" w:eastAsia="宋体" w:cs="宋体"/>
          <w:color w:val="auto"/>
          <w:spacing w:val="-11"/>
          <w:sz w:val="24"/>
          <w:szCs w:val="24"/>
          <w:highlight w:val="none"/>
        </w:rPr>
        <w:t>号文）、</w:t>
      </w:r>
      <w:r>
        <w:rPr>
          <w:rFonts w:ascii="宋体" w:hAnsi="宋体" w:eastAsia="宋体" w:cs="宋体"/>
          <w:color w:val="auto"/>
          <w:spacing w:val="-3"/>
          <w:sz w:val="24"/>
          <w:szCs w:val="24"/>
          <w:highlight w:val="none"/>
        </w:rPr>
        <w:t>关于印发《关于深入开展政府采购脱贫地区农副产品工作推进乡村产业振兴的实施意见》的通知。</w:t>
      </w:r>
    </w:p>
    <w:p w14:paraId="055AB8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4.3 投标人的特定资格要求，见投标人须知前附表</w:t>
      </w:r>
    </w:p>
    <w:p w14:paraId="2D31AB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符合政府采购政策、相关法律、法规规定的其他条件，如投标人本行业有特殊资</w:t>
      </w:r>
      <w:r>
        <w:rPr>
          <w:rFonts w:ascii="宋体" w:hAnsi="宋体" w:eastAsia="宋体" w:cs="宋体"/>
          <w:color w:val="auto"/>
          <w:spacing w:val="-1"/>
          <w:sz w:val="24"/>
          <w:szCs w:val="24"/>
          <w:highlight w:val="none"/>
        </w:rPr>
        <w:t>格要求的，投标人应附上其证明材料，并对自己的资</w:t>
      </w:r>
      <w:r>
        <w:rPr>
          <w:rFonts w:ascii="宋体" w:hAnsi="宋体" w:eastAsia="宋体" w:cs="宋体"/>
          <w:color w:val="auto"/>
          <w:spacing w:val="-2"/>
          <w:sz w:val="24"/>
          <w:szCs w:val="24"/>
          <w:highlight w:val="none"/>
        </w:rPr>
        <w:t>格能力满足磋商文件做出承诺。</w:t>
      </w:r>
    </w:p>
    <w:p w14:paraId="3D96C9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4.4 投标人须知前附表规定接受联合体投标的，除应符合投标人须知前附表的要</w:t>
      </w:r>
      <w:r>
        <w:rPr>
          <w:rFonts w:ascii="宋体" w:hAnsi="宋体" w:eastAsia="宋体" w:cs="宋体"/>
          <w:color w:val="auto"/>
          <w:spacing w:val="-1"/>
          <w:sz w:val="24"/>
          <w:szCs w:val="24"/>
          <w:highlight w:val="none"/>
        </w:rPr>
        <w:t>求外，还应遵守以下规定：</w:t>
      </w:r>
    </w:p>
    <w:p w14:paraId="212FF6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联合体各方应按磋商文件提供的格式签订联合体协议书，明确联合体牵头人</w:t>
      </w:r>
      <w:r>
        <w:rPr>
          <w:rFonts w:ascii="宋体" w:hAnsi="宋体" w:eastAsia="宋体" w:cs="宋体"/>
          <w:color w:val="auto"/>
          <w:spacing w:val="-2"/>
          <w:sz w:val="24"/>
          <w:szCs w:val="24"/>
          <w:highlight w:val="none"/>
        </w:rPr>
        <w:t>和各方权利义务；</w:t>
      </w:r>
    </w:p>
    <w:p w14:paraId="4A60FB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pacing w:val="-4"/>
          <w:sz w:val="24"/>
          <w:szCs w:val="24"/>
          <w:highlight w:val="none"/>
        </w:rPr>
      </w:pPr>
      <w:r>
        <w:rPr>
          <w:rFonts w:ascii="宋体" w:hAnsi="宋体" w:eastAsia="宋体" w:cs="宋体"/>
          <w:color w:val="auto"/>
          <w:spacing w:val="-3"/>
          <w:sz w:val="24"/>
          <w:szCs w:val="24"/>
          <w:highlight w:val="none"/>
        </w:rPr>
        <w:t>⑵</w:t>
      </w:r>
      <w:r>
        <w:rPr>
          <w:rFonts w:ascii="宋体" w:hAnsi="宋体" w:eastAsia="宋体" w:cs="宋体"/>
          <w:color w:val="auto"/>
          <w:spacing w:val="38"/>
          <w:sz w:val="24"/>
          <w:szCs w:val="24"/>
          <w:highlight w:val="none"/>
        </w:rPr>
        <w:t xml:space="preserve"> </w:t>
      </w:r>
      <w:r>
        <w:rPr>
          <w:rFonts w:ascii="宋体" w:hAnsi="宋体" w:eastAsia="宋体" w:cs="宋体"/>
          <w:color w:val="auto"/>
          <w:spacing w:val="-3"/>
          <w:sz w:val="24"/>
          <w:szCs w:val="24"/>
          <w:highlight w:val="none"/>
        </w:rPr>
        <w:t>由同一专业的单位组成的联合体，按照资质等级较低的单</w:t>
      </w:r>
      <w:r>
        <w:rPr>
          <w:rFonts w:ascii="宋体" w:hAnsi="宋体" w:eastAsia="宋体" w:cs="宋体"/>
          <w:color w:val="auto"/>
          <w:spacing w:val="-4"/>
          <w:sz w:val="24"/>
          <w:szCs w:val="24"/>
          <w:highlight w:val="none"/>
        </w:rPr>
        <w:t>位确定资质等级；</w:t>
      </w:r>
    </w:p>
    <w:p w14:paraId="690319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联合体各方不得再以自己名义单独或参加其他联</w:t>
      </w:r>
      <w:r>
        <w:rPr>
          <w:rFonts w:ascii="宋体" w:hAnsi="宋体" w:eastAsia="宋体" w:cs="宋体"/>
          <w:color w:val="auto"/>
          <w:spacing w:val="-1"/>
          <w:sz w:val="24"/>
          <w:szCs w:val="24"/>
          <w:highlight w:val="none"/>
        </w:rPr>
        <w:t>合体在同一标段中投标；</w:t>
      </w:r>
    </w:p>
    <w:p w14:paraId="65062A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⑷ 两个以上的自然人、法人或者其他组织组成一个联合体，以一个供应商的身</w:t>
      </w:r>
      <w:r>
        <w:rPr>
          <w:rFonts w:ascii="宋体" w:hAnsi="宋体" w:eastAsia="宋体" w:cs="宋体"/>
          <w:color w:val="auto"/>
          <w:spacing w:val="-3"/>
          <w:sz w:val="24"/>
          <w:szCs w:val="24"/>
          <w:highlight w:val="none"/>
        </w:rPr>
        <w:t>份共同参加政府采购活动的，应当对所有联合体成员进行信用记录查询，联合体成员</w:t>
      </w:r>
      <w:r>
        <w:rPr>
          <w:rFonts w:ascii="宋体" w:hAnsi="宋体" w:eastAsia="宋体" w:cs="宋体"/>
          <w:color w:val="auto"/>
          <w:spacing w:val="-1"/>
          <w:sz w:val="24"/>
          <w:szCs w:val="24"/>
          <w:highlight w:val="none"/>
        </w:rPr>
        <w:t>存在不良信用记录的，视同联合体存在不良信用记录。</w:t>
      </w:r>
    </w:p>
    <w:p w14:paraId="64BF94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4.5 成功报名的。</w:t>
      </w:r>
    </w:p>
    <w:p w14:paraId="125BDB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4.6 遵守国家有关法律、法规、规章和其他政策规定。</w:t>
      </w:r>
    </w:p>
    <w:p w14:paraId="7C5DA3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4.7 公平竞争措施：</w:t>
      </w:r>
    </w:p>
    <w:p w14:paraId="452C59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提供相同品牌产品；</w:t>
      </w:r>
    </w:p>
    <w:p w14:paraId="2CDD14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8"/>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①提供相同品牌产品的不同供应商参加同一合同项下的采购项目，以其中</w:t>
      </w:r>
      <w:r>
        <w:rPr>
          <w:rFonts w:ascii="宋体" w:hAnsi="宋体" w:eastAsia="宋体" w:cs="宋体"/>
          <w:color w:val="auto"/>
          <w:spacing w:val="-4"/>
          <w:sz w:val="24"/>
          <w:szCs w:val="24"/>
          <w:highlight w:val="none"/>
        </w:rPr>
        <w:t>通过</w:t>
      </w:r>
      <w:r>
        <w:rPr>
          <w:rFonts w:ascii="宋体" w:hAnsi="宋体" w:eastAsia="宋体" w:cs="宋体"/>
          <w:color w:val="auto"/>
          <w:spacing w:val="-3"/>
          <w:sz w:val="24"/>
          <w:szCs w:val="24"/>
          <w:highlight w:val="none"/>
        </w:rPr>
        <w:t>资格审查且报价最低的供应商参加询价，报价相同的，由采购人自主采取公</w:t>
      </w:r>
      <w:r>
        <w:rPr>
          <w:rFonts w:ascii="宋体" w:hAnsi="宋体" w:eastAsia="宋体" w:cs="宋体"/>
          <w:color w:val="auto"/>
          <w:spacing w:val="-4"/>
          <w:sz w:val="24"/>
          <w:szCs w:val="24"/>
          <w:highlight w:val="none"/>
        </w:rPr>
        <w:t>平、择优</w:t>
      </w:r>
      <w:r>
        <w:rPr>
          <w:rFonts w:ascii="宋体" w:hAnsi="宋体" w:eastAsia="宋体" w:cs="宋体"/>
          <w:color w:val="auto"/>
          <w:spacing w:val="-1"/>
          <w:sz w:val="24"/>
          <w:szCs w:val="24"/>
          <w:highlight w:val="none"/>
        </w:rPr>
        <w:t>的方式确定一个供应商参加，其他响应无效；</w:t>
      </w:r>
    </w:p>
    <w:p w14:paraId="57B9F3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9"/>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②非单一产品采购项目中，多家供应商提供的部分或所有核心产品品牌相同的，</w:t>
      </w:r>
      <w:r>
        <w:rPr>
          <w:rFonts w:ascii="宋体" w:hAnsi="宋体" w:eastAsia="宋体" w:cs="宋体"/>
          <w:color w:val="auto"/>
          <w:spacing w:val="-1"/>
          <w:sz w:val="24"/>
          <w:szCs w:val="24"/>
          <w:highlight w:val="none"/>
        </w:rPr>
        <w:t>视为提供相同品牌产品；</w:t>
      </w:r>
    </w:p>
    <w:p w14:paraId="3B3B00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0" w:firstLineChars="3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③本采购项目核心产品: 无</w:t>
      </w:r>
    </w:p>
    <w:p w14:paraId="033D1A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color w:val="auto"/>
          <w:highlight w:val="none"/>
        </w:rPr>
      </w:pPr>
      <w:r>
        <w:rPr>
          <w:rFonts w:ascii="宋体" w:hAnsi="宋体" w:eastAsia="宋体" w:cs="宋体"/>
          <w:color w:val="auto"/>
          <w:sz w:val="24"/>
          <w:szCs w:val="24"/>
          <w:highlight w:val="none"/>
        </w:rPr>
        <w:t>⑵ 利害关系供应商。单位负责人为同一人或者存在直接控股、管理关系的不同</w:t>
      </w:r>
      <w:r>
        <w:rPr>
          <w:rFonts w:ascii="宋体" w:hAnsi="宋体" w:eastAsia="宋体" w:cs="宋体"/>
          <w:color w:val="auto"/>
          <w:spacing w:val="-3"/>
          <w:sz w:val="24"/>
          <w:szCs w:val="24"/>
          <w:highlight w:val="none"/>
        </w:rPr>
        <w:t>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w:t>
      </w:r>
      <w:r>
        <w:rPr>
          <w:rFonts w:ascii="宋体" w:hAnsi="宋体" w:eastAsia="宋体" w:cs="宋体"/>
          <w:color w:val="auto"/>
          <w:spacing w:val="-2"/>
          <w:sz w:val="24"/>
          <w:szCs w:val="24"/>
          <w:highlight w:val="none"/>
        </w:rPr>
        <w:t>作为无效处理；</w:t>
      </w:r>
    </w:p>
    <w:p w14:paraId="210F58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利害关系授权代表。两家以上的供应商不得在同一合同项下的采购项目中，</w:t>
      </w:r>
      <w:r>
        <w:rPr>
          <w:rFonts w:ascii="宋体" w:hAnsi="宋体" w:eastAsia="宋体" w:cs="宋体"/>
          <w:color w:val="auto"/>
          <w:spacing w:val="-3"/>
          <w:sz w:val="24"/>
          <w:szCs w:val="24"/>
          <w:highlight w:val="none"/>
        </w:rPr>
        <w:t>委托同一个自然人、同一家庭的人员、同一单位的人员作为其授权代表，否则，其响</w:t>
      </w:r>
      <w:r>
        <w:rPr>
          <w:rFonts w:ascii="宋体" w:hAnsi="宋体" w:eastAsia="宋体" w:cs="宋体"/>
          <w:color w:val="auto"/>
          <w:spacing w:val="-1"/>
          <w:sz w:val="24"/>
          <w:szCs w:val="24"/>
          <w:highlight w:val="none"/>
        </w:rPr>
        <w:t>应文件作为无效处理；</w:t>
      </w:r>
    </w:p>
    <w:p w14:paraId="4BD32F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⑷ 供应商实际控制人或者中高级管理人员，同时是采购代理机构工作人员，不</w:t>
      </w:r>
      <w:r>
        <w:rPr>
          <w:rFonts w:ascii="宋体" w:hAnsi="宋体" w:eastAsia="宋体" w:cs="宋体"/>
          <w:color w:val="auto"/>
          <w:spacing w:val="-1"/>
          <w:sz w:val="24"/>
          <w:szCs w:val="24"/>
          <w:highlight w:val="none"/>
        </w:rPr>
        <w:t>得参与本项目政府采购活动；</w:t>
      </w:r>
    </w:p>
    <w:p w14:paraId="74D12E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⑸</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同一母公司的两家以上的子公司只能组成联合体参加本项目同一合同项下的</w:t>
      </w:r>
      <w:r>
        <w:rPr>
          <w:rFonts w:ascii="宋体" w:hAnsi="宋体" w:eastAsia="宋体" w:cs="宋体"/>
          <w:color w:val="auto"/>
          <w:spacing w:val="-3"/>
          <w:sz w:val="24"/>
          <w:szCs w:val="24"/>
          <w:highlight w:val="none"/>
        </w:rPr>
        <w:t>采购活动，不得以不同供应商身份同时参加本项目同一合同项下的采购活动，联合体</w:t>
      </w:r>
      <w:r>
        <w:rPr>
          <w:rFonts w:ascii="宋体" w:hAnsi="宋体" w:eastAsia="宋体" w:cs="宋体"/>
          <w:color w:val="auto"/>
          <w:spacing w:val="-1"/>
          <w:sz w:val="24"/>
          <w:szCs w:val="24"/>
          <w:highlight w:val="none"/>
        </w:rPr>
        <w:t>投标要求见投标人须知前附表；</w:t>
      </w:r>
    </w:p>
    <w:p w14:paraId="4D1741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⑹ 供应商与采购代理机构存在关联关系，或者是采购代理机构的母公司或子公</w:t>
      </w:r>
      <w:r>
        <w:rPr>
          <w:rFonts w:ascii="宋体" w:hAnsi="宋体" w:eastAsia="宋体" w:cs="宋体"/>
          <w:color w:val="auto"/>
          <w:spacing w:val="-2"/>
          <w:sz w:val="24"/>
          <w:szCs w:val="24"/>
          <w:highlight w:val="none"/>
        </w:rPr>
        <w:t>司，不得参加本项目政府采购活动；</w:t>
      </w:r>
    </w:p>
    <w:p w14:paraId="59AE4E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⑺ 采购人员及相关人员与供应商有下列利害</w:t>
      </w:r>
      <w:r>
        <w:rPr>
          <w:rFonts w:ascii="宋体" w:hAnsi="宋体" w:eastAsia="宋体" w:cs="宋体"/>
          <w:color w:val="auto"/>
          <w:spacing w:val="-1"/>
          <w:sz w:val="24"/>
          <w:szCs w:val="24"/>
          <w:highlight w:val="none"/>
        </w:rPr>
        <w:t>关系之一的，应当回避：</w:t>
      </w:r>
    </w:p>
    <w:p w14:paraId="4DDF5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① 参加采购活动前 3 年内与供应商存在劳动关系，担任供应商的董事、监事，</w:t>
      </w:r>
      <w:r>
        <w:rPr>
          <w:rFonts w:ascii="宋体" w:hAnsi="宋体" w:eastAsia="宋体" w:cs="宋体"/>
          <w:color w:val="auto"/>
          <w:spacing w:val="-1"/>
          <w:sz w:val="24"/>
          <w:szCs w:val="24"/>
          <w:highlight w:val="none"/>
        </w:rPr>
        <w:t>是供应商的控股股东或者实际控制人；</w:t>
      </w:r>
    </w:p>
    <w:p w14:paraId="5E6FF9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② 与供应商的法定代表人或者负责人有夫妻、直系血亲、三代以内旁系血亲或</w:t>
      </w:r>
      <w:r>
        <w:rPr>
          <w:rFonts w:ascii="宋体" w:hAnsi="宋体" w:eastAsia="宋体" w:cs="宋体"/>
          <w:color w:val="auto"/>
          <w:spacing w:val="-2"/>
          <w:sz w:val="24"/>
          <w:szCs w:val="24"/>
          <w:highlight w:val="none"/>
        </w:rPr>
        <w:t>者近姻亲关系；</w:t>
      </w:r>
    </w:p>
    <w:p w14:paraId="6E2604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③  与供应商有其他可能影响政府采购活动公平</w:t>
      </w:r>
      <w:r>
        <w:rPr>
          <w:rFonts w:ascii="宋体" w:hAnsi="宋体" w:eastAsia="宋体" w:cs="宋体"/>
          <w:color w:val="auto"/>
          <w:spacing w:val="-1"/>
          <w:sz w:val="24"/>
          <w:szCs w:val="24"/>
          <w:highlight w:val="none"/>
        </w:rPr>
        <w:t>、公正进行的关系；</w:t>
      </w:r>
    </w:p>
    <w:p w14:paraId="7B4286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⑻ 本项目政府采购活动中需要依法回避的采购人员是指采购人内部负责采购项</w:t>
      </w:r>
      <w:r>
        <w:rPr>
          <w:rFonts w:ascii="宋体" w:hAnsi="宋体" w:eastAsia="宋体" w:cs="宋体"/>
          <w:color w:val="auto"/>
          <w:spacing w:val="-3"/>
          <w:sz w:val="24"/>
          <w:szCs w:val="24"/>
          <w:highlight w:val="none"/>
        </w:rPr>
        <w:t>目的具体经办工作人员和直接分管采购项目的负责人，以及采购代理机构负责采购项目的具体经办工作人员和直接分管采购活动的负责人。供应商认为采购人员及相关人</w:t>
      </w:r>
      <w:r>
        <w:rPr>
          <w:rFonts w:ascii="宋体" w:hAnsi="宋体" w:eastAsia="宋体" w:cs="宋体"/>
          <w:color w:val="auto"/>
          <w:spacing w:val="-7"/>
          <w:sz w:val="24"/>
          <w:szCs w:val="24"/>
          <w:highlight w:val="none"/>
        </w:rPr>
        <w:t>员与其他供应商有利害关系的，可以向采购代理机构书面提出回避申请，并说明理由。</w:t>
      </w:r>
      <w:r>
        <w:rPr>
          <w:rFonts w:ascii="宋体" w:hAnsi="宋体" w:eastAsia="宋体" w:cs="宋体"/>
          <w:color w:val="auto"/>
          <w:spacing w:val="-1"/>
          <w:sz w:val="24"/>
          <w:szCs w:val="24"/>
          <w:highlight w:val="none"/>
        </w:rPr>
        <w:t>采购代理机构将及时询问被申请回避人员，有利害关系的被申请回</w:t>
      </w:r>
      <w:r>
        <w:rPr>
          <w:rFonts w:ascii="宋体" w:hAnsi="宋体" w:eastAsia="宋体" w:cs="宋体"/>
          <w:color w:val="auto"/>
          <w:spacing w:val="-2"/>
          <w:sz w:val="24"/>
          <w:szCs w:val="24"/>
          <w:highlight w:val="none"/>
        </w:rPr>
        <w:t>避人员应当回避。</w:t>
      </w:r>
    </w:p>
    <w:p w14:paraId="56678F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2"/>
          <w:sz w:val="24"/>
          <w:szCs w:val="24"/>
          <w:highlight w:val="none"/>
        </w:rPr>
        <w:t>⑼ 被责令停业的，被暂停或取消投标资格的，</w:t>
      </w:r>
      <w:r>
        <w:rPr>
          <w:rFonts w:ascii="宋体" w:hAnsi="宋体" w:eastAsia="宋体" w:cs="宋体"/>
          <w:color w:val="auto"/>
          <w:spacing w:val="-3"/>
          <w:sz w:val="24"/>
          <w:szCs w:val="24"/>
          <w:highlight w:val="none"/>
        </w:rPr>
        <w:t>财产被接管或冻结的；</w:t>
      </w:r>
    </w:p>
    <w:p w14:paraId="2EECC3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⑽ 在最近三年内有骗取中标或严重违约或重大工程质量问题的。</w:t>
      </w:r>
    </w:p>
    <w:p w14:paraId="6FE6C1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五、费用承担</w:t>
      </w:r>
    </w:p>
    <w:p w14:paraId="3519F8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投标人自行承担所有与参加投标有关的费用。不论投标的结果如何，采购人</w:t>
      </w:r>
      <w:r>
        <w:rPr>
          <w:rFonts w:ascii="宋体" w:hAnsi="宋体" w:eastAsia="宋体" w:cs="宋体"/>
          <w:color w:val="auto"/>
          <w:sz w:val="24"/>
          <w:szCs w:val="24"/>
          <w:highlight w:val="none"/>
        </w:rPr>
        <w:t>或采购代理机构在任何情况下均无义务和责任，</w:t>
      </w:r>
      <w:r>
        <w:rPr>
          <w:rFonts w:ascii="宋体" w:hAnsi="宋体" w:eastAsia="宋体" w:cs="宋体"/>
          <w:color w:val="auto"/>
          <w:spacing w:val="-1"/>
          <w:sz w:val="24"/>
          <w:szCs w:val="24"/>
          <w:highlight w:val="none"/>
        </w:rPr>
        <w:t>承担因投标所发生的一切费用；</w:t>
      </w:r>
    </w:p>
    <w:p w14:paraId="378A7D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ascii="宋体" w:hAnsi="宋体" w:eastAsia="宋体" w:cs="宋体"/>
          <w:color w:val="auto"/>
          <w:sz w:val="24"/>
          <w:szCs w:val="24"/>
          <w:highlight w:val="none"/>
        </w:rPr>
        <w:sectPr>
          <w:footerReference r:id="rId9" w:type="default"/>
          <w:pgSz w:w="11906" w:h="16839"/>
          <w:pgMar w:top="1440" w:right="1800" w:bottom="1440" w:left="1800" w:header="0" w:footer="973" w:gutter="0"/>
          <w:pgNumType w:fmt="decimal"/>
          <w:cols w:space="720" w:num="1"/>
        </w:sectPr>
      </w:pPr>
      <w:r>
        <w:rPr>
          <w:rFonts w:ascii="宋体" w:hAnsi="宋体" w:eastAsia="宋体" w:cs="宋体"/>
          <w:color w:val="auto"/>
          <w:spacing w:val="-3"/>
          <w:sz w:val="24"/>
          <w:szCs w:val="24"/>
          <w:highlight w:val="none"/>
        </w:rPr>
        <w:t>5.2 投标人应认真阅读和充分理解磋商文件中的所有内容，如果没有满足磋商文</w:t>
      </w:r>
      <w:r>
        <w:rPr>
          <w:rFonts w:ascii="宋体" w:hAnsi="宋体" w:eastAsia="宋体" w:cs="宋体"/>
          <w:color w:val="auto"/>
          <w:spacing w:val="-1"/>
          <w:sz w:val="24"/>
          <w:szCs w:val="24"/>
          <w:highlight w:val="none"/>
        </w:rPr>
        <w:t>件的有关要求，其风险由投标人自行承担。</w:t>
      </w:r>
    </w:p>
    <w:p w14:paraId="48E50D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六、保密</w:t>
      </w:r>
    </w:p>
    <w:p w14:paraId="2C8424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参与招标投标活动的各方应对磋商文件或响应文件中的商业和技术等秘密保密，</w:t>
      </w:r>
      <w:r>
        <w:rPr>
          <w:rFonts w:ascii="宋体" w:hAnsi="宋体" w:eastAsia="宋体" w:cs="宋体"/>
          <w:color w:val="auto"/>
          <w:spacing w:val="-1"/>
          <w:sz w:val="24"/>
          <w:szCs w:val="24"/>
          <w:highlight w:val="none"/>
        </w:rPr>
        <w:t>违者应对由此造成的后果承担法律责任。</w:t>
      </w:r>
    </w:p>
    <w:p w14:paraId="2D8C14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七、踏勘现场</w:t>
      </w:r>
    </w:p>
    <w:p w14:paraId="22E6F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7.1</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投标人须知前附表规定组织踏勘现场的，招标人按投标人须知前附表规定的时间、地点组织投标人踏勘项目现场；</w:t>
      </w:r>
    </w:p>
    <w:p w14:paraId="010AF3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7.2 投标人踏勘项目现场发生的费用自理；</w:t>
      </w:r>
    </w:p>
    <w:p w14:paraId="05EABC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7.3 除招标人的原因外，投标人自行负责在踏勘现场中所发生的人员伤亡和财产</w:t>
      </w:r>
      <w:r>
        <w:rPr>
          <w:rFonts w:ascii="宋体" w:hAnsi="宋体" w:eastAsia="宋体" w:cs="宋体"/>
          <w:color w:val="auto"/>
          <w:spacing w:val="-4"/>
          <w:sz w:val="24"/>
          <w:szCs w:val="24"/>
          <w:highlight w:val="none"/>
        </w:rPr>
        <w:t>损失；</w:t>
      </w:r>
    </w:p>
    <w:p w14:paraId="3F542A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7.4 招标人在踏勘现场中介绍的工程场地和相关的周边环境情况，供投标人在编</w:t>
      </w:r>
      <w:r>
        <w:rPr>
          <w:rFonts w:ascii="宋体" w:hAnsi="宋体" w:eastAsia="宋体" w:cs="宋体"/>
          <w:color w:val="auto"/>
          <w:spacing w:val="-1"/>
          <w:sz w:val="24"/>
          <w:szCs w:val="24"/>
          <w:highlight w:val="none"/>
        </w:rPr>
        <w:t>制响应文件时参考，招标人不对投标人据此作出的判断和决策负责；</w:t>
      </w:r>
    </w:p>
    <w:p w14:paraId="78462F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7.5 本项目是否现场踏勘见投标人须知前附表。</w:t>
      </w:r>
    </w:p>
    <w:p w14:paraId="5B47D2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八、投标预备会</w:t>
      </w:r>
    </w:p>
    <w:p w14:paraId="5C0F20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8.1</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投标人须知前附表规定召开投标预备会的，招标人按投标人须知前附表规定</w:t>
      </w:r>
      <w:r>
        <w:rPr>
          <w:rFonts w:ascii="宋体" w:hAnsi="宋体" w:eastAsia="宋体" w:cs="宋体"/>
          <w:color w:val="auto"/>
          <w:spacing w:val="-1"/>
          <w:sz w:val="24"/>
          <w:szCs w:val="24"/>
          <w:highlight w:val="none"/>
        </w:rPr>
        <w:t>的时间和地点召开投标预备会，澄清投标人</w:t>
      </w:r>
      <w:r>
        <w:rPr>
          <w:rFonts w:ascii="宋体" w:hAnsi="宋体" w:eastAsia="宋体" w:cs="宋体"/>
          <w:color w:val="auto"/>
          <w:spacing w:val="-2"/>
          <w:sz w:val="24"/>
          <w:szCs w:val="24"/>
          <w:highlight w:val="none"/>
        </w:rPr>
        <w:t>提出的问题；</w:t>
      </w:r>
    </w:p>
    <w:p w14:paraId="7039E9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8.2 招标人应在投标人须知前附表规定的时间前，以书面形式将提出的问题送达</w:t>
      </w:r>
      <w:r>
        <w:rPr>
          <w:rFonts w:ascii="宋体" w:hAnsi="宋体" w:eastAsia="宋体" w:cs="宋体"/>
          <w:color w:val="auto"/>
          <w:spacing w:val="-1"/>
          <w:sz w:val="24"/>
          <w:szCs w:val="24"/>
          <w:highlight w:val="none"/>
        </w:rPr>
        <w:t>招标人，以便招标人在会议期间澄清；</w:t>
      </w:r>
    </w:p>
    <w:p w14:paraId="5A9722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8.3 投标预备会后，招标人在投标人须知前附表规定的时间内，将对投标人所提问题的澄清，以书面方式通知所有购买磋商文件的投标人。该澄清内容为磋商文件的组成部分；</w:t>
      </w:r>
    </w:p>
    <w:p w14:paraId="01F99E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8.4 本项目是否组织投标预备会见投标人须知前附表。</w:t>
      </w:r>
    </w:p>
    <w:p w14:paraId="09F7E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九、招标答疑会</w:t>
      </w:r>
    </w:p>
    <w:p w14:paraId="59A76A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投标人须知前附表规定召开招标答疑会的，采购人或采购代理机构按照投标</w:t>
      </w:r>
      <w:r>
        <w:rPr>
          <w:rFonts w:ascii="宋体" w:hAnsi="宋体" w:eastAsia="宋体" w:cs="宋体"/>
          <w:color w:val="auto"/>
          <w:sz w:val="24"/>
          <w:szCs w:val="24"/>
          <w:highlight w:val="none"/>
        </w:rPr>
        <w:t>人须知前附表规定的时间和地点召开招标答疑</w:t>
      </w:r>
      <w:r>
        <w:rPr>
          <w:rFonts w:ascii="宋体" w:hAnsi="宋体" w:eastAsia="宋体" w:cs="宋体"/>
          <w:color w:val="auto"/>
          <w:spacing w:val="-1"/>
          <w:sz w:val="24"/>
          <w:szCs w:val="24"/>
          <w:highlight w:val="none"/>
        </w:rPr>
        <w:t>会，澄清投标人提出的问题；</w:t>
      </w:r>
    </w:p>
    <w:p w14:paraId="656D2E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9.2 投标人若有疑问，应按投标人须知前附表规定的时间、方式向采购人或采购</w:t>
      </w:r>
      <w:r>
        <w:rPr>
          <w:rFonts w:ascii="宋体" w:hAnsi="宋体" w:eastAsia="宋体" w:cs="宋体"/>
          <w:color w:val="auto"/>
          <w:spacing w:val="-1"/>
          <w:sz w:val="24"/>
          <w:szCs w:val="24"/>
          <w:highlight w:val="none"/>
        </w:rPr>
        <w:t>代理机构提出，要求采购人对磋商文件予以澄清；</w:t>
      </w:r>
    </w:p>
    <w:p w14:paraId="4F5D41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color w:val="auto"/>
          <w:highlight w:val="none"/>
        </w:rPr>
      </w:pPr>
      <w:r>
        <w:rPr>
          <w:rFonts w:ascii="宋体" w:hAnsi="宋体" w:eastAsia="宋体" w:cs="宋体"/>
          <w:color w:val="auto"/>
          <w:spacing w:val="4"/>
          <w:sz w:val="24"/>
          <w:szCs w:val="24"/>
          <w:highlight w:val="none"/>
        </w:rPr>
        <w:t>9.3 采购人或采购代理机构将按照投标人须知前附表规</w:t>
      </w:r>
      <w:r>
        <w:rPr>
          <w:rFonts w:ascii="宋体" w:hAnsi="宋体" w:eastAsia="宋体" w:cs="宋体"/>
          <w:color w:val="auto"/>
          <w:spacing w:val="3"/>
          <w:sz w:val="24"/>
          <w:szCs w:val="24"/>
          <w:highlight w:val="none"/>
        </w:rPr>
        <w:t>定的时间方式对投标人</w:t>
      </w:r>
      <w:r>
        <w:rPr>
          <w:rFonts w:ascii="宋体" w:hAnsi="宋体" w:eastAsia="宋体" w:cs="宋体"/>
          <w:color w:val="auto"/>
          <w:spacing w:val="-3"/>
          <w:sz w:val="24"/>
          <w:szCs w:val="24"/>
          <w:highlight w:val="none"/>
        </w:rPr>
        <w:t>的疑问作出统一的解答。</w:t>
      </w:r>
    </w:p>
    <w:p w14:paraId="7CE0C7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9.4 投标人认为需要对磋商文件进行澄清或者修改的，应当在法定期限内向招标</w:t>
      </w:r>
      <w:r>
        <w:rPr>
          <w:rFonts w:ascii="宋体" w:hAnsi="宋体" w:eastAsia="宋体" w:cs="宋体"/>
          <w:color w:val="auto"/>
          <w:sz w:val="24"/>
          <w:szCs w:val="24"/>
          <w:highlight w:val="none"/>
        </w:rPr>
        <w:t>采购单位提出书面申请，招标采购单位有权决定是否采</w:t>
      </w:r>
      <w:r>
        <w:rPr>
          <w:rFonts w:ascii="宋体" w:hAnsi="宋体" w:eastAsia="宋体" w:cs="宋体"/>
          <w:color w:val="auto"/>
          <w:spacing w:val="-1"/>
          <w:sz w:val="24"/>
          <w:szCs w:val="24"/>
          <w:highlight w:val="none"/>
        </w:rPr>
        <w:t>纳投标人的申请事项。</w:t>
      </w:r>
    </w:p>
    <w:p w14:paraId="25BF21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十、分包</w:t>
      </w:r>
    </w:p>
    <w:p w14:paraId="509B0D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投标人拟在中标后将中标项目的部分非主体、非关键性工作进行分包的，应</w:t>
      </w:r>
      <w:r>
        <w:rPr>
          <w:rFonts w:ascii="宋体" w:hAnsi="宋体" w:eastAsia="宋体" w:cs="宋体"/>
          <w:color w:val="auto"/>
          <w:spacing w:val="-4"/>
          <w:sz w:val="24"/>
          <w:szCs w:val="24"/>
          <w:highlight w:val="none"/>
        </w:rPr>
        <w:t>符合</w:t>
      </w:r>
      <w:r>
        <w:rPr>
          <w:rFonts w:ascii="宋体" w:hAnsi="宋体" w:eastAsia="宋体" w:cs="宋体"/>
          <w:color w:val="auto"/>
          <w:spacing w:val="-3"/>
          <w:sz w:val="24"/>
          <w:szCs w:val="24"/>
          <w:highlight w:val="none"/>
        </w:rPr>
        <w:t>投标人须知前附表规定的分包内容、分包金额和接受分包的第三人资质要求等限制性</w:t>
      </w:r>
      <w:r>
        <w:rPr>
          <w:rFonts w:ascii="宋体" w:hAnsi="宋体" w:eastAsia="宋体" w:cs="宋体"/>
          <w:color w:val="auto"/>
          <w:spacing w:val="-4"/>
          <w:sz w:val="24"/>
          <w:szCs w:val="24"/>
          <w:highlight w:val="none"/>
        </w:rPr>
        <w:t>条件。</w:t>
      </w:r>
    </w:p>
    <w:p w14:paraId="759984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十一、偏离</w:t>
      </w:r>
    </w:p>
    <w:p w14:paraId="4685AE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color w:val="auto"/>
          <w:highlight w:val="none"/>
        </w:rPr>
      </w:pPr>
      <w:r>
        <w:rPr>
          <w:rFonts w:ascii="宋体" w:hAnsi="宋体" w:eastAsia="宋体" w:cs="宋体"/>
          <w:color w:val="auto"/>
          <w:spacing w:val="-3"/>
          <w:sz w:val="24"/>
          <w:szCs w:val="24"/>
          <w:highlight w:val="none"/>
        </w:rPr>
        <w:t>投标人须知前附表允许响应文件偏离磋商文件某些要求的，偏离应当符合磋</w:t>
      </w:r>
      <w:r>
        <w:rPr>
          <w:rFonts w:ascii="宋体" w:hAnsi="宋体" w:eastAsia="宋体" w:cs="宋体"/>
          <w:color w:val="auto"/>
          <w:spacing w:val="-4"/>
          <w:sz w:val="24"/>
          <w:szCs w:val="24"/>
          <w:highlight w:val="none"/>
        </w:rPr>
        <w:t>商文</w:t>
      </w:r>
      <w:r>
        <w:rPr>
          <w:rFonts w:ascii="宋体" w:hAnsi="宋体" w:eastAsia="宋体" w:cs="宋体"/>
          <w:color w:val="auto"/>
          <w:spacing w:val="-1"/>
          <w:sz w:val="24"/>
          <w:szCs w:val="24"/>
          <w:highlight w:val="none"/>
        </w:rPr>
        <w:t>件规定的偏离范围和幅度。</w:t>
      </w:r>
    </w:p>
    <w:p w14:paraId="3FBD3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4"/>
          <w:szCs w:val="24"/>
          <w:highlight w:val="none"/>
        </w:rPr>
      </w:pPr>
      <w:bookmarkStart w:id="8" w:name="_Toc19434"/>
      <w:r>
        <w:rPr>
          <w:rFonts w:ascii="宋体" w:hAnsi="宋体" w:eastAsia="宋体" w:cs="宋体"/>
          <w:b/>
          <w:bCs/>
          <w:color w:val="auto"/>
          <w:spacing w:val="-3"/>
          <w:sz w:val="24"/>
          <w:szCs w:val="24"/>
          <w:highlight w:val="none"/>
        </w:rPr>
        <w:t>第二节</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磋商文件</w:t>
      </w:r>
      <w:bookmarkEnd w:id="8"/>
    </w:p>
    <w:p w14:paraId="2366CF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一、磋商文件的组成</w:t>
      </w:r>
    </w:p>
    <w:p w14:paraId="1D1C08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 磋商文件是供应商准备响应文件和参加投标的依据</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4"/>
          <w:sz w:val="24"/>
          <w:szCs w:val="24"/>
          <w:highlight w:val="none"/>
        </w:rPr>
        <w:t>同时也是评标的重要依</w:t>
      </w:r>
      <w:r>
        <w:rPr>
          <w:rFonts w:ascii="宋体" w:hAnsi="宋体" w:eastAsia="宋体" w:cs="宋体"/>
          <w:color w:val="auto"/>
          <w:spacing w:val="-3"/>
          <w:sz w:val="24"/>
          <w:szCs w:val="24"/>
          <w:highlight w:val="none"/>
        </w:rPr>
        <w:t>据，具有准法律文件性质。磋商文件用以阐明招标项目所需的资质、技术、服务及报</w:t>
      </w:r>
      <w:r>
        <w:rPr>
          <w:rFonts w:ascii="宋体" w:hAnsi="宋体" w:eastAsia="宋体" w:cs="宋体"/>
          <w:color w:val="auto"/>
          <w:sz w:val="24"/>
          <w:szCs w:val="24"/>
          <w:highlight w:val="none"/>
        </w:rPr>
        <w:t>价等要求、招标投标程序、有关规定和注意事项</w:t>
      </w:r>
      <w:r>
        <w:rPr>
          <w:rFonts w:ascii="宋体" w:hAnsi="宋体" w:eastAsia="宋体" w:cs="宋体"/>
          <w:color w:val="auto"/>
          <w:spacing w:val="-1"/>
          <w:sz w:val="24"/>
          <w:szCs w:val="24"/>
          <w:highlight w:val="none"/>
        </w:rPr>
        <w:t>以及合同主要条款等。</w:t>
      </w:r>
    </w:p>
    <w:p w14:paraId="67A32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 本磋商文件包括：</w:t>
      </w:r>
    </w:p>
    <w:p w14:paraId="016C4F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竞争性磋商公告；</w:t>
      </w:r>
    </w:p>
    <w:p w14:paraId="06D582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⑵ 投标人须知前附表；</w:t>
      </w:r>
    </w:p>
    <w:p w14:paraId="31984D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⑶</w:t>
      </w:r>
      <w:r>
        <w:rPr>
          <w:rFonts w:ascii="宋体" w:hAnsi="宋体" w:eastAsia="宋体" w:cs="宋体"/>
          <w:color w:val="auto"/>
          <w:spacing w:val="12"/>
          <w:sz w:val="24"/>
          <w:szCs w:val="24"/>
          <w:highlight w:val="none"/>
        </w:rPr>
        <w:t xml:space="preserve"> </w:t>
      </w:r>
      <w:r>
        <w:rPr>
          <w:rFonts w:ascii="宋体" w:hAnsi="宋体" w:eastAsia="宋体" w:cs="宋体"/>
          <w:color w:val="auto"/>
          <w:spacing w:val="-12"/>
          <w:sz w:val="24"/>
          <w:szCs w:val="24"/>
          <w:highlight w:val="none"/>
        </w:rPr>
        <w:t>投标人须知；</w:t>
      </w:r>
      <w:r>
        <w:rPr>
          <w:rFonts w:ascii="宋体" w:hAnsi="宋体" w:eastAsia="宋体" w:cs="宋体"/>
          <w:color w:val="auto"/>
          <w:sz w:val="24"/>
          <w:szCs w:val="24"/>
          <w:highlight w:val="none"/>
        </w:rPr>
        <w:t xml:space="preserve"> </w:t>
      </w:r>
    </w:p>
    <w:p w14:paraId="7E62E5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⑷ 评标办法；</w:t>
      </w:r>
    </w:p>
    <w:p w14:paraId="60C231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color w:val="auto"/>
          <w:spacing w:val="8"/>
          <w:sz w:val="24"/>
          <w:szCs w:val="24"/>
          <w:highlight w:val="none"/>
        </w:rPr>
      </w:pPr>
      <w:r>
        <w:rPr>
          <w:rFonts w:ascii="宋体" w:hAnsi="宋体" w:eastAsia="宋体" w:cs="宋体"/>
          <w:color w:val="auto"/>
          <w:spacing w:val="-8"/>
          <w:sz w:val="24"/>
          <w:szCs w:val="24"/>
          <w:highlight w:val="none"/>
        </w:rPr>
        <w:t>⑸ 合同条款及格式；</w:t>
      </w:r>
      <w:r>
        <w:rPr>
          <w:rFonts w:ascii="宋体" w:hAnsi="宋体" w:eastAsia="宋体" w:cs="宋体"/>
          <w:color w:val="auto"/>
          <w:spacing w:val="8"/>
          <w:sz w:val="24"/>
          <w:szCs w:val="24"/>
          <w:highlight w:val="none"/>
        </w:rPr>
        <w:t xml:space="preserve"> </w:t>
      </w:r>
    </w:p>
    <w:p w14:paraId="1FD116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⑹图纸和技术资料；</w:t>
      </w:r>
    </w:p>
    <w:p w14:paraId="324B18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⑺</w:t>
      </w:r>
      <w:r>
        <w:rPr>
          <w:rFonts w:ascii="宋体" w:hAnsi="宋体" w:eastAsia="宋体" w:cs="宋体"/>
          <w:color w:val="auto"/>
          <w:spacing w:val="12"/>
          <w:sz w:val="24"/>
          <w:szCs w:val="24"/>
          <w:highlight w:val="none"/>
        </w:rPr>
        <w:t xml:space="preserve"> </w:t>
      </w:r>
      <w:r>
        <w:rPr>
          <w:rFonts w:ascii="宋体" w:hAnsi="宋体" w:eastAsia="宋体" w:cs="宋体"/>
          <w:color w:val="auto"/>
          <w:spacing w:val="-12"/>
          <w:sz w:val="24"/>
          <w:szCs w:val="24"/>
          <w:highlight w:val="none"/>
        </w:rPr>
        <w:t>工程量清单；</w:t>
      </w:r>
      <w:r>
        <w:rPr>
          <w:rFonts w:ascii="宋体" w:hAnsi="宋体" w:eastAsia="宋体" w:cs="宋体"/>
          <w:color w:val="auto"/>
          <w:sz w:val="24"/>
          <w:szCs w:val="24"/>
          <w:highlight w:val="none"/>
        </w:rPr>
        <w:t xml:space="preserve"> </w:t>
      </w:r>
    </w:p>
    <w:p w14:paraId="0AA446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⑻</w:t>
      </w:r>
      <w:r>
        <w:rPr>
          <w:rFonts w:ascii="宋体" w:hAnsi="宋体" w:eastAsia="宋体" w:cs="宋体"/>
          <w:color w:val="auto"/>
          <w:spacing w:val="29"/>
          <w:sz w:val="24"/>
          <w:szCs w:val="24"/>
          <w:highlight w:val="none"/>
        </w:rPr>
        <w:t xml:space="preserve"> </w:t>
      </w:r>
      <w:r>
        <w:rPr>
          <w:rFonts w:ascii="宋体" w:hAnsi="宋体" w:eastAsia="宋体" w:cs="宋体"/>
          <w:color w:val="auto"/>
          <w:spacing w:val="-10"/>
          <w:sz w:val="24"/>
          <w:szCs w:val="24"/>
          <w:highlight w:val="none"/>
        </w:rPr>
        <w:t>附件；</w:t>
      </w:r>
    </w:p>
    <w:p w14:paraId="22950A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⑼</w:t>
      </w:r>
      <w:r>
        <w:rPr>
          <w:rFonts w:ascii="宋体" w:hAnsi="宋体" w:eastAsia="宋体" w:cs="宋体"/>
          <w:color w:val="auto"/>
          <w:spacing w:val="24"/>
          <w:sz w:val="24"/>
          <w:szCs w:val="24"/>
          <w:highlight w:val="none"/>
        </w:rPr>
        <w:t xml:space="preserve"> </w:t>
      </w:r>
      <w:r>
        <w:rPr>
          <w:rFonts w:ascii="宋体" w:hAnsi="宋体" w:eastAsia="宋体" w:cs="宋体"/>
          <w:color w:val="auto"/>
          <w:spacing w:val="-12"/>
          <w:sz w:val="24"/>
          <w:szCs w:val="24"/>
          <w:highlight w:val="none"/>
        </w:rPr>
        <w:t>响应文件格式；</w:t>
      </w:r>
      <w:r>
        <w:rPr>
          <w:rFonts w:ascii="宋体" w:hAnsi="宋体" w:eastAsia="宋体" w:cs="宋体"/>
          <w:color w:val="auto"/>
          <w:sz w:val="24"/>
          <w:szCs w:val="24"/>
          <w:highlight w:val="none"/>
        </w:rPr>
        <w:t xml:space="preserve"> </w:t>
      </w:r>
    </w:p>
    <w:p w14:paraId="1C3081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highlight w:val="none"/>
        </w:rPr>
      </w:pPr>
      <w:r>
        <w:rPr>
          <w:rFonts w:ascii="宋体" w:hAnsi="宋体" w:eastAsia="宋体" w:cs="宋体"/>
          <w:color w:val="auto"/>
          <w:spacing w:val="-2"/>
          <w:sz w:val="24"/>
          <w:szCs w:val="24"/>
          <w:highlight w:val="none"/>
        </w:rPr>
        <w:t>⑽</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补充条款。</w:t>
      </w:r>
    </w:p>
    <w:p w14:paraId="1C4A2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二、磋商文件的澄清和修改</w:t>
      </w:r>
    </w:p>
    <w:p w14:paraId="145DD0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2.1 在投标人须知前附表规定的截止时间前，无论出于何种原因，采购代理机构</w:t>
      </w:r>
      <w:r>
        <w:rPr>
          <w:rFonts w:ascii="宋体" w:hAnsi="宋体" w:eastAsia="宋体" w:cs="宋体"/>
          <w:color w:val="auto"/>
          <w:sz w:val="24"/>
          <w:szCs w:val="24"/>
          <w:highlight w:val="none"/>
        </w:rPr>
        <w:t>和采购人可主动地或在解答潜在投标人提出的澄清问</w:t>
      </w:r>
      <w:r>
        <w:rPr>
          <w:rFonts w:ascii="宋体" w:hAnsi="宋体" w:eastAsia="宋体" w:cs="宋体"/>
          <w:color w:val="auto"/>
          <w:spacing w:val="-1"/>
          <w:sz w:val="24"/>
          <w:szCs w:val="24"/>
          <w:highlight w:val="none"/>
        </w:rPr>
        <w:t>题时对磋商文件进行修改。</w:t>
      </w:r>
    </w:p>
    <w:p w14:paraId="38D2FC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2.2 磋商文件的澄清和修改将按照投标人须知前附表规定的时间、方式发布，但</w:t>
      </w:r>
      <w:r>
        <w:rPr>
          <w:rFonts w:ascii="宋体" w:hAnsi="宋体" w:eastAsia="宋体" w:cs="宋体"/>
          <w:color w:val="auto"/>
          <w:spacing w:val="-2"/>
          <w:sz w:val="24"/>
          <w:szCs w:val="24"/>
          <w:highlight w:val="none"/>
        </w:rPr>
        <w:t>不指明澄清问题的来源。</w:t>
      </w:r>
    </w:p>
    <w:p w14:paraId="1572BC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2.3 招标采购单位对已发出的磋商文件、资格预审文件、投标邀请书进行必要的澄清或者修改，应当以书面（信函、电子邮件、短信等其中至少一种方式、需要纸质文件的供应商自行到代理机构处领取）形式将澄清或者修改的内容通知所有报名成功</w:t>
      </w:r>
      <w:r>
        <w:rPr>
          <w:rFonts w:ascii="宋体" w:hAnsi="宋体" w:eastAsia="宋体" w:cs="宋体"/>
          <w:color w:val="auto"/>
          <w:spacing w:val="-1"/>
          <w:sz w:val="24"/>
          <w:szCs w:val="24"/>
          <w:highlight w:val="none"/>
        </w:rPr>
        <w:t>的供应商，同时在政府采购网上发布更正公告。该澄清</w:t>
      </w:r>
      <w:r>
        <w:rPr>
          <w:rFonts w:ascii="宋体" w:hAnsi="宋体" w:eastAsia="宋体" w:cs="宋体"/>
          <w:color w:val="auto"/>
          <w:spacing w:val="-2"/>
          <w:sz w:val="24"/>
          <w:szCs w:val="24"/>
          <w:highlight w:val="none"/>
        </w:rPr>
        <w:t>或者修改的内容为磋商文件、</w:t>
      </w:r>
      <w:r>
        <w:rPr>
          <w:rFonts w:ascii="宋体" w:hAnsi="宋体" w:eastAsia="宋体" w:cs="宋体"/>
          <w:color w:val="auto"/>
          <w:spacing w:val="-3"/>
          <w:sz w:val="24"/>
          <w:szCs w:val="24"/>
          <w:highlight w:val="none"/>
        </w:rPr>
        <w:t>资格预审文件、投标邀请书的组成部分，澄清或者修改的内容可能影响磋商文件、资</w:t>
      </w:r>
      <w:r>
        <w:rPr>
          <w:rFonts w:ascii="宋体" w:hAnsi="宋体" w:eastAsia="宋体" w:cs="宋体"/>
          <w:color w:val="auto"/>
          <w:spacing w:val="-1"/>
          <w:sz w:val="24"/>
          <w:szCs w:val="24"/>
          <w:highlight w:val="none"/>
        </w:rPr>
        <w:t>格预审申请文件编制的，应当在投标截止时间至少</w:t>
      </w:r>
      <w:r>
        <w:rPr>
          <w:rFonts w:ascii="宋体" w:hAnsi="宋体" w:eastAsia="宋体" w:cs="宋体"/>
          <w:color w:val="auto"/>
          <w:spacing w:val="-1"/>
          <w:sz w:val="24"/>
          <w:szCs w:val="24"/>
          <w:highlight w:val="none"/>
          <w:u w:val="single" w:color="auto"/>
        </w:rPr>
        <w:t xml:space="preserve"> 3</w:t>
      </w:r>
      <w:r>
        <w:rPr>
          <w:rFonts w:ascii="宋体" w:hAnsi="宋体" w:eastAsia="宋体" w:cs="宋体"/>
          <w:color w:val="auto"/>
          <w:spacing w:val="53"/>
          <w:sz w:val="24"/>
          <w:szCs w:val="24"/>
          <w:highlight w:val="none"/>
          <w:u w:val="single" w:color="auto"/>
        </w:rPr>
        <w:t xml:space="preserve"> </w:t>
      </w:r>
      <w:r>
        <w:rPr>
          <w:rFonts w:ascii="宋体" w:hAnsi="宋体" w:eastAsia="宋体" w:cs="宋体"/>
          <w:color w:val="auto"/>
          <w:spacing w:val="-1"/>
          <w:sz w:val="24"/>
          <w:szCs w:val="24"/>
          <w:highlight w:val="none"/>
        </w:rPr>
        <w:t>日前、提交资格预审申请文件截止时间至少</w:t>
      </w:r>
      <w:r>
        <w:rPr>
          <w:rFonts w:ascii="宋体" w:hAnsi="宋体" w:eastAsia="宋体" w:cs="宋体"/>
          <w:color w:val="auto"/>
          <w:spacing w:val="-1"/>
          <w:sz w:val="24"/>
          <w:szCs w:val="24"/>
          <w:highlight w:val="none"/>
          <w:u w:val="single" w:color="auto"/>
        </w:rPr>
        <w:t xml:space="preserve"> 3</w:t>
      </w:r>
      <w:r>
        <w:rPr>
          <w:rFonts w:ascii="宋体" w:hAnsi="宋体" w:eastAsia="宋体" w:cs="宋体"/>
          <w:color w:val="auto"/>
          <w:spacing w:val="53"/>
          <w:sz w:val="24"/>
          <w:szCs w:val="24"/>
          <w:highlight w:val="none"/>
          <w:u w:val="single" w:color="auto"/>
        </w:rPr>
        <w:t xml:space="preserve"> </w:t>
      </w:r>
      <w:r>
        <w:rPr>
          <w:rFonts w:ascii="宋体" w:hAnsi="宋体" w:eastAsia="宋体" w:cs="宋体"/>
          <w:color w:val="auto"/>
          <w:spacing w:val="-1"/>
          <w:sz w:val="24"/>
          <w:szCs w:val="24"/>
          <w:highlight w:val="none"/>
        </w:rPr>
        <w:t>日前通知所有报名成功的供应商；不足上述时间的，应当顺延提交响应文件、资格预审申请文件的截止时间。</w:t>
      </w:r>
    </w:p>
    <w:p w14:paraId="73840A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三、磋商文件的约束力</w:t>
      </w:r>
    </w:p>
    <w:p w14:paraId="675E7E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 招标人发放的磋商文件及磋商文件的答疑文件、修改文件、补充文件前后不</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一致，发生矛盾情况时，以最后发出的为准。</w:t>
      </w:r>
    </w:p>
    <w:p w14:paraId="4FBCE1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 磋商文件的修改部分是磋商文件的组成部分对投标人具有约束力。</w:t>
      </w:r>
    </w:p>
    <w:p w14:paraId="6C7337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3.3 磋商文件各个组成部分之间出现歧义或相互矛盾，或任何文件中呈现明显的或不符合逻辑等的错误，或在文件编写过程中经常出现的打印错误等，投标人应将需</w:t>
      </w:r>
      <w:r>
        <w:rPr>
          <w:rFonts w:ascii="宋体" w:hAnsi="宋体" w:eastAsia="宋体" w:cs="宋体"/>
          <w:color w:val="auto"/>
          <w:spacing w:val="-4"/>
          <w:sz w:val="24"/>
          <w:szCs w:val="24"/>
          <w:highlight w:val="none"/>
        </w:rPr>
        <w:t>要澄清的内容在投标人须知前附表规定的时间之前提出。根</w:t>
      </w:r>
      <w:r>
        <w:rPr>
          <w:rFonts w:ascii="宋体" w:hAnsi="宋体" w:eastAsia="宋体" w:cs="宋体"/>
          <w:color w:val="auto"/>
          <w:spacing w:val="-5"/>
          <w:sz w:val="24"/>
          <w:szCs w:val="24"/>
          <w:highlight w:val="none"/>
        </w:rPr>
        <w:t>据合同条款中的相关约定，</w:t>
      </w:r>
      <w:r>
        <w:rPr>
          <w:rFonts w:ascii="宋体" w:hAnsi="宋体" w:eastAsia="宋体" w:cs="宋体"/>
          <w:color w:val="auto"/>
          <w:spacing w:val="-3"/>
          <w:sz w:val="24"/>
          <w:szCs w:val="24"/>
          <w:highlight w:val="none"/>
        </w:rPr>
        <w:t>如果投标人在投标过程中未能发现并对有关歧义、矛盾或错误提出澄清请求，而在中</w:t>
      </w:r>
      <w:r>
        <w:rPr>
          <w:rFonts w:ascii="宋体" w:hAnsi="宋体" w:eastAsia="宋体" w:cs="宋体"/>
          <w:color w:val="auto"/>
          <w:sz w:val="24"/>
          <w:szCs w:val="24"/>
          <w:highlight w:val="none"/>
        </w:rPr>
        <w:t>标后发现并提出，成交人将必须接受由采购人依据合同有</w:t>
      </w:r>
      <w:r>
        <w:rPr>
          <w:rFonts w:ascii="宋体" w:hAnsi="宋体" w:eastAsia="宋体" w:cs="宋体"/>
          <w:color w:val="auto"/>
          <w:spacing w:val="-1"/>
          <w:sz w:val="24"/>
          <w:szCs w:val="24"/>
          <w:highlight w:val="none"/>
        </w:rPr>
        <w:t>关条款而做出的书面澄清。</w:t>
      </w:r>
    </w:p>
    <w:p w14:paraId="26B8AC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highlight w:val="none"/>
        </w:rPr>
      </w:pPr>
      <w:r>
        <w:rPr>
          <w:rFonts w:ascii="宋体" w:hAnsi="宋体" w:eastAsia="宋体" w:cs="宋体"/>
          <w:color w:val="auto"/>
          <w:sz w:val="24"/>
          <w:szCs w:val="24"/>
          <w:highlight w:val="none"/>
        </w:rPr>
        <w:t>3.4 投标人报名参加本项目成功的被认为</w:t>
      </w:r>
      <w:r>
        <w:rPr>
          <w:rFonts w:ascii="宋体" w:hAnsi="宋体" w:eastAsia="宋体" w:cs="宋体"/>
          <w:color w:val="auto"/>
          <w:spacing w:val="-1"/>
          <w:sz w:val="24"/>
          <w:szCs w:val="24"/>
          <w:highlight w:val="none"/>
        </w:rPr>
        <w:t>接受了本文件中的所有条款和规定。</w:t>
      </w:r>
    </w:p>
    <w:p w14:paraId="5A153E91">
      <w:pPr>
        <w:spacing w:before="78" w:line="219" w:lineRule="auto"/>
        <w:jc w:val="center"/>
        <w:outlineLvl w:val="1"/>
        <w:rPr>
          <w:rFonts w:ascii="宋体" w:hAnsi="宋体" w:eastAsia="宋体" w:cs="宋体"/>
          <w:color w:val="auto"/>
          <w:sz w:val="24"/>
          <w:szCs w:val="24"/>
          <w:highlight w:val="none"/>
        </w:rPr>
      </w:pPr>
      <w:bookmarkStart w:id="9" w:name="_Toc16465"/>
      <w:r>
        <w:rPr>
          <w:rFonts w:ascii="宋体" w:hAnsi="宋体" w:eastAsia="宋体" w:cs="宋体"/>
          <w:b/>
          <w:bCs/>
          <w:color w:val="auto"/>
          <w:spacing w:val="-7"/>
          <w:sz w:val="24"/>
          <w:szCs w:val="24"/>
          <w:highlight w:val="none"/>
        </w:rPr>
        <w:t>第三节</w:t>
      </w:r>
      <w:r>
        <w:rPr>
          <w:rFonts w:ascii="宋体" w:hAnsi="宋体" w:eastAsia="宋体" w:cs="宋体"/>
          <w:color w:val="auto"/>
          <w:spacing w:val="25"/>
          <w:sz w:val="24"/>
          <w:szCs w:val="24"/>
          <w:highlight w:val="none"/>
        </w:rPr>
        <w:t xml:space="preserve"> </w:t>
      </w:r>
      <w:r>
        <w:rPr>
          <w:rFonts w:ascii="宋体" w:hAnsi="宋体" w:eastAsia="宋体" w:cs="宋体"/>
          <w:b/>
          <w:bCs/>
          <w:color w:val="auto"/>
          <w:spacing w:val="-7"/>
          <w:sz w:val="24"/>
          <w:szCs w:val="24"/>
          <w:highlight w:val="none"/>
        </w:rPr>
        <w:t>响应文件</w:t>
      </w:r>
      <w:bookmarkEnd w:id="9"/>
    </w:p>
    <w:p w14:paraId="73398FFA">
      <w:pPr>
        <w:spacing w:before="308" w:line="219" w:lineRule="auto"/>
        <w:ind w:left="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一、响应文件由商务标、技术标、经济标组成</w:t>
      </w:r>
    </w:p>
    <w:p w14:paraId="76B75D03">
      <w:pPr>
        <w:spacing w:before="181"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 商务标应包括下列内容：</w:t>
      </w:r>
    </w:p>
    <w:p w14:paraId="2B9955B9">
      <w:pPr>
        <w:spacing w:before="180"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投标承诺书（一）、（二）、（三）</w:t>
      </w:r>
    </w:p>
    <w:p w14:paraId="47B20651">
      <w:pPr>
        <w:spacing w:line="219" w:lineRule="auto"/>
        <w:rPr>
          <w:rFonts w:ascii="宋体" w:hAnsi="宋体" w:eastAsia="宋体" w:cs="宋体"/>
          <w:color w:val="auto"/>
          <w:sz w:val="24"/>
          <w:szCs w:val="24"/>
          <w:highlight w:val="none"/>
        </w:rPr>
        <w:sectPr>
          <w:footerReference r:id="rId10" w:type="default"/>
          <w:pgSz w:w="11906" w:h="16839"/>
          <w:pgMar w:top="1440" w:right="1800" w:bottom="1440" w:left="1800" w:header="0" w:footer="973" w:gutter="0"/>
          <w:pgNumType w:fmt="decimal"/>
          <w:cols w:space="720" w:num="1"/>
        </w:sectPr>
      </w:pPr>
    </w:p>
    <w:p w14:paraId="52647C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⑵ 法定代表人身份证明书</w:t>
      </w:r>
      <w:r>
        <w:rPr>
          <w:rFonts w:ascii="宋体" w:hAnsi="宋体" w:eastAsia="宋体" w:cs="宋体"/>
          <w:color w:val="auto"/>
          <w:spacing w:val="1"/>
          <w:sz w:val="24"/>
          <w:szCs w:val="24"/>
          <w:highlight w:val="none"/>
        </w:rPr>
        <w:t xml:space="preserve"> </w:t>
      </w:r>
    </w:p>
    <w:p w14:paraId="54BF12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⑶ 授权委托书</w:t>
      </w:r>
    </w:p>
    <w:p w14:paraId="375F3B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3"/>
          <w:sz w:val="24"/>
          <w:szCs w:val="24"/>
          <w:highlight w:val="none"/>
        </w:rPr>
      </w:pPr>
      <w:r>
        <w:rPr>
          <w:rFonts w:ascii="宋体" w:hAnsi="宋体" w:eastAsia="宋体" w:cs="宋体"/>
          <w:color w:val="auto"/>
          <w:spacing w:val="-1"/>
          <w:sz w:val="24"/>
          <w:szCs w:val="24"/>
          <w:highlight w:val="none"/>
        </w:rPr>
        <w:t>⑷ 投标保证金票据凭证复印件</w:t>
      </w:r>
      <w:r>
        <w:rPr>
          <w:rFonts w:ascii="宋体" w:hAnsi="宋体" w:eastAsia="宋体" w:cs="宋体"/>
          <w:color w:val="auto"/>
          <w:spacing w:val="3"/>
          <w:sz w:val="24"/>
          <w:szCs w:val="24"/>
          <w:highlight w:val="none"/>
        </w:rPr>
        <w:t xml:space="preserve"> </w:t>
      </w:r>
    </w:p>
    <w:p w14:paraId="3CBEBC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⑸</w:t>
      </w:r>
      <w:r>
        <w:rPr>
          <w:rFonts w:ascii="宋体" w:hAnsi="宋体" w:eastAsia="宋体" w:cs="宋体"/>
          <w:color w:val="auto"/>
          <w:spacing w:val="13"/>
          <w:sz w:val="24"/>
          <w:szCs w:val="24"/>
          <w:highlight w:val="none"/>
        </w:rPr>
        <w:t xml:space="preserve"> </w:t>
      </w:r>
      <w:r>
        <w:rPr>
          <w:rFonts w:ascii="宋体" w:hAnsi="宋体" w:eastAsia="宋体" w:cs="宋体"/>
          <w:color w:val="auto"/>
          <w:spacing w:val="-4"/>
          <w:sz w:val="24"/>
          <w:szCs w:val="24"/>
          <w:highlight w:val="none"/>
        </w:rPr>
        <w:t>投标人概况</w:t>
      </w:r>
    </w:p>
    <w:p w14:paraId="3D8BA3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⑹ 项目负责人简历表</w:t>
      </w:r>
    </w:p>
    <w:p w14:paraId="0414CA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⑺ 项目管理人员表</w:t>
      </w:r>
    </w:p>
    <w:p w14:paraId="4B3AA4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7"/>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1.2 技术标应包括下列内容：</w:t>
      </w:r>
    </w:p>
    <w:p w14:paraId="165545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7"/>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⑴ 施工组织设计</w:t>
      </w:r>
    </w:p>
    <w:p w14:paraId="0C9D9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 经济标应包括下列内容：</w:t>
      </w:r>
    </w:p>
    <w:p w14:paraId="3D0E30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⑴</w:t>
      </w:r>
      <w:r>
        <w:rPr>
          <w:rFonts w:ascii="宋体" w:hAnsi="宋体" w:eastAsia="宋体" w:cs="宋体"/>
          <w:color w:val="auto"/>
          <w:spacing w:val="14"/>
          <w:sz w:val="24"/>
          <w:szCs w:val="24"/>
          <w:highlight w:val="none"/>
        </w:rPr>
        <w:t xml:space="preserve"> </w:t>
      </w:r>
      <w:r>
        <w:rPr>
          <w:rFonts w:ascii="宋体" w:hAnsi="宋体" w:eastAsia="宋体" w:cs="宋体"/>
          <w:color w:val="auto"/>
          <w:spacing w:val="-5"/>
          <w:sz w:val="24"/>
          <w:szCs w:val="24"/>
          <w:highlight w:val="none"/>
        </w:rPr>
        <w:t>投标总价</w:t>
      </w:r>
    </w:p>
    <w:p w14:paraId="5AC3B6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⑵ 经济标格式</w:t>
      </w:r>
    </w:p>
    <w:p w14:paraId="70064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 xml:space="preserve"> </w:t>
      </w:r>
      <w:r>
        <w:rPr>
          <w:rFonts w:ascii="宋体" w:hAnsi="宋体" w:eastAsia="宋体" w:cs="宋体"/>
          <w:color w:val="auto"/>
          <w:spacing w:val="-6"/>
          <w:sz w:val="24"/>
          <w:szCs w:val="24"/>
          <w:highlight w:val="none"/>
        </w:rPr>
        <w:t>a.</w:t>
      </w:r>
      <w:r>
        <w:rPr>
          <w:rFonts w:ascii="宋体" w:hAnsi="宋体" w:eastAsia="宋体" w:cs="宋体"/>
          <w:color w:val="auto"/>
          <w:spacing w:val="18"/>
          <w:sz w:val="24"/>
          <w:szCs w:val="24"/>
          <w:highlight w:val="none"/>
        </w:rPr>
        <w:t xml:space="preserve"> </w:t>
      </w:r>
      <w:r>
        <w:rPr>
          <w:rFonts w:ascii="宋体" w:hAnsi="宋体" w:eastAsia="宋体" w:cs="宋体"/>
          <w:color w:val="auto"/>
          <w:spacing w:val="-6"/>
          <w:sz w:val="24"/>
          <w:szCs w:val="24"/>
          <w:highlight w:val="none"/>
        </w:rPr>
        <w:t>总说明</w:t>
      </w:r>
    </w:p>
    <w:p w14:paraId="705C87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jc w:val="both"/>
        <w:textAlignment w:val="baseline"/>
        <w:rPr>
          <w:rFonts w:ascii="宋体" w:hAnsi="宋体" w:eastAsia="宋体" w:cs="宋体"/>
          <w:color w:val="auto"/>
          <w:spacing w:val="7"/>
          <w:sz w:val="24"/>
          <w:szCs w:val="24"/>
          <w:highlight w:val="none"/>
        </w:rPr>
      </w:pPr>
      <w:r>
        <w:rPr>
          <w:rFonts w:ascii="宋体" w:hAnsi="宋体" w:eastAsia="宋体" w:cs="宋体"/>
          <w:color w:val="auto"/>
          <w:spacing w:val="-1"/>
          <w:sz w:val="24"/>
          <w:szCs w:val="24"/>
          <w:highlight w:val="none"/>
        </w:rPr>
        <w:t>b. 建设项目投标报价汇总表</w:t>
      </w:r>
      <w:r>
        <w:rPr>
          <w:rFonts w:ascii="宋体" w:hAnsi="宋体" w:eastAsia="宋体" w:cs="宋体"/>
          <w:color w:val="auto"/>
          <w:spacing w:val="7"/>
          <w:sz w:val="24"/>
          <w:szCs w:val="24"/>
          <w:highlight w:val="none"/>
        </w:rPr>
        <w:t xml:space="preserve"> </w:t>
      </w:r>
    </w:p>
    <w:p w14:paraId="426148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jc w:val="both"/>
        <w:textAlignment w:val="baseline"/>
        <w:rPr>
          <w:rFonts w:ascii="宋体" w:hAnsi="宋体" w:eastAsia="宋体" w:cs="宋体"/>
          <w:color w:val="auto"/>
          <w:spacing w:val="12"/>
          <w:sz w:val="24"/>
          <w:szCs w:val="24"/>
          <w:highlight w:val="none"/>
        </w:rPr>
      </w:pPr>
      <w:r>
        <w:rPr>
          <w:rFonts w:ascii="宋体" w:hAnsi="宋体" w:eastAsia="宋体" w:cs="宋体"/>
          <w:color w:val="auto"/>
          <w:spacing w:val="-2"/>
          <w:sz w:val="24"/>
          <w:szCs w:val="24"/>
          <w:highlight w:val="none"/>
        </w:rPr>
        <w:t>c. 单项工程投标报价汇总表</w:t>
      </w:r>
      <w:r>
        <w:rPr>
          <w:rFonts w:ascii="宋体" w:hAnsi="宋体" w:eastAsia="宋体" w:cs="宋体"/>
          <w:color w:val="auto"/>
          <w:spacing w:val="12"/>
          <w:sz w:val="24"/>
          <w:szCs w:val="24"/>
          <w:highlight w:val="none"/>
        </w:rPr>
        <w:t xml:space="preserve"> </w:t>
      </w:r>
    </w:p>
    <w:p w14:paraId="3E9F7A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8"/>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d. 单位工程投标报价汇总表</w:t>
      </w:r>
    </w:p>
    <w:p w14:paraId="4553BF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rFonts w:ascii="宋体" w:hAnsi="宋体" w:eastAsia="宋体" w:cs="宋体"/>
          <w:color w:val="auto"/>
          <w:spacing w:val="5"/>
          <w:sz w:val="24"/>
          <w:szCs w:val="24"/>
          <w:highlight w:val="none"/>
        </w:rPr>
      </w:pPr>
      <w:r>
        <w:rPr>
          <w:rFonts w:ascii="宋体" w:hAnsi="宋体" w:eastAsia="宋体" w:cs="宋体"/>
          <w:color w:val="auto"/>
          <w:spacing w:val="-1"/>
          <w:sz w:val="24"/>
          <w:szCs w:val="24"/>
          <w:highlight w:val="none"/>
        </w:rPr>
        <w:t>e. 分部分项工程和单价措施项目清单与计价表</w:t>
      </w:r>
      <w:r>
        <w:rPr>
          <w:rFonts w:ascii="宋体" w:hAnsi="宋体" w:eastAsia="宋体" w:cs="宋体"/>
          <w:color w:val="auto"/>
          <w:spacing w:val="5"/>
          <w:sz w:val="24"/>
          <w:szCs w:val="24"/>
          <w:highlight w:val="none"/>
        </w:rPr>
        <w:t xml:space="preserve"> </w:t>
      </w:r>
    </w:p>
    <w:p w14:paraId="6A76C5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f. 综合单价分析表</w:t>
      </w:r>
    </w:p>
    <w:p w14:paraId="03F397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g. 总价措施项目清单与计价表</w:t>
      </w:r>
      <w:r>
        <w:rPr>
          <w:rFonts w:ascii="宋体" w:hAnsi="宋体" w:eastAsia="宋体" w:cs="宋体"/>
          <w:color w:val="auto"/>
          <w:sz w:val="24"/>
          <w:szCs w:val="24"/>
          <w:highlight w:val="none"/>
        </w:rPr>
        <w:t xml:space="preserve"> </w:t>
      </w:r>
    </w:p>
    <w:p w14:paraId="0E1A4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h. 其他项目清单与计价汇总表</w:t>
      </w:r>
    </w:p>
    <w:p w14:paraId="736985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⒈</w:t>
      </w:r>
      <w:r>
        <w:rPr>
          <w:rFonts w:ascii="宋体" w:hAnsi="宋体" w:eastAsia="宋体" w:cs="宋体"/>
          <w:color w:val="auto"/>
          <w:spacing w:val="20"/>
          <w:sz w:val="24"/>
          <w:szCs w:val="24"/>
          <w:highlight w:val="none"/>
        </w:rPr>
        <w:t xml:space="preserve"> </w:t>
      </w:r>
      <w:r>
        <w:rPr>
          <w:rFonts w:ascii="宋体" w:hAnsi="宋体" w:eastAsia="宋体" w:cs="宋体"/>
          <w:color w:val="auto"/>
          <w:spacing w:val="-14"/>
          <w:sz w:val="24"/>
          <w:szCs w:val="24"/>
          <w:highlight w:val="none"/>
        </w:rPr>
        <w:t>暂列金额明细表</w:t>
      </w:r>
    </w:p>
    <w:p w14:paraId="04021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textAlignment w:val="baseline"/>
        <w:rPr>
          <w:rFonts w:ascii="宋体" w:hAnsi="宋体" w:eastAsia="宋体" w:cs="宋体"/>
          <w:color w:val="auto"/>
          <w:spacing w:val="12"/>
          <w:sz w:val="24"/>
          <w:szCs w:val="24"/>
          <w:highlight w:val="none"/>
        </w:rPr>
      </w:pPr>
      <w:r>
        <w:rPr>
          <w:rFonts w:ascii="宋体" w:hAnsi="宋体" w:eastAsia="宋体" w:cs="宋体"/>
          <w:color w:val="auto"/>
          <w:spacing w:val="-5"/>
          <w:sz w:val="24"/>
          <w:szCs w:val="24"/>
          <w:highlight w:val="none"/>
        </w:rPr>
        <w:t>⒉ 材料（工程设备）暂估单价及调整表</w:t>
      </w:r>
      <w:r>
        <w:rPr>
          <w:rFonts w:ascii="宋体" w:hAnsi="宋体" w:eastAsia="宋体" w:cs="宋体"/>
          <w:color w:val="auto"/>
          <w:spacing w:val="12"/>
          <w:sz w:val="24"/>
          <w:szCs w:val="24"/>
          <w:highlight w:val="none"/>
        </w:rPr>
        <w:t xml:space="preserve"> </w:t>
      </w:r>
    </w:p>
    <w:p w14:paraId="0E2582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⒊ 专业工程暂估价及结算价表</w:t>
      </w:r>
    </w:p>
    <w:p w14:paraId="13F9CE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⒋</w:t>
      </w:r>
      <w:r>
        <w:rPr>
          <w:rFonts w:ascii="宋体" w:hAnsi="宋体" w:eastAsia="宋体" w:cs="宋体"/>
          <w:color w:val="auto"/>
          <w:spacing w:val="9"/>
          <w:sz w:val="24"/>
          <w:szCs w:val="24"/>
          <w:highlight w:val="none"/>
        </w:rPr>
        <w:t xml:space="preserve"> </w:t>
      </w:r>
      <w:r>
        <w:rPr>
          <w:rFonts w:ascii="宋体" w:hAnsi="宋体" w:eastAsia="宋体" w:cs="宋体"/>
          <w:color w:val="auto"/>
          <w:spacing w:val="-16"/>
          <w:sz w:val="24"/>
          <w:szCs w:val="24"/>
          <w:highlight w:val="none"/>
        </w:rPr>
        <w:t>计日工表</w:t>
      </w:r>
    </w:p>
    <w:p w14:paraId="6A33516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⒌ 总承包服务费计价表</w:t>
      </w:r>
      <w:r>
        <w:rPr>
          <w:rFonts w:ascii="宋体" w:hAnsi="宋体" w:eastAsia="宋体" w:cs="宋体"/>
          <w:color w:val="auto"/>
          <w:sz w:val="24"/>
          <w:szCs w:val="24"/>
          <w:highlight w:val="none"/>
        </w:rPr>
        <w:t xml:space="preserve">  </w:t>
      </w:r>
    </w:p>
    <w:p w14:paraId="263158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6.规费、税金项目计价表</w:t>
      </w:r>
    </w:p>
    <w:p w14:paraId="308518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ascii="宋体" w:hAnsi="宋体" w:eastAsia="宋体" w:cs="宋体"/>
          <w:color w:val="auto"/>
          <w:spacing w:val="9"/>
          <w:sz w:val="24"/>
          <w:szCs w:val="24"/>
          <w:highlight w:val="none"/>
        </w:rPr>
      </w:pPr>
      <w:r>
        <w:rPr>
          <w:rFonts w:ascii="宋体" w:hAnsi="宋体" w:eastAsia="宋体" w:cs="宋体"/>
          <w:color w:val="auto"/>
          <w:spacing w:val="-2"/>
          <w:sz w:val="24"/>
          <w:szCs w:val="24"/>
          <w:highlight w:val="none"/>
        </w:rPr>
        <w:t>i. 发包人提供材料和工程设备一览表</w:t>
      </w:r>
      <w:r>
        <w:rPr>
          <w:rFonts w:ascii="宋体" w:hAnsi="宋体" w:eastAsia="宋体" w:cs="宋体"/>
          <w:color w:val="auto"/>
          <w:spacing w:val="9"/>
          <w:sz w:val="24"/>
          <w:szCs w:val="24"/>
          <w:highlight w:val="none"/>
        </w:rPr>
        <w:t xml:space="preserve"> </w:t>
      </w:r>
    </w:p>
    <w:p w14:paraId="0740BE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j. 投标报价需要的其他资料</w:t>
      </w:r>
    </w:p>
    <w:p w14:paraId="6EEF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注：经济标格式（投标单位以本项目的招标工程量清单为依据编制，需按正规经</w:t>
      </w:r>
      <w:r>
        <w:rPr>
          <w:rFonts w:ascii="宋体" w:hAnsi="宋体" w:eastAsia="宋体" w:cs="宋体"/>
          <w:color w:val="auto"/>
          <w:spacing w:val="-1"/>
          <w:sz w:val="24"/>
          <w:szCs w:val="24"/>
          <w:highlight w:val="none"/>
        </w:rPr>
        <w:t>济标格式及磋商文件规定编制）。</w:t>
      </w:r>
    </w:p>
    <w:p w14:paraId="0B9D96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11" w:type="default"/>
          <w:pgSz w:w="11906" w:h="16839"/>
          <w:pgMar w:top="1440" w:right="1800" w:bottom="1440" w:left="1800" w:header="0" w:footer="973" w:gutter="0"/>
          <w:pgNumType w:fmt="decimal"/>
          <w:cols w:space="720" w:num="1"/>
        </w:sectPr>
      </w:pPr>
    </w:p>
    <w:p w14:paraId="1F9E189C">
      <w:pPr>
        <w:spacing w:before="78" w:line="219" w:lineRule="auto"/>
        <w:ind w:firstLine="464" w:firstLineChars="20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 语言文字</w:t>
      </w:r>
    </w:p>
    <w:p w14:paraId="750B5776">
      <w:pPr>
        <w:spacing w:before="257" w:line="355" w:lineRule="auto"/>
        <w:ind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⑴ 投标人提交的响应文件以及投标人与招标采购单位就有关投标的所有来往书</w:t>
      </w:r>
      <w:r>
        <w:rPr>
          <w:rFonts w:ascii="宋体" w:hAnsi="宋体" w:eastAsia="宋体" w:cs="宋体"/>
          <w:color w:val="auto"/>
          <w:spacing w:val="-3"/>
          <w:sz w:val="24"/>
          <w:szCs w:val="24"/>
          <w:highlight w:val="none"/>
        </w:rPr>
        <w:t>面文件均须使用中文。响应文件中如附有外文资料，必须逐一对应正确翻译成中文并</w:t>
      </w:r>
      <w:r>
        <w:rPr>
          <w:rFonts w:ascii="宋体" w:hAnsi="宋体" w:eastAsia="宋体" w:cs="宋体"/>
          <w:color w:val="auto"/>
          <w:spacing w:val="-1"/>
          <w:sz w:val="24"/>
          <w:szCs w:val="24"/>
          <w:highlight w:val="none"/>
        </w:rPr>
        <w:t>加盖投标人公章后附在相关外文资料后面，否则，所</w:t>
      </w:r>
      <w:r>
        <w:rPr>
          <w:rFonts w:ascii="宋体" w:hAnsi="宋体" w:eastAsia="宋体" w:cs="宋体"/>
          <w:color w:val="auto"/>
          <w:spacing w:val="-2"/>
          <w:sz w:val="24"/>
          <w:szCs w:val="24"/>
          <w:highlight w:val="none"/>
        </w:rPr>
        <w:t>提供的外文资料将将视为无效。</w:t>
      </w:r>
      <w:r>
        <w:rPr>
          <w:rFonts w:ascii="宋体" w:hAnsi="宋体" w:eastAsia="宋体" w:cs="宋体"/>
          <w:color w:val="auto"/>
          <w:spacing w:val="-3"/>
          <w:sz w:val="24"/>
          <w:szCs w:val="24"/>
          <w:highlight w:val="none"/>
        </w:rPr>
        <w:t>（说明：供应商的法定代表人或负责人为外籍人士的，则法定代表人或负责人的签字</w:t>
      </w:r>
      <w:r>
        <w:rPr>
          <w:rFonts w:ascii="宋体" w:hAnsi="宋体" w:eastAsia="宋体" w:cs="宋体"/>
          <w:color w:val="auto"/>
          <w:spacing w:val="-2"/>
          <w:sz w:val="24"/>
          <w:szCs w:val="24"/>
          <w:highlight w:val="none"/>
        </w:rPr>
        <w:t>和护照除外。）</w:t>
      </w:r>
    </w:p>
    <w:p w14:paraId="07B5BDD6">
      <w:pPr>
        <w:spacing w:before="33" w:line="347" w:lineRule="auto"/>
        <w:ind w:left="3" w:right="53" w:firstLine="477"/>
        <w:rPr>
          <w:rFonts w:ascii="宋体" w:hAnsi="宋体" w:eastAsia="宋体" w:cs="宋体"/>
          <w:color w:val="auto"/>
          <w:sz w:val="24"/>
          <w:szCs w:val="24"/>
          <w:highlight w:val="none"/>
        </w:rPr>
      </w:pPr>
      <w:r>
        <w:rPr>
          <w:rFonts w:ascii="宋体" w:hAnsi="宋体" w:eastAsia="宋体" w:cs="宋体"/>
          <w:color w:val="auto"/>
          <w:sz w:val="24"/>
          <w:szCs w:val="24"/>
          <w:highlight w:val="none"/>
        </w:rPr>
        <w:t>⑵ 翻译的中文资料与外文资料如果出现差异和矛盾时，以中文为准。涉嫌虚假</w:t>
      </w:r>
      <w:r>
        <w:rPr>
          <w:rFonts w:ascii="宋体" w:hAnsi="宋体" w:eastAsia="宋体" w:cs="宋体"/>
          <w:color w:val="auto"/>
          <w:spacing w:val="-1"/>
          <w:sz w:val="24"/>
          <w:szCs w:val="24"/>
          <w:highlight w:val="none"/>
        </w:rPr>
        <w:t>投标的按照相关法律法规处理。</w:t>
      </w:r>
    </w:p>
    <w:p w14:paraId="55AB0F74">
      <w:pPr>
        <w:spacing w:before="34" w:line="220" w:lineRule="auto"/>
        <w:ind w:left="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1.5 计量单位</w:t>
      </w:r>
    </w:p>
    <w:p w14:paraId="63C8E620">
      <w:pPr>
        <w:spacing w:before="103" w:line="347" w:lineRule="auto"/>
        <w:ind w:right="53" w:firstLine="494"/>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除技术规格及要求中另有规定外，本采购项目的</w:t>
      </w:r>
      <w:r>
        <w:rPr>
          <w:rFonts w:ascii="宋体" w:hAnsi="宋体" w:eastAsia="宋体" w:cs="宋体"/>
          <w:color w:val="auto"/>
          <w:spacing w:val="-4"/>
          <w:sz w:val="24"/>
          <w:szCs w:val="24"/>
          <w:highlight w:val="none"/>
        </w:rPr>
        <w:t>投标均采用中华人民共和</w:t>
      </w:r>
      <w:r>
        <w:rPr>
          <w:rFonts w:ascii="宋体" w:hAnsi="宋体" w:eastAsia="宋体" w:cs="宋体"/>
          <w:color w:val="auto"/>
          <w:spacing w:val="-3"/>
          <w:sz w:val="24"/>
          <w:szCs w:val="24"/>
          <w:highlight w:val="none"/>
        </w:rPr>
        <w:t>国法定计量单位。</w:t>
      </w:r>
    </w:p>
    <w:p w14:paraId="6C52FC47">
      <w:pPr>
        <w:spacing w:before="103" w:line="347" w:lineRule="auto"/>
        <w:ind w:right="53" w:firstLine="494"/>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1.6 投标货币</w:t>
      </w:r>
    </w:p>
    <w:p w14:paraId="11EEA7EF">
      <w:pPr>
        <w:spacing w:before="103" w:line="347" w:lineRule="auto"/>
        <w:ind w:right="53" w:firstLine="494"/>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本次招标项目的投标均以人民币报价。</w:t>
      </w:r>
    </w:p>
    <w:p w14:paraId="29AB6C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二、投标报价</w:t>
      </w:r>
    </w:p>
    <w:p w14:paraId="6D5715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 本项目的投标报价已在投标人须知前附表说明；</w:t>
      </w:r>
    </w:p>
    <w:p w14:paraId="4F23DA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2.2 投标人所报的投标报价总价及其分部分项报价均</w:t>
      </w:r>
      <w:r>
        <w:rPr>
          <w:rFonts w:ascii="宋体" w:hAnsi="宋体" w:eastAsia="宋体" w:cs="宋体"/>
          <w:color w:val="auto"/>
          <w:spacing w:val="3"/>
          <w:sz w:val="24"/>
          <w:szCs w:val="24"/>
          <w:highlight w:val="none"/>
        </w:rPr>
        <w:t>不得超过投标人须知前附</w:t>
      </w:r>
      <w:r>
        <w:rPr>
          <w:rFonts w:ascii="宋体" w:hAnsi="宋体" w:eastAsia="宋体" w:cs="宋体"/>
          <w:color w:val="auto"/>
          <w:spacing w:val="-1"/>
          <w:sz w:val="24"/>
          <w:szCs w:val="24"/>
          <w:highlight w:val="none"/>
        </w:rPr>
        <w:t>表中的招标控制价；</w:t>
      </w:r>
    </w:p>
    <w:p w14:paraId="5D4682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2.3 投标人在投标截止时间前修改投标函中的投标报价的，应同时修改“响应文件格式</w:t>
      </w:r>
      <w:r>
        <w:rPr>
          <w:rFonts w:ascii="宋体" w:hAnsi="宋体" w:eastAsia="宋体" w:cs="宋体"/>
          <w:color w:val="auto"/>
          <w:spacing w:val="-82"/>
          <w:sz w:val="24"/>
          <w:szCs w:val="24"/>
          <w:highlight w:val="none"/>
        </w:rPr>
        <w:t xml:space="preserve"> </w:t>
      </w:r>
      <w:r>
        <w:rPr>
          <w:rFonts w:ascii="宋体" w:hAnsi="宋体" w:eastAsia="宋体" w:cs="宋体"/>
          <w:color w:val="auto"/>
          <w:spacing w:val="-3"/>
          <w:sz w:val="24"/>
          <w:szCs w:val="24"/>
          <w:highlight w:val="none"/>
        </w:rPr>
        <w:t>”中（报价单）的相应报价；</w:t>
      </w:r>
    </w:p>
    <w:p w14:paraId="39FB13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2.4 投标人一律用人民币报价；</w:t>
      </w:r>
    </w:p>
    <w:p w14:paraId="69B7DB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2.5 工程量清单计价中的综合单价是指完成一个规定</w:t>
      </w:r>
      <w:r>
        <w:rPr>
          <w:rFonts w:ascii="宋体" w:hAnsi="宋体" w:eastAsia="宋体" w:cs="宋体"/>
          <w:color w:val="auto"/>
          <w:spacing w:val="3"/>
          <w:sz w:val="24"/>
          <w:szCs w:val="24"/>
          <w:highlight w:val="none"/>
        </w:rPr>
        <w:t>计量单位的分部分项工程</w:t>
      </w:r>
      <w:r>
        <w:rPr>
          <w:rFonts w:ascii="宋体" w:hAnsi="宋体" w:eastAsia="宋体" w:cs="宋体"/>
          <w:color w:val="auto"/>
          <w:spacing w:val="-3"/>
          <w:sz w:val="24"/>
          <w:szCs w:val="24"/>
          <w:highlight w:val="none"/>
        </w:rPr>
        <w:t>量清单项目或措施清单项目所需的人工费、材料费、施工机械使用费和企业管理费与</w:t>
      </w:r>
      <w:r>
        <w:rPr>
          <w:rFonts w:ascii="宋体" w:hAnsi="宋体" w:eastAsia="宋体" w:cs="宋体"/>
          <w:color w:val="auto"/>
          <w:spacing w:val="-1"/>
          <w:sz w:val="24"/>
          <w:szCs w:val="24"/>
          <w:highlight w:val="none"/>
        </w:rPr>
        <w:t>利润，以及一定范围内的风险费用；</w:t>
      </w:r>
    </w:p>
    <w:p w14:paraId="52D2A2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2.6  除非采购人对磋商文件予以修改，投标人应按采购人提供的工程量清单中</w:t>
      </w:r>
      <w:r>
        <w:rPr>
          <w:rFonts w:ascii="宋体" w:hAnsi="宋体" w:eastAsia="宋体" w:cs="宋体"/>
          <w:color w:val="auto"/>
          <w:spacing w:val="-1"/>
          <w:sz w:val="24"/>
          <w:szCs w:val="24"/>
          <w:highlight w:val="none"/>
        </w:rPr>
        <w:t>列出的工程项目和工程量填报单价和合价；</w:t>
      </w:r>
    </w:p>
    <w:p w14:paraId="7D58B4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2.7</w:t>
      </w:r>
      <w:r>
        <w:rPr>
          <w:rFonts w:ascii="宋体" w:hAnsi="宋体" w:eastAsia="宋体" w:cs="宋体"/>
          <w:color w:val="auto"/>
          <w:spacing w:val="-39"/>
          <w:sz w:val="24"/>
          <w:szCs w:val="24"/>
          <w:highlight w:val="none"/>
        </w:rPr>
        <w:t xml:space="preserve"> </w:t>
      </w:r>
      <w:r>
        <w:rPr>
          <w:rFonts w:ascii="宋体" w:hAnsi="宋体" w:eastAsia="宋体" w:cs="宋体"/>
          <w:color w:val="auto"/>
          <w:spacing w:val="-1"/>
          <w:sz w:val="24"/>
          <w:szCs w:val="24"/>
          <w:highlight w:val="none"/>
        </w:rPr>
        <w:t>每一项目只允许有一个报价，任何有选择的报价将不予接受，视为废标；</w:t>
      </w:r>
    </w:p>
    <w:p w14:paraId="452E43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2.8 投标人在规定的时间内提交有效的二次（最终）报价单；</w:t>
      </w:r>
    </w:p>
    <w:p w14:paraId="0F39C9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7"/>
        <w:textAlignment w:val="baseline"/>
        <w:rPr>
          <w:rFonts w:ascii="宋体" w:hAnsi="宋体" w:eastAsia="宋体" w:cs="宋体"/>
          <w:color w:val="auto"/>
          <w:spacing w:val="-3"/>
          <w:sz w:val="24"/>
          <w:szCs w:val="24"/>
          <w:highlight w:val="none"/>
        </w:rPr>
      </w:pPr>
      <w:r>
        <w:rPr>
          <w:rFonts w:ascii="宋体" w:hAnsi="宋体" w:eastAsia="宋体" w:cs="宋体"/>
          <w:color w:val="auto"/>
          <w:sz w:val="24"/>
          <w:szCs w:val="24"/>
          <w:highlight w:val="none"/>
        </w:rPr>
        <w:t>2.10 投标人没有填入单价或价格的细目在实施时业主将不予支付，并认为此细</w:t>
      </w:r>
      <w:r>
        <w:rPr>
          <w:rFonts w:ascii="宋体" w:hAnsi="宋体" w:eastAsia="宋体" w:cs="宋体"/>
          <w:color w:val="auto"/>
          <w:spacing w:val="-3"/>
          <w:sz w:val="24"/>
          <w:szCs w:val="24"/>
          <w:highlight w:val="none"/>
        </w:rPr>
        <w:t>目的费用已包括在工程量清单的其它单价和价格之中；</w:t>
      </w:r>
    </w:p>
    <w:p w14:paraId="673A25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7"/>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2.</w:t>
      </w:r>
      <w:r>
        <w:rPr>
          <w:rFonts w:ascii="宋体" w:hAnsi="宋体" w:eastAsia="宋体" w:cs="宋体"/>
          <w:color w:val="auto"/>
          <w:sz w:val="24"/>
          <w:szCs w:val="24"/>
          <w:highlight w:val="none"/>
        </w:rPr>
        <w:t>11 投标价由投标人自主确定，但不得低于成本；投标价应由投标人或受其委</w:t>
      </w:r>
      <w:r>
        <w:rPr>
          <w:rFonts w:ascii="宋体" w:hAnsi="宋体" w:eastAsia="宋体" w:cs="宋体"/>
          <w:color w:val="auto"/>
          <w:spacing w:val="-1"/>
          <w:sz w:val="24"/>
          <w:szCs w:val="24"/>
          <w:highlight w:val="none"/>
        </w:rPr>
        <w:t>托具有相应资质的工程造价咨询人编制；</w:t>
      </w:r>
    </w:p>
    <w:p w14:paraId="41FEE0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2.12 投标人应按采购人提供的工程量清单填报价格。填写的项目编码、项目名</w:t>
      </w:r>
      <w:r>
        <w:rPr>
          <w:rFonts w:ascii="宋体" w:hAnsi="宋体" w:eastAsia="宋体" w:cs="宋体"/>
          <w:color w:val="auto"/>
          <w:spacing w:val="-1"/>
          <w:sz w:val="24"/>
          <w:szCs w:val="24"/>
          <w:highlight w:val="none"/>
        </w:rPr>
        <w:t>称、项目特征、计量单位、工程量必须与采购人提供的一致；</w:t>
      </w:r>
    </w:p>
    <w:p w14:paraId="1725A6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2.13 投标总价应当与分部分项工程费、措施项目费、其他项目费和规费、税金</w:t>
      </w:r>
      <w:r>
        <w:rPr>
          <w:rFonts w:ascii="宋体" w:hAnsi="宋体" w:eastAsia="宋体" w:cs="宋体"/>
          <w:color w:val="auto"/>
          <w:spacing w:val="-4"/>
          <w:sz w:val="24"/>
          <w:szCs w:val="24"/>
          <w:highlight w:val="none"/>
        </w:rPr>
        <w:t>的合计金额一致。</w:t>
      </w:r>
    </w:p>
    <w:p w14:paraId="0D4F59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三、投标有效期</w:t>
      </w:r>
    </w:p>
    <w:p w14:paraId="3B555A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 在投标人须知前附表规定的投标有效期内，投标人不得要求撤销或修改其响</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应文件。</w:t>
      </w:r>
    </w:p>
    <w:p w14:paraId="6293E4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3.2</w:t>
      </w:r>
      <w:r>
        <w:rPr>
          <w:rFonts w:ascii="宋体" w:hAnsi="宋体" w:eastAsia="宋体" w:cs="宋体"/>
          <w:color w:val="auto"/>
          <w:spacing w:val="35"/>
          <w:sz w:val="24"/>
          <w:szCs w:val="24"/>
          <w:highlight w:val="none"/>
        </w:rPr>
        <w:t xml:space="preserve"> </w:t>
      </w:r>
      <w:r>
        <w:rPr>
          <w:rFonts w:ascii="宋体" w:hAnsi="宋体" w:eastAsia="宋体" w:cs="宋体"/>
          <w:color w:val="auto"/>
          <w:spacing w:val="-4"/>
          <w:sz w:val="24"/>
          <w:szCs w:val="24"/>
          <w:highlight w:val="none"/>
        </w:rPr>
        <w:t>出现特殊情况要延长投标有效期的，招标人以书面形式通知所有投标人延长</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投标有效期。投标人同意延长的，应相应延长其投标保证金的有效期，但不得要求或</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被允许修改或撤销其响应文件；投标人拒绝延长的，其投标失效，但投标人有权收回</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其投标保证金。</w:t>
      </w:r>
    </w:p>
    <w:p w14:paraId="2A5F6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四、投标保证金</w:t>
      </w:r>
    </w:p>
    <w:p w14:paraId="15D819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4.1</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投标人在递交响应文件的同时，应按投标人须知前附表规定的金额、担保形</w:t>
      </w:r>
      <w:r>
        <w:rPr>
          <w:rFonts w:ascii="宋体" w:hAnsi="宋体" w:eastAsia="宋体" w:cs="宋体"/>
          <w:color w:val="auto"/>
          <w:spacing w:val="-4"/>
          <w:sz w:val="24"/>
          <w:szCs w:val="24"/>
          <w:highlight w:val="none"/>
        </w:rPr>
        <w:t>式和“响应文件格式</w:t>
      </w:r>
      <w:r>
        <w:rPr>
          <w:rFonts w:ascii="宋体" w:hAnsi="宋体" w:eastAsia="宋体" w:cs="宋体"/>
          <w:color w:val="auto"/>
          <w:spacing w:val="-76"/>
          <w:sz w:val="24"/>
          <w:szCs w:val="24"/>
          <w:highlight w:val="none"/>
        </w:rPr>
        <w:t xml:space="preserve"> </w:t>
      </w:r>
      <w:r>
        <w:rPr>
          <w:rFonts w:ascii="宋体" w:hAnsi="宋体" w:eastAsia="宋体" w:cs="宋体"/>
          <w:color w:val="auto"/>
          <w:spacing w:val="-4"/>
          <w:sz w:val="24"/>
          <w:szCs w:val="24"/>
          <w:highlight w:val="none"/>
        </w:rPr>
        <w:t>”规定的投标保证金格式以人民币递交投标保证金，并作为其响</w:t>
      </w:r>
      <w:r>
        <w:rPr>
          <w:rFonts w:ascii="宋体" w:hAnsi="宋体" w:eastAsia="宋体" w:cs="宋体"/>
          <w:color w:val="auto"/>
          <w:spacing w:val="-3"/>
          <w:sz w:val="24"/>
          <w:szCs w:val="24"/>
          <w:highlight w:val="none"/>
        </w:rPr>
        <w:t>应文件的组成部分。联合体投标的，其投标保证金由牵头人递交，对联合体各方均具</w:t>
      </w:r>
      <w:r>
        <w:rPr>
          <w:rFonts w:ascii="宋体" w:hAnsi="宋体" w:eastAsia="宋体" w:cs="宋体"/>
          <w:color w:val="auto"/>
          <w:spacing w:val="-1"/>
          <w:sz w:val="24"/>
          <w:szCs w:val="24"/>
          <w:highlight w:val="none"/>
        </w:rPr>
        <w:t>有约束力，并应符合投标人须知前附表的规定。</w:t>
      </w:r>
    </w:p>
    <w:p w14:paraId="188311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4.2</w:t>
      </w:r>
      <w:r>
        <w:rPr>
          <w:rFonts w:ascii="宋体" w:hAnsi="宋体" w:eastAsia="宋体" w:cs="宋体"/>
          <w:color w:val="auto"/>
          <w:spacing w:val="-38"/>
          <w:sz w:val="24"/>
          <w:szCs w:val="24"/>
          <w:highlight w:val="none"/>
        </w:rPr>
        <w:t xml:space="preserve"> </w:t>
      </w:r>
      <w:r>
        <w:rPr>
          <w:rFonts w:ascii="宋体" w:hAnsi="宋体" w:eastAsia="宋体" w:cs="宋体"/>
          <w:color w:val="auto"/>
          <w:spacing w:val="-1"/>
          <w:sz w:val="24"/>
          <w:szCs w:val="24"/>
          <w:highlight w:val="none"/>
        </w:rPr>
        <w:t>投标人不按上述要求提交投标保证金的，其响应文件作废标处理。</w:t>
      </w:r>
    </w:p>
    <w:p w14:paraId="1E11CC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4.3</w:t>
      </w:r>
      <w:r>
        <w:rPr>
          <w:rFonts w:ascii="宋体" w:hAnsi="宋体" w:eastAsia="宋体" w:cs="宋体"/>
          <w:color w:val="auto"/>
          <w:spacing w:val="-30"/>
          <w:sz w:val="24"/>
          <w:szCs w:val="24"/>
          <w:highlight w:val="none"/>
        </w:rPr>
        <w:t xml:space="preserve"> </w:t>
      </w:r>
      <w:r>
        <w:rPr>
          <w:rFonts w:ascii="宋体" w:hAnsi="宋体" w:eastAsia="宋体" w:cs="宋体"/>
          <w:color w:val="auto"/>
          <w:spacing w:val="-2"/>
          <w:sz w:val="24"/>
          <w:szCs w:val="24"/>
          <w:highlight w:val="none"/>
        </w:rPr>
        <w:t>投标保证金有效期与投标有效期一致。</w:t>
      </w:r>
    </w:p>
    <w:p w14:paraId="7936D6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4.4</w:t>
      </w:r>
      <w:r>
        <w:rPr>
          <w:rFonts w:ascii="宋体" w:hAnsi="宋体" w:eastAsia="宋体" w:cs="宋体"/>
          <w:color w:val="auto"/>
          <w:spacing w:val="-40"/>
          <w:sz w:val="24"/>
          <w:szCs w:val="24"/>
          <w:highlight w:val="none"/>
        </w:rPr>
        <w:t xml:space="preserve"> </w:t>
      </w:r>
      <w:r>
        <w:rPr>
          <w:rFonts w:ascii="宋体" w:hAnsi="宋体" w:eastAsia="宋体" w:cs="宋体"/>
          <w:color w:val="auto"/>
          <w:spacing w:val="-3"/>
          <w:sz w:val="24"/>
          <w:szCs w:val="24"/>
          <w:highlight w:val="none"/>
        </w:rPr>
        <w:t>投标保证金退还</w:t>
      </w:r>
    </w:p>
    <w:p w14:paraId="5FEBA7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⑴投标人所交纳的投标保证金不计利息。</w:t>
      </w:r>
    </w:p>
    <w:p w14:paraId="6B72A6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⑵中标公示期满后，未成交人的投标保证金，将在中标通知书发出后五个工作</w:t>
      </w:r>
      <w:r>
        <w:rPr>
          <w:rFonts w:ascii="宋体" w:hAnsi="宋体" w:eastAsia="宋体" w:cs="宋体"/>
          <w:color w:val="auto"/>
          <w:spacing w:val="-5"/>
          <w:sz w:val="24"/>
          <w:szCs w:val="24"/>
          <w:highlight w:val="none"/>
        </w:rPr>
        <w:t>日内原渠道退还缴款账户。</w:t>
      </w:r>
    </w:p>
    <w:p w14:paraId="449454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⑶中标公示期满后，成交人的投标保证金，在</w:t>
      </w:r>
      <w:r>
        <w:rPr>
          <w:rFonts w:ascii="宋体" w:hAnsi="宋体" w:eastAsia="宋体" w:cs="宋体"/>
          <w:color w:val="auto"/>
          <w:spacing w:val="-1"/>
          <w:sz w:val="24"/>
          <w:szCs w:val="24"/>
          <w:highlight w:val="none"/>
        </w:rPr>
        <w:t>与招标人合同签订生效后按磋商文件要求提交相应资料五个工作日内全额退还。</w:t>
      </w:r>
    </w:p>
    <w:p w14:paraId="429214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pacing w:val="-2"/>
          <w:sz w:val="24"/>
          <w:szCs w:val="24"/>
          <w:highlight w:val="none"/>
        </w:rPr>
      </w:pPr>
      <w:r>
        <w:rPr>
          <w:rFonts w:ascii="宋体" w:hAnsi="宋体" w:eastAsia="宋体" w:cs="宋体"/>
          <w:color w:val="auto"/>
          <w:sz w:val="24"/>
          <w:szCs w:val="24"/>
          <w:highlight w:val="none"/>
        </w:rPr>
        <w:t>⑷因供应商涉嫌违法违规，按照规定应当不予退还保证金的，有关部门处理认</w:t>
      </w:r>
      <w:r>
        <w:rPr>
          <w:rFonts w:ascii="宋体" w:hAnsi="宋体" w:eastAsia="宋体" w:cs="宋体"/>
          <w:color w:val="auto"/>
          <w:spacing w:val="-3"/>
          <w:sz w:val="24"/>
          <w:szCs w:val="24"/>
          <w:highlight w:val="none"/>
        </w:rPr>
        <w:t>定违法违规行为期间的，以及因投标人自身原因导致无法及时退还的不计入退还保证</w:t>
      </w:r>
      <w:r>
        <w:rPr>
          <w:rFonts w:ascii="宋体" w:hAnsi="宋体" w:eastAsia="宋体" w:cs="宋体"/>
          <w:color w:val="auto"/>
          <w:spacing w:val="-2"/>
          <w:sz w:val="24"/>
          <w:szCs w:val="24"/>
          <w:highlight w:val="none"/>
        </w:rPr>
        <w:t>金时限之内。</w:t>
      </w:r>
    </w:p>
    <w:p w14:paraId="653843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4.5</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有下列情形之一的，投标保证金将不予退还：</w:t>
      </w:r>
    </w:p>
    <w:p w14:paraId="5294C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投标人在响应文件规定的投标有效期内撤回响应文件的；</w:t>
      </w:r>
    </w:p>
    <w:p w14:paraId="0C9D89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⑵ 在采购人确定成交人以前无正当理由放弃中标候选资格的；</w:t>
      </w:r>
    </w:p>
    <w:p w14:paraId="31F1EE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⑶ 因成交人自身原因放弃中标的；</w:t>
      </w:r>
    </w:p>
    <w:p w14:paraId="4B7A4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⑷</w:t>
      </w:r>
      <w:r>
        <w:rPr>
          <w:rFonts w:ascii="宋体" w:hAnsi="宋体" w:eastAsia="宋体" w:cs="宋体"/>
          <w:color w:val="auto"/>
          <w:spacing w:val="52"/>
          <w:sz w:val="24"/>
          <w:szCs w:val="24"/>
          <w:highlight w:val="none"/>
        </w:rPr>
        <w:t xml:space="preserve"> </w:t>
      </w:r>
      <w:r>
        <w:rPr>
          <w:rFonts w:ascii="宋体" w:hAnsi="宋体" w:eastAsia="宋体" w:cs="宋体"/>
          <w:color w:val="auto"/>
          <w:spacing w:val="-3"/>
          <w:sz w:val="24"/>
          <w:szCs w:val="24"/>
          <w:highlight w:val="none"/>
        </w:rPr>
        <w:t>由于成交人的原因拒绝与采购人签订合同的；</w:t>
      </w:r>
    </w:p>
    <w:p w14:paraId="082869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z w:val="24"/>
          <w:szCs w:val="24"/>
          <w:highlight w:val="none"/>
          <w:lang w:val="en-US" w:eastAsia="zh-CN"/>
        </w:rPr>
      </w:pPr>
      <w:r>
        <w:rPr>
          <w:rFonts w:ascii="宋体" w:hAnsi="宋体" w:eastAsia="宋体" w:cs="宋体"/>
          <w:color w:val="auto"/>
          <w:spacing w:val="-4"/>
          <w:sz w:val="24"/>
          <w:szCs w:val="24"/>
          <w:highlight w:val="none"/>
        </w:rPr>
        <w:t>⑸</w:t>
      </w:r>
      <w:r>
        <w:rPr>
          <w:rFonts w:ascii="宋体" w:hAnsi="宋体" w:eastAsia="宋体" w:cs="宋体"/>
          <w:color w:val="auto"/>
          <w:spacing w:val="44"/>
          <w:sz w:val="24"/>
          <w:szCs w:val="24"/>
          <w:highlight w:val="none"/>
        </w:rPr>
        <w:t xml:space="preserve"> </w:t>
      </w:r>
      <w:r>
        <w:rPr>
          <w:rFonts w:ascii="宋体" w:hAnsi="宋体" w:eastAsia="宋体" w:cs="宋体"/>
          <w:color w:val="auto"/>
          <w:spacing w:val="-4"/>
          <w:sz w:val="24"/>
          <w:szCs w:val="24"/>
          <w:highlight w:val="none"/>
        </w:rPr>
        <w:t>由于成交人的原因未能按照磋商文件的规定交纳履约保证金的；</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2E47F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⑹ 投标人提供虚假资料的；</w:t>
      </w:r>
    </w:p>
    <w:p w14:paraId="040150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⑺ 投标有效期内，投标人在政府采购活动中有违</w:t>
      </w:r>
      <w:r>
        <w:rPr>
          <w:rFonts w:ascii="宋体" w:hAnsi="宋体" w:eastAsia="宋体" w:cs="宋体"/>
          <w:color w:val="auto"/>
          <w:spacing w:val="-1"/>
          <w:sz w:val="24"/>
          <w:szCs w:val="24"/>
          <w:highlight w:val="none"/>
        </w:rPr>
        <w:t>法、违规、违纪行为的；</w:t>
      </w:r>
    </w:p>
    <w:p w14:paraId="320D8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⑻ 投标有效期内，投标人未按照规定程序进行质疑、投诉，或者采取其他方式</w:t>
      </w:r>
      <w:r>
        <w:rPr>
          <w:rFonts w:ascii="宋体" w:hAnsi="宋体" w:eastAsia="宋体" w:cs="宋体"/>
          <w:color w:val="auto"/>
          <w:spacing w:val="-1"/>
          <w:sz w:val="24"/>
          <w:szCs w:val="24"/>
          <w:highlight w:val="none"/>
        </w:rPr>
        <w:t>恶意诋毁采购人、采购代理机构以及其他投标人，</w:t>
      </w:r>
      <w:r>
        <w:rPr>
          <w:rFonts w:ascii="宋体" w:hAnsi="宋体" w:eastAsia="宋体" w:cs="宋体"/>
          <w:color w:val="auto"/>
          <w:spacing w:val="-2"/>
          <w:sz w:val="24"/>
          <w:szCs w:val="24"/>
          <w:highlight w:val="none"/>
        </w:rPr>
        <w:t>影响和干扰正常政府采购秩序的。</w:t>
      </w:r>
    </w:p>
    <w:p w14:paraId="09A218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五、响应文件的编制</w:t>
      </w:r>
    </w:p>
    <w:p w14:paraId="789425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5.1 响应文件应按“响应文件格式</w:t>
      </w:r>
      <w:r>
        <w:rPr>
          <w:rFonts w:ascii="宋体" w:hAnsi="宋体" w:eastAsia="宋体" w:cs="宋体"/>
          <w:color w:val="auto"/>
          <w:spacing w:val="-81"/>
          <w:sz w:val="24"/>
          <w:szCs w:val="24"/>
          <w:highlight w:val="none"/>
        </w:rPr>
        <w:t xml:space="preserve"> </w:t>
      </w:r>
      <w:r>
        <w:rPr>
          <w:rFonts w:ascii="宋体" w:hAnsi="宋体" w:eastAsia="宋体" w:cs="宋体"/>
          <w:color w:val="auto"/>
          <w:spacing w:val="-4"/>
          <w:sz w:val="24"/>
          <w:szCs w:val="24"/>
          <w:highlight w:val="none"/>
        </w:rPr>
        <w:t>”进行编写，如有必要，可以增加附页，作为</w:t>
      </w:r>
      <w:r>
        <w:rPr>
          <w:rFonts w:ascii="宋体" w:hAnsi="宋体" w:eastAsia="宋体" w:cs="宋体"/>
          <w:color w:val="auto"/>
          <w:spacing w:val="-3"/>
          <w:sz w:val="24"/>
          <w:szCs w:val="24"/>
          <w:highlight w:val="none"/>
        </w:rPr>
        <w:t>响应文件的组成部分。</w:t>
      </w:r>
    </w:p>
    <w:p w14:paraId="53C782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 响应文件要求盖章处均应加盖。</w:t>
      </w:r>
    </w:p>
    <w:p w14:paraId="5983BD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5.3 为便于评审，商务标目录宜按本磋</w:t>
      </w:r>
      <w:r>
        <w:rPr>
          <w:rFonts w:ascii="宋体" w:hAnsi="宋体" w:eastAsia="宋体" w:cs="宋体"/>
          <w:color w:val="auto"/>
          <w:spacing w:val="-2"/>
          <w:sz w:val="24"/>
          <w:szCs w:val="24"/>
          <w:highlight w:val="none"/>
        </w:rPr>
        <w:t>商文件相关内容先后顺序编排。技术标、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经济标宜按本磋商文件相关内容先后顺序编排。</w:t>
      </w:r>
    </w:p>
    <w:p w14:paraId="6A87B1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5.4 商务标应无涂改和行间插字，除非这些删改是根据采购人的指示进行的，或</w:t>
      </w:r>
      <w:r>
        <w:rPr>
          <w:rFonts w:ascii="宋体" w:hAnsi="宋体" w:eastAsia="宋体" w:cs="宋体"/>
          <w:color w:val="auto"/>
          <w:spacing w:val="-1"/>
          <w:sz w:val="24"/>
          <w:szCs w:val="24"/>
          <w:highlight w:val="none"/>
        </w:rPr>
        <w:t>者是投标人造成的必须修改的错误，修改处应加盖法定代表人章。</w:t>
      </w:r>
    </w:p>
    <w:p w14:paraId="05F2A9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六、投标人存在下列情况之一的，投标无效：</w:t>
      </w:r>
    </w:p>
    <w:p w14:paraId="19B85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 响应文件在递交截止时间后递交的；</w:t>
      </w:r>
    </w:p>
    <w:p w14:paraId="7E00BC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 响应文件未按磋商文件要求签署、盖章的；</w:t>
      </w:r>
    </w:p>
    <w:p w14:paraId="4EB7CB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 不具备磋商文件中规定的资格要求的；</w:t>
      </w:r>
    </w:p>
    <w:p w14:paraId="14ACBB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 报价超过磋商文件中规定的预算金额或者最高限价的；</w:t>
      </w:r>
    </w:p>
    <w:p w14:paraId="1ED0AE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  响应文件不完整或有附加条件的，有保留的，有涂改的，有变更的；</w:t>
      </w:r>
    </w:p>
    <w:p w14:paraId="17FF97E6">
      <w:pPr>
        <w:keepNext w:val="0"/>
        <w:keepLines w:val="0"/>
        <w:pageBreakBefore w:val="0"/>
        <w:widowControl/>
        <w:kinsoku w:val="0"/>
        <w:wordWrap/>
        <w:overflowPunct/>
        <w:topLinePunct w:val="0"/>
        <w:autoSpaceDE w:val="0"/>
        <w:autoSpaceDN w:val="0"/>
        <w:bidi w:val="0"/>
        <w:adjustRightInd w:val="0"/>
        <w:snapToGrid w:val="0"/>
        <w:spacing w:line="360" w:lineRule="auto"/>
        <w:ind w:left="539" w:leftChars="228" w:right="0" w:hanging="60" w:hangingChars="25"/>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 响应文件中有弄虚作假的内容，其响应文件作废（假证书、假业绩、隐</w:t>
      </w:r>
    </w:p>
    <w:p w14:paraId="7AD1CD9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瞒不</w:t>
      </w:r>
      <w:r>
        <w:rPr>
          <w:rFonts w:ascii="宋体" w:hAnsi="宋体" w:eastAsia="宋体" w:cs="宋体"/>
          <w:color w:val="auto"/>
          <w:spacing w:val="-5"/>
          <w:sz w:val="24"/>
          <w:szCs w:val="24"/>
          <w:highlight w:val="none"/>
        </w:rPr>
        <w:t>良行为记录、夸大荣誉</w:t>
      </w:r>
      <w:r>
        <w:rPr>
          <w:rFonts w:ascii="宋体" w:hAnsi="宋体" w:eastAsia="宋体" w:cs="宋体"/>
          <w:color w:val="auto"/>
          <w:sz w:val="24"/>
          <w:szCs w:val="24"/>
          <w:highlight w:val="none"/>
        </w:rPr>
        <w:t>）；</w:t>
      </w:r>
    </w:p>
    <w:p w14:paraId="6751FB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 法律、规定和磋商文件规定的其他无效情形。</w:t>
      </w:r>
    </w:p>
    <w:p w14:paraId="68A3A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b/>
          <w:bCs/>
          <w:color w:val="auto"/>
          <w:spacing w:val="-3"/>
          <w:sz w:val="24"/>
          <w:szCs w:val="24"/>
          <w:highlight w:val="none"/>
        </w:rPr>
      </w:pPr>
      <w:r>
        <w:rPr>
          <w:rFonts w:ascii="宋体" w:hAnsi="宋体" w:eastAsia="宋体" w:cs="宋体"/>
          <w:b/>
          <w:bCs/>
          <w:color w:val="auto"/>
          <w:spacing w:val="-3"/>
          <w:sz w:val="24"/>
          <w:szCs w:val="24"/>
          <w:highlight w:val="none"/>
        </w:rPr>
        <w:t>七、备选投标方案</w:t>
      </w:r>
    </w:p>
    <w:p w14:paraId="30075C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除投标人须知前附表另有规定外，投标人不得递</w:t>
      </w:r>
      <w:r>
        <w:rPr>
          <w:rFonts w:ascii="宋体" w:hAnsi="宋体" w:eastAsia="宋体" w:cs="宋体"/>
          <w:color w:val="auto"/>
          <w:spacing w:val="-4"/>
          <w:sz w:val="24"/>
          <w:szCs w:val="24"/>
          <w:highlight w:val="none"/>
        </w:rPr>
        <w:t>交备选投标方案。允许投标人递</w:t>
      </w:r>
      <w:r>
        <w:rPr>
          <w:rFonts w:ascii="宋体" w:hAnsi="宋体" w:eastAsia="宋体" w:cs="宋体"/>
          <w:color w:val="auto"/>
          <w:spacing w:val="-3"/>
          <w:sz w:val="24"/>
          <w:szCs w:val="24"/>
          <w:highlight w:val="none"/>
        </w:rPr>
        <w:t>交备选投标方案的，只有成交人所递交的备选投标方案方可予以考虑。磋商小组认为成交人的备选投标方案优于其按照磋商文件要求编制的投标方案的，招标人可以接受</w:t>
      </w:r>
      <w:r>
        <w:rPr>
          <w:rFonts w:ascii="宋体" w:hAnsi="宋体" w:eastAsia="宋体" w:cs="宋体"/>
          <w:color w:val="auto"/>
          <w:spacing w:val="-2"/>
          <w:sz w:val="24"/>
          <w:szCs w:val="24"/>
          <w:highlight w:val="none"/>
        </w:rPr>
        <w:t>该备选投标方案。</w:t>
      </w:r>
    </w:p>
    <w:p w14:paraId="245973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八、节能、环保产品政府采购清单</w:t>
      </w:r>
    </w:p>
    <w:p w14:paraId="6D4E13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按国家强制节能、环保标准执行。</w:t>
      </w:r>
    </w:p>
    <w:p w14:paraId="117559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九、进口产品采购</w:t>
      </w:r>
    </w:p>
    <w:p w14:paraId="3F99E7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按进口货物采购管理办法执行。</w:t>
      </w:r>
    </w:p>
    <w:p w14:paraId="7F015E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十、知识产权</w:t>
      </w:r>
    </w:p>
    <w:p w14:paraId="3DB336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7"/>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10.1</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投标人应保证在本项目使用的任何产品和服务（包括部分使用）时，不会</w:t>
      </w:r>
      <w:r>
        <w:rPr>
          <w:rFonts w:ascii="宋体" w:hAnsi="宋体" w:eastAsia="宋体" w:cs="宋体"/>
          <w:color w:val="auto"/>
          <w:spacing w:val="-2"/>
          <w:sz w:val="24"/>
          <w:szCs w:val="24"/>
          <w:highlight w:val="none"/>
        </w:rPr>
        <w:t>产生因第三方提出侵犯其专利权、商标权或其它知识产权而引起的法律和经济纠纷，</w:t>
      </w:r>
      <w:r>
        <w:rPr>
          <w:rFonts w:ascii="宋体" w:hAnsi="宋体" w:eastAsia="宋体" w:cs="宋体"/>
          <w:color w:val="auto"/>
          <w:spacing w:val="-3"/>
          <w:sz w:val="24"/>
          <w:szCs w:val="24"/>
          <w:highlight w:val="none"/>
        </w:rPr>
        <w:t>如因专利权、商标权或其它知识产权而引起法律和经济纠纷，由投标人自行承担所有</w:t>
      </w:r>
      <w:r>
        <w:rPr>
          <w:rFonts w:ascii="宋体" w:hAnsi="宋体" w:eastAsia="宋体" w:cs="宋体"/>
          <w:color w:val="auto"/>
          <w:spacing w:val="-2"/>
          <w:sz w:val="24"/>
          <w:szCs w:val="24"/>
          <w:highlight w:val="none"/>
        </w:rPr>
        <w:t>相关责任。</w:t>
      </w:r>
    </w:p>
    <w:p w14:paraId="00C3EC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10.2 采购人享有本项目实施过程中产生的知识成果及知识产权。</w:t>
      </w:r>
    </w:p>
    <w:p w14:paraId="562D59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10.3 投标人在项目实施过程中采用自有知识成果，需在响应文件中声明，</w:t>
      </w:r>
      <w:r>
        <w:rPr>
          <w:rFonts w:ascii="宋体" w:hAnsi="宋体" w:eastAsia="宋体" w:cs="宋体"/>
          <w:color w:val="auto"/>
          <w:spacing w:val="-1"/>
          <w:sz w:val="24"/>
          <w:szCs w:val="24"/>
          <w:highlight w:val="none"/>
        </w:rPr>
        <w:t>并提</w:t>
      </w:r>
      <w:r>
        <w:rPr>
          <w:rFonts w:ascii="宋体" w:hAnsi="宋体" w:eastAsia="宋体" w:cs="宋体"/>
          <w:color w:val="auto"/>
          <w:spacing w:val="-3"/>
          <w:sz w:val="24"/>
          <w:szCs w:val="24"/>
          <w:highlight w:val="none"/>
        </w:rPr>
        <w:t>供相关知识产权证明文件。使用该知识成果后，投标人需提供开发接口和开发手册等技术文档，并承诺提供无限期技术支持，采购人享有永久使用权（含采购人委托第三</w:t>
      </w:r>
      <w:r>
        <w:rPr>
          <w:rFonts w:ascii="宋体" w:hAnsi="宋体" w:eastAsia="宋体" w:cs="宋体"/>
          <w:color w:val="auto"/>
          <w:spacing w:val="-1"/>
          <w:sz w:val="24"/>
          <w:szCs w:val="24"/>
          <w:highlight w:val="none"/>
        </w:rPr>
        <w:t>方在该项目后续开发的使用权）。</w:t>
      </w:r>
    </w:p>
    <w:p w14:paraId="6359AA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10.4 如采用投标人所不拥有的知识产权，则在投标报价中必须包括合法获</w:t>
      </w:r>
      <w:r>
        <w:rPr>
          <w:rFonts w:ascii="宋体" w:hAnsi="宋体" w:eastAsia="宋体" w:cs="宋体"/>
          <w:color w:val="auto"/>
          <w:spacing w:val="-1"/>
          <w:sz w:val="24"/>
          <w:szCs w:val="24"/>
          <w:highlight w:val="none"/>
        </w:rPr>
        <w:t>取</w:t>
      </w:r>
    </w:p>
    <w:p w14:paraId="7B05F1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该</w:t>
      </w:r>
      <w:r>
        <w:rPr>
          <w:rFonts w:ascii="宋体" w:hAnsi="宋体" w:eastAsia="宋体" w:cs="宋体"/>
          <w:color w:val="auto"/>
          <w:spacing w:val="-2"/>
          <w:sz w:val="24"/>
          <w:szCs w:val="24"/>
          <w:highlight w:val="none"/>
        </w:rPr>
        <w:t>知识产权的相关费用。</w:t>
      </w:r>
    </w:p>
    <w:p w14:paraId="6ADB79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十一、响应文件的修改与撤回</w:t>
      </w:r>
    </w:p>
    <w:p w14:paraId="7D32E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11.1 在本章第二节</w:t>
      </w:r>
      <w:r>
        <w:rPr>
          <w:rFonts w:ascii="宋体" w:hAnsi="宋体" w:eastAsia="宋体" w:cs="宋体"/>
          <w:color w:val="auto"/>
          <w:spacing w:val="-44"/>
          <w:sz w:val="24"/>
          <w:szCs w:val="24"/>
          <w:highlight w:val="none"/>
        </w:rPr>
        <w:t xml:space="preserve"> </w:t>
      </w:r>
      <w:r>
        <w:rPr>
          <w:rFonts w:ascii="宋体" w:hAnsi="宋体" w:eastAsia="宋体" w:cs="宋体"/>
          <w:color w:val="auto"/>
          <w:spacing w:val="-2"/>
          <w:sz w:val="24"/>
          <w:szCs w:val="24"/>
          <w:highlight w:val="none"/>
        </w:rPr>
        <w:t>2.2 项规定的投标截止时间前，投标人可以修改或撤回已递</w:t>
      </w:r>
      <w:r>
        <w:rPr>
          <w:rFonts w:ascii="宋体" w:hAnsi="宋体" w:eastAsia="宋体" w:cs="宋体"/>
          <w:color w:val="auto"/>
          <w:spacing w:val="-3"/>
          <w:sz w:val="24"/>
          <w:szCs w:val="24"/>
          <w:highlight w:val="none"/>
        </w:rPr>
        <w:t>交的响应文件。</w:t>
      </w:r>
    </w:p>
    <w:p w14:paraId="3FBD48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11.2 投标人修改或撤回已递交响应文件的书面通知应按照要求签字或盖章。</w:t>
      </w:r>
    </w:p>
    <w:p w14:paraId="4D961F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11.3 修改的内容为响应文件的组成部分。修改的响应文件应按照本磋商文</w:t>
      </w:r>
      <w:r>
        <w:rPr>
          <w:rFonts w:ascii="宋体" w:hAnsi="宋体" w:eastAsia="宋体" w:cs="宋体"/>
          <w:color w:val="auto"/>
          <w:spacing w:val="-1"/>
          <w:sz w:val="24"/>
          <w:szCs w:val="24"/>
          <w:highlight w:val="none"/>
        </w:rPr>
        <w:t>件规</w:t>
      </w:r>
      <w:r>
        <w:rPr>
          <w:rFonts w:ascii="宋体" w:hAnsi="宋体" w:eastAsia="宋体" w:cs="宋体"/>
          <w:color w:val="auto"/>
          <w:spacing w:val="-2"/>
          <w:sz w:val="24"/>
          <w:szCs w:val="24"/>
          <w:highlight w:val="none"/>
        </w:rPr>
        <w:t>定进行编制、密封、标记和递交，并标明“修改</w:t>
      </w:r>
      <w:r>
        <w:rPr>
          <w:rFonts w:ascii="宋体" w:hAnsi="宋体" w:eastAsia="宋体" w:cs="宋体"/>
          <w:color w:val="auto"/>
          <w:spacing w:val="-87"/>
          <w:sz w:val="24"/>
          <w:szCs w:val="24"/>
          <w:highlight w:val="none"/>
        </w:rPr>
        <w:t xml:space="preserve"> </w:t>
      </w:r>
      <w:r>
        <w:rPr>
          <w:rFonts w:ascii="宋体" w:hAnsi="宋体" w:eastAsia="宋体" w:cs="宋体"/>
          <w:color w:val="auto"/>
          <w:spacing w:val="-2"/>
          <w:sz w:val="24"/>
          <w:szCs w:val="24"/>
          <w:highlight w:val="none"/>
        </w:rPr>
        <w:t>”字样。</w:t>
      </w:r>
    </w:p>
    <w:p w14:paraId="2CDCF1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b/>
          <w:bCs/>
          <w:color w:val="auto"/>
          <w:spacing w:val="-6"/>
          <w:sz w:val="24"/>
          <w:szCs w:val="24"/>
          <w:highlight w:val="none"/>
        </w:rPr>
      </w:pPr>
      <w:bookmarkStart w:id="10" w:name="_Toc19352"/>
    </w:p>
    <w:p w14:paraId="17EC8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第四节</w:t>
      </w:r>
      <w:r>
        <w:rPr>
          <w:rFonts w:ascii="宋体" w:hAnsi="宋体" w:eastAsia="宋体" w:cs="宋体"/>
          <w:color w:val="auto"/>
          <w:spacing w:val="12"/>
          <w:sz w:val="24"/>
          <w:szCs w:val="24"/>
          <w:highlight w:val="none"/>
        </w:rPr>
        <w:t xml:space="preserve"> </w:t>
      </w:r>
      <w:r>
        <w:rPr>
          <w:rFonts w:ascii="宋体" w:hAnsi="宋体" w:eastAsia="宋体" w:cs="宋体"/>
          <w:b/>
          <w:bCs/>
          <w:color w:val="auto"/>
          <w:spacing w:val="-6"/>
          <w:sz w:val="24"/>
          <w:szCs w:val="24"/>
          <w:highlight w:val="none"/>
        </w:rPr>
        <w:t>开标</w:t>
      </w:r>
      <w:bookmarkEnd w:id="10"/>
    </w:p>
    <w:p w14:paraId="41BC38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一、开标</w:t>
      </w:r>
    </w:p>
    <w:p w14:paraId="300678E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 开标在磋商文件预先确定的时间和地点公开进行，</w:t>
      </w:r>
      <w:r>
        <w:rPr>
          <w:rFonts w:ascii="宋体" w:hAnsi="宋体" w:eastAsia="宋体" w:cs="宋体"/>
          <w:color w:val="auto"/>
          <w:spacing w:val="-4"/>
          <w:sz w:val="24"/>
          <w:szCs w:val="24"/>
          <w:highlight w:val="none"/>
        </w:rPr>
        <w:t>采购人、投标人派代表参</w:t>
      </w:r>
      <w:r>
        <w:rPr>
          <w:rFonts w:ascii="宋体" w:hAnsi="宋体" w:eastAsia="宋体" w:cs="宋体"/>
          <w:color w:val="auto"/>
          <w:spacing w:val="-3"/>
          <w:sz w:val="24"/>
          <w:szCs w:val="24"/>
          <w:highlight w:val="none"/>
        </w:rPr>
        <w:t>加并签到以证明其出席。开标由采购代理机构主持，采购人、投标人代表参加，投标人未参加开标的，视同认可开标结果。评标专家不参加开标活动。投标人不足三家的</w:t>
      </w:r>
      <w:r>
        <w:rPr>
          <w:rFonts w:ascii="宋体" w:hAnsi="宋体" w:eastAsia="宋体" w:cs="宋体"/>
          <w:color w:val="auto"/>
          <w:spacing w:val="-2"/>
          <w:sz w:val="24"/>
          <w:szCs w:val="24"/>
          <w:highlight w:val="none"/>
        </w:rPr>
        <w:t>不得开标。</w:t>
      </w:r>
    </w:p>
    <w:p w14:paraId="14CC54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5"/>
          <w:sz w:val="24"/>
          <w:szCs w:val="24"/>
          <w:highlight w:val="none"/>
        </w:rPr>
      </w:pPr>
      <w:r>
        <w:rPr>
          <w:rFonts w:hint="eastAsia" w:ascii="宋体" w:hAnsi="宋体" w:eastAsia="宋体" w:cs="宋体"/>
          <w:color w:val="auto"/>
          <w:spacing w:val="-4"/>
          <w:sz w:val="24"/>
          <w:szCs w:val="24"/>
          <w:highlight w:val="none"/>
          <w:lang w:val="en-US" w:eastAsia="zh-CN"/>
        </w:rPr>
        <w:t xml:space="preserve">   </w:t>
      </w:r>
      <w:r>
        <w:rPr>
          <w:rFonts w:ascii="宋体" w:hAnsi="宋体" w:eastAsia="宋体" w:cs="宋体"/>
          <w:color w:val="auto"/>
          <w:spacing w:val="-4"/>
          <w:sz w:val="24"/>
          <w:szCs w:val="24"/>
          <w:highlight w:val="none"/>
        </w:rPr>
        <w:t>1.2 开标时，可以根据具体情况邀请有关监督管理部门对开</w:t>
      </w:r>
      <w:r>
        <w:rPr>
          <w:rFonts w:ascii="宋体" w:hAnsi="宋体" w:eastAsia="宋体" w:cs="宋体"/>
          <w:color w:val="auto"/>
          <w:spacing w:val="-5"/>
          <w:sz w:val="24"/>
          <w:szCs w:val="24"/>
          <w:highlight w:val="none"/>
        </w:rPr>
        <w:t>标活动进行现场</w:t>
      </w:r>
    </w:p>
    <w:p w14:paraId="6C10C6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监督。</w:t>
      </w:r>
    </w:p>
    <w:p w14:paraId="5204459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 开标时，投标人或者其推选的代表对开标过程和开</w:t>
      </w:r>
      <w:r>
        <w:rPr>
          <w:rFonts w:ascii="宋体" w:hAnsi="宋体" w:eastAsia="宋体" w:cs="宋体"/>
          <w:color w:val="auto"/>
          <w:spacing w:val="-4"/>
          <w:sz w:val="24"/>
          <w:szCs w:val="24"/>
          <w:highlight w:val="none"/>
        </w:rPr>
        <w:t>标记录有疑议的或认为开</w:t>
      </w:r>
      <w:r>
        <w:rPr>
          <w:rFonts w:ascii="宋体" w:hAnsi="宋体" w:eastAsia="宋体" w:cs="宋体"/>
          <w:color w:val="auto"/>
          <w:spacing w:val="-3"/>
          <w:sz w:val="24"/>
          <w:szCs w:val="24"/>
          <w:highlight w:val="none"/>
        </w:rPr>
        <w:t>标相关工作人员需要回避的，可以当场向开标主持人反映，开标现场主持人应及时予以处理。</w:t>
      </w:r>
    </w:p>
    <w:p w14:paraId="32F05B4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 开标时，响应文件报价出现前后不一致的，除磋商</w:t>
      </w:r>
      <w:r>
        <w:rPr>
          <w:rFonts w:ascii="宋体" w:hAnsi="宋体" w:eastAsia="宋体" w:cs="宋体"/>
          <w:color w:val="auto"/>
          <w:spacing w:val="-4"/>
          <w:sz w:val="24"/>
          <w:szCs w:val="24"/>
          <w:highlight w:val="none"/>
        </w:rPr>
        <w:t>文件另有规定外，按照下</w:t>
      </w:r>
      <w:r>
        <w:rPr>
          <w:rFonts w:ascii="宋体" w:hAnsi="宋体" w:eastAsia="宋体" w:cs="宋体"/>
          <w:color w:val="auto"/>
          <w:spacing w:val="-3"/>
          <w:sz w:val="24"/>
          <w:szCs w:val="24"/>
          <w:highlight w:val="none"/>
        </w:rPr>
        <w:t>列规定修正：</w:t>
      </w:r>
    </w:p>
    <w:p w14:paraId="0314D7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“投标报价</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”中的大写金额与小写金额不一</w:t>
      </w:r>
      <w:r>
        <w:rPr>
          <w:rFonts w:ascii="宋体" w:hAnsi="宋体" w:eastAsia="宋体" w:cs="宋体"/>
          <w:color w:val="auto"/>
          <w:spacing w:val="-2"/>
          <w:sz w:val="24"/>
          <w:szCs w:val="24"/>
          <w:highlight w:val="none"/>
        </w:rPr>
        <w:t>致的，以大写金额为准；</w:t>
      </w:r>
    </w:p>
    <w:p w14:paraId="10CC17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⑵ 总价金额与按单价计算的汇总金额不一致的，以单价计算</w:t>
      </w:r>
      <w:r>
        <w:rPr>
          <w:rFonts w:ascii="宋体" w:hAnsi="宋体" w:eastAsia="宋体" w:cs="宋体"/>
          <w:color w:val="auto"/>
          <w:spacing w:val="-2"/>
          <w:sz w:val="24"/>
          <w:szCs w:val="24"/>
          <w:highlight w:val="none"/>
        </w:rPr>
        <w:t>的汇总金额为准；</w:t>
      </w:r>
      <w:r>
        <w:rPr>
          <w:rFonts w:ascii="宋体" w:hAnsi="宋体" w:eastAsia="宋体" w:cs="宋体"/>
          <w:color w:val="auto"/>
          <w:sz w:val="24"/>
          <w:szCs w:val="24"/>
          <w:highlight w:val="none"/>
        </w:rPr>
        <w:t xml:space="preserve"> </w:t>
      </w:r>
    </w:p>
    <w:p w14:paraId="565E75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⑶ 单价金额有明显小数点错误的，以总价为准，并修改单价；</w:t>
      </w:r>
    </w:p>
    <w:p w14:paraId="369A7D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⑷ 对不同文字文本响应文件的解释发生异</w:t>
      </w:r>
      <w:r>
        <w:rPr>
          <w:rFonts w:ascii="宋体" w:hAnsi="宋体" w:eastAsia="宋体" w:cs="宋体"/>
          <w:color w:val="auto"/>
          <w:spacing w:val="-1"/>
          <w:sz w:val="24"/>
          <w:szCs w:val="24"/>
          <w:highlight w:val="none"/>
        </w:rPr>
        <w:t>议的，以中文文本为准；</w:t>
      </w:r>
    </w:p>
    <w:p w14:paraId="39A15B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⑸</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同时出现两种以上不一致的，按照前款规定的顺序修正。修正后的报价须经</w:t>
      </w:r>
      <w:r>
        <w:rPr>
          <w:rFonts w:ascii="宋体" w:hAnsi="宋体" w:eastAsia="宋体" w:cs="宋体"/>
          <w:color w:val="auto"/>
          <w:sz w:val="24"/>
          <w:szCs w:val="24"/>
          <w:highlight w:val="none"/>
        </w:rPr>
        <w:t>授权委托代理人签字并加盖公章后产生约束力，投标人不</w:t>
      </w:r>
      <w:r>
        <w:rPr>
          <w:rFonts w:ascii="宋体" w:hAnsi="宋体" w:eastAsia="宋体" w:cs="宋体"/>
          <w:color w:val="auto"/>
          <w:spacing w:val="-1"/>
          <w:sz w:val="24"/>
          <w:szCs w:val="24"/>
          <w:highlight w:val="none"/>
        </w:rPr>
        <w:t>确认的，其投标无效。</w:t>
      </w:r>
    </w:p>
    <w:p w14:paraId="1EB9B5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1.5 响应文件中有关明细表内容与“开标一览表</w:t>
      </w:r>
      <w:r>
        <w:rPr>
          <w:rFonts w:ascii="宋体" w:hAnsi="宋体" w:eastAsia="宋体" w:cs="宋体"/>
          <w:color w:val="auto"/>
          <w:spacing w:val="-85"/>
          <w:sz w:val="24"/>
          <w:szCs w:val="24"/>
          <w:highlight w:val="none"/>
        </w:rPr>
        <w:t xml:space="preserve"> </w:t>
      </w:r>
      <w:r>
        <w:rPr>
          <w:rFonts w:ascii="宋体" w:hAnsi="宋体" w:eastAsia="宋体" w:cs="宋体"/>
          <w:color w:val="auto"/>
          <w:spacing w:val="-2"/>
          <w:sz w:val="24"/>
          <w:szCs w:val="24"/>
          <w:highlight w:val="none"/>
        </w:rPr>
        <w:t>”不一致的，以“开标一览表</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为准。对不同文字文本响应文件的解释发生异议的，以中文文本为准。</w:t>
      </w:r>
    </w:p>
    <w:p w14:paraId="273470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1.6 开标时属于下列情况之一的，视为无效投标:</w:t>
      </w:r>
    </w:p>
    <w:p w14:paraId="7D0C2DBF">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⑴ 单独提交的“投标报价</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”未按格式要求签字、盖章，或提供</w:t>
      </w:r>
      <w:r>
        <w:rPr>
          <w:rFonts w:ascii="宋体" w:hAnsi="宋体" w:eastAsia="宋体" w:cs="宋体"/>
          <w:color w:val="auto"/>
          <w:spacing w:val="-4"/>
          <w:sz w:val="24"/>
          <w:szCs w:val="24"/>
          <w:highlight w:val="none"/>
        </w:rPr>
        <w:t>复印件的；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⑵ 没有提供“投标报价</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”或“投标报价</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”非原</w:t>
      </w:r>
      <w:r>
        <w:rPr>
          <w:rFonts w:ascii="宋体" w:hAnsi="宋体" w:eastAsia="宋体" w:cs="宋体"/>
          <w:color w:val="auto"/>
          <w:spacing w:val="-4"/>
          <w:sz w:val="24"/>
          <w:szCs w:val="24"/>
          <w:highlight w:val="none"/>
        </w:rPr>
        <w:t>件的。</w:t>
      </w:r>
    </w:p>
    <w:p w14:paraId="70BA7B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二、开标程序</w:t>
      </w:r>
    </w:p>
    <w:p w14:paraId="117486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w:t>
      </w:r>
      <w:r>
        <w:rPr>
          <w:rFonts w:ascii="宋体" w:hAnsi="宋体" w:eastAsia="宋体" w:cs="宋体"/>
          <w:color w:val="auto"/>
          <w:spacing w:val="-35"/>
          <w:sz w:val="24"/>
          <w:szCs w:val="24"/>
          <w:highlight w:val="none"/>
        </w:rPr>
        <w:t xml:space="preserve"> </w:t>
      </w:r>
      <w:r>
        <w:rPr>
          <w:rFonts w:ascii="宋体" w:hAnsi="宋体" w:eastAsia="宋体" w:cs="宋体"/>
          <w:color w:val="auto"/>
          <w:spacing w:val="-2"/>
          <w:sz w:val="24"/>
          <w:szCs w:val="24"/>
          <w:highlight w:val="none"/>
        </w:rPr>
        <w:t>开标会主持人按照磋商文件规定的开标时间宣布开标，按照规定要求主持开</w:t>
      </w:r>
      <w:r>
        <w:rPr>
          <w:rFonts w:ascii="宋体" w:hAnsi="宋体" w:eastAsia="宋体" w:cs="宋体"/>
          <w:color w:val="auto"/>
          <w:spacing w:val="-1"/>
          <w:sz w:val="24"/>
          <w:szCs w:val="24"/>
          <w:highlight w:val="none"/>
        </w:rPr>
        <w:t>标会。开标将按以下程序进行：</w:t>
      </w:r>
    </w:p>
    <w:p w14:paraId="7B96DF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宣布开标会开始，宣布开标纪律；</w:t>
      </w:r>
    </w:p>
    <w:p w14:paraId="3CA05B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ascii="宋体" w:hAnsi="宋体" w:eastAsia="宋体" w:cs="宋体"/>
          <w:color w:val="auto"/>
          <w:spacing w:val="-3"/>
          <w:sz w:val="24"/>
          <w:szCs w:val="24"/>
          <w:highlight w:val="none"/>
        </w:rPr>
      </w:pPr>
      <w:r>
        <w:rPr>
          <w:rFonts w:ascii="宋体" w:hAnsi="宋体" w:eastAsia="宋体" w:cs="宋体"/>
          <w:color w:val="auto"/>
          <w:sz w:val="24"/>
          <w:szCs w:val="24"/>
          <w:highlight w:val="none"/>
        </w:rPr>
        <w:t>⑵ 根据“投标单位签到表</w:t>
      </w:r>
      <w:r>
        <w:rPr>
          <w:rFonts w:ascii="宋体" w:hAnsi="宋体" w:eastAsia="宋体" w:cs="宋体"/>
          <w:color w:val="auto"/>
          <w:spacing w:val="-88"/>
          <w:sz w:val="24"/>
          <w:szCs w:val="24"/>
          <w:highlight w:val="none"/>
        </w:rPr>
        <w:t xml:space="preserve"> </w:t>
      </w:r>
      <w:r>
        <w:rPr>
          <w:rFonts w:ascii="宋体" w:hAnsi="宋体" w:eastAsia="宋体" w:cs="宋体"/>
          <w:color w:val="auto"/>
          <w:sz w:val="24"/>
          <w:szCs w:val="24"/>
          <w:highlight w:val="none"/>
        </w:rPr>
        <w:t>”宣布参加投标</w:t>
      </w:r>
      <w:r>
        <w:rPr>
          <w:rFonts w:ascii="宋体" w:hAnsi="宋体" w:eastAsia="宋体" w:cs="宋体"/>
          <w:color w:val="auto"/>
          <w:spacing w:val="-1"/>
          <w:sz w:val="24"/>
          <w:szCs w:val="24"/>
          <w:highlight w:val="none"/>
        </w:rPr>
        <w:t>的供应商名单</w:t>
      </w:r>
      <w:r>
        <w:rPr>
          <w:rFonts w:ascii="宋体" w:hAnsi="宋体" w:eastAsia="宋体" w:cs="宋体"/>
          <w:color w:val="auto"/>
          <w:spacing w:val="-3"/>
          <w:sz w:val="24"/>
          <w:szCs w:val="24"/>
          <w:highlight w:val="none"/>
        </w:rPr>
        <w:t>；</w:t>
      </w:r>
    </w:p>
    <w:p w14:paraId="41443F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当众宣布参加开标会主持人、会议记录人以及根据情况邀请的现场监督人等</w:t>
      </w:r>
      <w:r>
        <w:rPr>
          <w:rFonts w:ascii="宋体" w:hAnsi="宋体" w:eastAsia="宋体" w:cs="宋体"/>
          <w:color w:val="auto"/>
          <w:spacing w:val="-3"/>
          <w:sz w:val="24"/>
          <w:szCs w:val="24"/>
          <w:highlight w:val="none"/>
        </w:rPr>
        <w:t>工作人员；</w:t>
      </w:r>
    </w:p>
    <w:p w14:paraId="23B127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⑷</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由投标人或者其推选的代表检查响应文件的密封情况，经监督代表及投标人确认无误后，由采购代理机构工作人员宣布公开拆标；</w:t>
      </w:r>
    </w:p>
    <w:p w14:paraId="1E754E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⑸</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开标。</w:t>
      </w:r>
    </w:p>
    <w:p w14:paraId="7A1F57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主持人宣布开标后，由现场工作人员按任意顺序对投标人的“开标一览表</w:t>
      </w:r>
      <w:r>
        <w:rPr>
          <w:rFonts w:ascii="宋体" w:hAnsi="宋体" w:eastAsia="宋体" w:cs="宋体"/>
          <w:color w:val="auto"/>
          <w:spacing w:val="-86"/>
          <w:sz w:val="24"/>
          <w:szCs w:val="24"/>
          <w:highlight w:val="none"/>
        </w:rPr>
        <w:t xml:space="preserve"> </w:t>
      </w:r>
      <w:r>
        <w:rPr>
          <w:rFonts w:ascii="宋体" w:hAnsi="宋体" w:eastAsia="宋体" w:cs="宋体"/>
          <w:color w:val="auto"/>
          <w:spacing w:val="-4"/>
          <w:sz w:val="24"/>
          <w:szCs w:val="24"/>
          <w:highlight w:val="none"/>
        </w:rPr>
        <w:t>”当众</w:t>
      </w:r>
      <w:r>
        <w:rPr>
          <w:rFonts w:ascii="宋体" w:hAnsi="宋体" w:eastAsia="宋体" w:cs="宋体"/>
          <w:color w:val="auto"/>
          <w:spacing w:val="-3"/>
          <w:sz w:val="24"/>
          <w:szCs w:val="24"/>
          <w:highlight w:val="none"/>
        </w:rPr>
        <w:t>进行拆封，由唱标人员宣读投标人名称、、或磋商文件允许提供的备选投标方案和响</w:t>
      </w:r>
      <w:r>
        <w:rPr>
          <w:rFonts w:ascii="宋体" w:hAnsi="宋体" w:eastAsia="宋体" w:cs="宋体"/>
          <w:color w:val="auto"/>
          <w:spacing w:val="8"/>
          <w:sz w:val="24"/>
          <w:szCs w:val="24"/>
          <w:highlight w:val="none"/>
        </w:rPr>
        <w:t xml:space="preserve"> </w:t>
      </w:r>
      <w:r>
        <w:rPr>
          <w:rFonts w:ascii="宋体" w:hAnsi="宋体" w:eastAsia="宋体" w:cs="宋体"/>
          <w:color w:val="auto"/>
          <w:spacing w:val="-1"/>
          <w:sz w:val="24"/>
          <w:szCs w:val="24"/>
          <w:highlight w:val="none"/>
        </w:rPr>
        <w:t>应文件的其他主要内容，且不得干扰、阻挠开标、评标工作；</w:t>
      </w:r>
    </w:p>
    <w:p w14:paraId="12CF36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⑹ 投标人不足</w:t>
      </w:r>
      <w:r>
        <w:rPr>
          <w:rFonts w:ascii="宋体" w:hAnsi="宋体" w:eastAsia="宋体" w:cs="宋体"/>
          <w:color w:val="auto"/>
          <w:spacing w:val="-34"/>
          <w:sz w:val="24"/>
          <w:szCs w:val="24"/>
          <w:highlight w:val="none"/>
        </w:rPr>
        <w:t xml:space="preserve"> </w:t>
      </w:r>
      <w:r>
        <w:rPr>
          <w:rFonts w:ascii="宋体" w:hAnsi="宋体" w:eastAsia="宋体" w:cs="宋体"/>
          <w:color w:val="auto"/>
          <w:spacing w:val="-3"/>
          <w:sz w:val="24"/>
          <w:szCs w:val="24"/>
          <w:highlight w:val="none"/>
        </w:rPr>
        <w:t>3</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家的，不得开标；</w:t>
      </w:r>
    </w:p>
    <w:p w14:paraId="01A467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pacing w:val="13"/>
          <w:sz w:val="24"/>
          <w:szCs w:val="24"/>
          <w:highlight w:val="none"/>
        </w:rPr>
      </w:pPr>
      <w:r>
        <w:rPr>
          <w:rFonts w:ascii="宋体" w:hAnsi="宋体" w:eastAsia="宋体" w:cs="宋体"/>
          <w:color w:val="auto"/>
          <w:spacing w:val="-5"/>
          <w:sz w:val="24"/>
          <w:szCs w:val="24"/>
          <w:highlight w:val="none"/>
        </w:rPr>
        <w:t>⑺ 磋商小组成员不得参加开标活动；</w:t>
      </w:r>
      <w:r>
        <w:rPr>
          <w:rFonts w:ascii="宋体" w:hAnsi="宋体" w:eastAsia="宋体" w:cs="宋体"/>
          <w:color w:val="auto"/>
          <w:spacing w:val="13"/>
          <w:sz w:val="24"/>
          <w:szCs w:val="24"/>
          <w:highlight w:val="none"/>
        </w:rPr>
        <w:t xml:space="preserve"> </w:t>
      </w:r>
    </w:p>
    <w:p w14:paraId="610B3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⑻ 宣布开标会结束。</w:t>
      </w:r>
    </w:p>
    <w:p w14:paraId="7A7F49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2.2</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主持人宣布开标会结束。所有投标人代表应立即退场（磋商文件要求有演示、</w:t>
      </w:r>
      <w:r>
        <w:rPr>
          <w:rFonts w:ascii="宋体" w:hAnsi="宋体" w:eastAsia="宋体" w:cs="宋体"/>
          <w:color w:val="auto"/>
          <w:spacing w:val="-3"/>
          <w:sz w:val="24"/>
          <w:szCs w:val="24"/>
          <w:highlight w:val="none"/>
        </w:rPr>
        <w:t>介绍等的除外）。同时所有投标人应保持通讯设备的畅通，以方便在评标过程中磋商</w:t>
      </w:r>
      <w:r>
        <w:rPr>
          <w:rFonts w:ascii="宋体" w:hAnsi="宋体" w:eastAsia="宋体" w:cs="宋体"/>
          <w:color w:val="auto"/>
          <w:spacing w:val="-1"/>
          <w:sz w:val="24"/>
          <w:szCs w:val="24"/>
          <w:highlight w:val="none"/>
        </w:rPr>
        <w:t>小组要求投标人对响应文件的必要澄清、说明和纠正；</w:t>
      </w:r>
    </w:p>
    <w:p w14:paraId="37140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投标人在规定的时间内提交有效的二次（最终）报价单。</w:t>
      </w:r>
    </w:p>
    <w:p w14:paraId="0264E7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三、开标、评标过程存档</w:t>
      </w:r>
    </w:p>
    <w:p w14:paraId="4ECC80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color w:val="auto"/>
          <w:highlight w:val="none"/>
        </w:rPr>
      </w:pPr>
      <w:r>
        <w:rPr>
          <w:rFonts w:ascii="宋体" w:hAnsi="宋体" w:eastAsia="宋体" w:cs="宋体"/>
          <w:color w:val="auto"/>
          <w:sz w:val="24"/>
          <w:szCs w:val="24"/>
          <w:highlight w:val="none"/>
        </w:rPr>
        <w:t>开标和评标过程进行全过程电子监控，并将电子监</w:t>
      </w:r>
      <w:r>
        <w:rPr>
          <w:rFonts w:ascii="宋体" w:hAnsi="宋体" w:eastAsia="宋体" w:cs="宋体"/>
          <w:color w:val="auto"/>
          <w:spacing w:val="-1"/>
          <w:sz w:val="24"/>
          <w:szCs w:val="24"/>
          <w:highlight w:val="none"/>
        </w:rPr>
        <w:t>控资料存储介质留存归档。</w:t>
      </w:r>
    </w:p>
    <w:p w14:paraId="5AAE06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color w:val="auto"/>
          <w:highlight w:val="none"/>
        </w:rPr>
      </w:pPr>
      <w:bookmarkStart w:id="11" w:name="_Toc13251"/>
      <w:r>
        <w:rPr>
          <w:rFonts w:ascii="宋体" w:hAnsi="宋体" w:eastAsia="宋体" w:cs="宋体"/>
          <w:b/>
          <w:bCs/>
          <w:color w:val="auto"/>
          <w:spacing w:val="-3"/>
          <w:sz w:val="24"/>
          <w:szCs w:val="24"/>
          <w:highlight w:val="none"/>
        </w:rPr>
        <w:t>第五节</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合同授予</w:t>
      </w:r>
      <w:bookmarkEnd w:id="11"/>
    </w:p>
    <w:p w14:paraId="5F822E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一、成交程序</w:t>
      </w:r>
    </w:p>
    <w:p w14:paraId="764663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1.1</w:t>
      </w:r>
      <w:r>
        <w:rPr>
          <w:rFonts w:ascii="宋体" w:hAnsi="宋体" w:eastAsia="宋体" w:cs="宋体"/>
          <w:color w:val="auto"/>
          <w:spacing w:val="-47"/>
          <w:sz w:val="24"/>
          <w:szCs w:val="24"/>
          <w:highlight w:val="none"/>
        </w:rPr>
        <w:t xml:space="preserve"> </w:t>
      </w:r>
      <w:r>
        <w:rPr>
          <w:rFonts w:ascii="宋体" w:hAnsi="宋体" w:eastAsia="宋体" w:cs="宋体"/>
          <w:color w:val="auto"/>
          <w:spacing w:val="-7"/>
          <w:sz w:val="24"/>
          <w:szCs w:val="24"/>
          <w:highlight w:val="none"/>
        </w:rPr>
        <w:t>磋商小组根据评审方法的规定对供应商进行评审排序，推荐</w:t>
      </w:r>
      <w:r>
        <w:rPr>
          <w:rFonts w:ascii="宋体" w:hAnsi="宋体" w:eastAsia="宋体" w:cs="宋体"/>
          <w:color w:val="auto"/>
          <w:spacing w:val="-55"/>
          <w:sz w:val="24"/>
          <w:szCs w:val="24"/>
          <w:highlight w:val="none"/>
        </w:rPr>
        <w:t xml:space="preserve"> </w:t>
      </w:r>
      <w:r>
        <w:rPr>
          <w:rFonts w:ascii="宋体" w:hAnsi="宋体" w:eastAsia="宋体" w:cs="宋体"/>
          <w:color w:val="auto"/>
          <w:spacing w:val="-7"/>
          <w:sz w:val="24"/>
          <w:szCs w:val="24"/>
          <w:highlight w:val="none"/>
        </w:rPr>
        <w:t>3</w:t>
      </w:r>
      <w:r>
        <w:rPr>
          <w:rFonts w:ascii="宋体" w:hAnsi="宋体" w:eastAsia="宋体" w:cs="宋体"/>
          <w:color w:val="auto"/>
          <w:spacing w:val="-60"/>
          <w:sz w:val="24"/>
          <w:szCs w:val="24"/>
          <w:highlight w:val="none"/>
        </w:rPr>
        <w:t xml:space="preserve"> </w:t>
      </w:r>
      <w:r>
        <w:rPr>
          <w:rFonts w:ascii="宋体" w:hAnsi="宋体" w:eastAsia="宋体" w:cs="宋体"/>
          <w:color w:val="auto"/>
          <w:spacing w:val="-7"/>
          <w:sz w:val="24"/>
          <w:szCs w:val="24"/>
          <w:highlight w:val="none"/>
        </w:rPr>
        <w:t>名成交候选人，</w:t>
      </w:r>
      <w:r>
        <w:rPr>
          <w:rFonts w:ascii="宋体" w:hAnsi="宋体" w:eastAsia="宋体" w:cs="宋体"/>
          <w:color w:val="auto"/>
          <w:spacing w:val="-1"/>
          <w:sz w:val="24"/>
          <w:szCs w:val="24"/>
          <w:highlight w:val="none"/>
        </w:rPr>
        <w:t>作为评审结果。评审结果由全体磋商小组成员签字确认。</w:t>
      </w:r>
    </w:p>
    <w:p w14:paraId="2A955C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1.2</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采购人根据磋商报告中推荐的成交候选人排列顺序，确定排名第一的成交候</w:t>
      </w:r>
      <w:r>
        <w:rPr>
          <w:rFonts w:ascii="宋体" w:hAnsi="宋体" w:eastAsia="宋体" w:cs="宋体"/>
          <w:color w:val="auto"/>
          <w:spacing w:val="-1"/>
          <w:sz w:val="24"/>
          <w:szCs w:val="24"/>
          <w:highlight w:val="none"/>
        </w:rPr>
        <w:t>选人为成交供应商。</w:t>
      </w:r>
    </w:p>
    <w:p w14:paraId="51F4F0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textAlignment w:val="baseline"/>
        <w:rPr>
          <w:rFonts w:ascii="宋体" w:hAnsi="宋体" w:eastAsia="宋体" w:cs="宋体"/>
          <w:color w:val="auto"/>
          <w:sz w:val="24"/>
          <w:szCs w:val="24"/>
          <w:highlight w:val="none"/>
        </w:rPr>
        <w:sectPr>
          <w:footerReference r:id="rId12" w:type="default"/>
          <w:pgSz w:w="11906" w:h="16839"/>
          <w:pgMar w:top="1440" w:right="1800" w:bottom="1440" w:left="1800" w:header="0" w:footer="973" w:gutter="0"/>
          <w:pgNumType w:fmt="decimal"/>
          <w:cols w:space="720" w:num="1"/>
        </w:sectPr>
      </w:pPr>
      <w:r>
        <w:rPr>
          <w:rFonts w:ascii="宋体" w:hAnsi="宋体" w:eastAsia="宋体" w:cs="宋体"/>
          <w:color w:val="auto"/>
          <w:spacing w:val="-2"/>
          <w:sz w:val="24"/>
          <w:szCs w:val="24"/>
          <w:highlight w:val="none"/>
        </w:rPr>
        <w:t>1.3</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排名第一的成交候选人放弃成交、在规定期限内未能签订合同、因不可抗力</w:t>
      </w:r>
      <w:r>
        <w:rPr>
          <w:rFonts w:ascii="宋体" w:hAnsi="宋体" w:eastAsia="宋体" w:cs="宋体"/>
          <w:color w:val="auto"/>
          <w:spacing w:val="-3"/>
          <w:sz w:val="24"/>
          <w:szCs w:val="24"/>
          <w:highlight w:val="none"/>
        </w:rPr>
        <w:t>不能履行合同、不按照竞争性磋商文件要求提交履约保证金，或者被查实存在影响成交结果的违法行为等情形，不符合成交条件的，采购人可以按照磋商小组提出的成交</w:t>
      </w:r>
      <w:r>
        <w:rPr>
          <w:rFonts w:ascii="宋体" w:hAnsi="宋体" w:eastAsia="宋体" w:cs="宋体"/>
          <w:color w:val="auto"/>
          <w:spacing w:val="-4"/>
          <w:sz w:val="24"/>
          <w:szCs w:val="24"/>
          <w:highlight w:val="none"/>
        </w:rPr>
        <w:t>候选人名单排序依次确定其他成交候选人为成交供应商，也可以重新组织竞争性磋商。</w:t>
      </w:r>
    </w:p>
    <w:p w14:paraId="15EFC2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w:t>
      </w:r>
      <w:r>
        <w:rPr>
          <w:rFonts w:ascii="宋体" w:hAnsi="宋体" w:eastAsia="宋体" w:cs="宋体"/>
          <w:color w:val="auto"/>
          <w:spacing w:val="-52"/>
          <w:sz w:val="24"/>
          <w:szCs w:val="24"/>
          <w:highlight w:val="none"/>
        </w:rPr>
        <w:t xml:space="preserve"> </w:t>
      </w:r>
      <w:r>
        <w:rPr>
          <w:rFonts w:ascii="宋体" w:hAnsi="宋体" w:eastAsia="宋体" w:cs="宋体"/>
          <w:color w:val="auto"/>
          <w:spacing w:val="-1"/>
          <w:sz w:val="24"/>
          <w:szCs w:val="24"/>
          <w:highlight w:val="none"/>
        </w:rPr>
        <w:t>采购人也可以授权磋商小组评审后直</w:t>
      </w:r>
      <w:r>
        <w:rPr>
          <w:rFonts w:ascii="宋体" w:hAnsi="宋体" w:eastAsia="宋体" w:cs="宋体"/>
          <w:color w:val="auto"/>
          <w:spacing w:val="-2"/>
          <w:sz w:val="24"/>
          <w:szCs w:val="24"/>
          <w:highlight w:val="none"/>
        </w:rPr>
        <w:t>接确定成交供应商。</w:t>
      </w:r>
    </w:p>
    <w:p w14:paraId="0D487C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1.5</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成交供应商确定之后，成交结果将在财政部门指定的政府采购信息发布</w:t>
      </w:r>
      <w:r>
        <w:rPr>
          <w:rFonts w:ascii="宋体" w:hAnsi="宋体" w:eastAsia="宋体" w:cs="宋体"/>
          <w:color w:val="auto"/>
          <w:spacing w:val="-3"/>
          <w:sz w:val="24"/>
          <w:szCs w:val="24"/>
          <w:highlight w:val="none"/>
        </w:rPr>
        <w:t>媒体上公告。</w:t>
      </w:r>
    </w:p>
    <w:p w14:paraId="1DB33F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供应商或者其他利害关系人对评审结果有异议的，应当在法律规定的时间内</w:t>
      </w:r>
      <w:r>
        <w:rPr>
          <w:rFonts w:ascii="宋体" w:hAnsi="宋体" w:eastAsia="宋体" w:cs="宋体"/>
          <w:color w:val="auto"/>
          <w:spacing w:val="-4"/>
          <w:sz w:val="24"/>
          <w:szCs w:val="24"/>
          <w:highlight w:val="none"/>
        </w:rPr>
        <w:t>提出。</w:t>
      </w:r>
    </w:p>
    <w:p w14:paraId="496BBD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二、成交与落标通知</w:t>
      </w:r>
    </w:p>
    <w:p w14:paraId="3F74FE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采购代理机构向成交供应商发出《成交通知书》。</w:t>
      </w:r>
    </w:p>
    <w:p w14:paraId="3AA7CD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2.2</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成交通知书对采购人和成交供应商具有同等法律效力。成交通知</w:t>
      </w:r>
      <w:r>
        <w:rPr>
          <w:rFonts w:ascii="宋体" w:hAnsi="宋体" w:eastAsia="宋体" w:cs="宋体"/>
          <w:color w:val="auto"/>
          <w:spacing w:val="-4"/>
          <w:sz w:val="24"/>
          <w:szCs w:val="24"/>
          <w:highlight w:val="none"/>
        </w:rPr>
        <w:t>书发出之后，</w:t>
      </w:r>
      <w:r>
        <w:rPr>
          <w:rFonts w:ascii="宋体" w:hAnsi="宋体" w:eastAsia="宋体" w:cs="宋体"/>
          <w:color w:val="auto"/>
          <w:sz w:val="24"/>
          <w:szCs w:val="24"/>
          <w:highlight w:val="none"/>
        </w:rPr>
        <w:t>采购人改变成交结果，或者成交供应商放弃成交，应当</w:t>
      </w:r>
      <w:r>
        <w:rPr>
          <w:rFonts w:ascii="宋体" w:hAnsi="宋体" w:eastAsia="宋体" w:cs="宋体"/>
          <w:color w:val="auto"/>
          <w:spacing w:val="-1"/>
          <w:sz w:val="24"/>
          <w:szCs w:val="24"/>
          <w:highlight w:val="none"/>
        </w:rPr>
        <w:t>承担相应的法律责任。</w:t>
      </w:r>
    </w:p>
    <w:p w14:paraId="622D7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三、成交合同的签订</w:t>
      </w:r>
    </w:p>
    <w:p w14:paraId="287BC4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采购人应当自成交通知书发出之日起三十日内，按照竞争性磋商文件和成交</w:t>
      </w:r>
      <w:r>
        <w:rPr>
          <w:rFonts w:ascii="宋体" w:hAnsi="宋体" w:eastAsia="宋体" w:cs="宋体"/>
          <w:color w:val="auto"/>
          <w:spacing w:val="-3"/>
          <w:sz w:val="24"/>
          <w:szCs w:val="24"/>
          <w:highlight w:val="none"/>
        </w:rPr>
        <w:t>供应商竞争性磋商响应文件（包括评审中形成的澄清文件）的约定，与成交供应商签订书面合同。所签订的合同不得对竞争性磋商文件和成交供应商的竞争性磋商响应文</w:t>
      </w:r>
      <w:r>
        <w:rPr>
          <w:rFonts w:ascii="宋体" w:hAnsi="宋体" w:eastAsia="宋体" w:cs="宋体"/>
          <w:color w:val="auto"/>
          <w:spacing w:val="-1"/>
          <w:sz w:val="24"/>
          <w:szCs w:val="24"/>
          <w:highlight w:val="none"/>
        </w:rPr>
        <w:t>件（包括评审中形成的澄清文件）作实质性修改。</w:t>
      </w:r>
    </w:p>
    <w:p w14:paraId="74CCCD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textAlignment w:val="baseline"/>
        <w:rPr>
          <w:color w:val="auto"/>
          <w:highlight w:val="none"/>
        </w:rPr>
      </w:pPr>
      <w:r>
        <w:rPr>
          <w:rFonts w:ascii="宋体" w:hAnsi="宋体" w:eastAsia="宋体" w:cs="宋体"/>
          <w:color w:val="auto"/>
          <w:spacing w:val="-2"/>
          <w:sz w:val="24"/>
          <w:szCs w:val="24"/>
          <w:highlight w:val="none"/>
        </w:rPr>
        <w:t>3.2</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采购人自采购合同签订之日起七个工作日内，将采购合同副本报同级人民政府财政部门备案。</w:t>
      </w:r>
    </w:p>
    <w:p w14:paraId="51B7AF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color w:val="auto"/>
          <w:highlight w:val="none"/>
        </w:rPr>
      </w:pPr>
      <w:bookmarkStart w:id="12" w:name="_Toc21228"/>
      <w:r>
        <w:rPr>
          <w:rFonts w:ascii="宋体" w:hAnsi="宋体" w:eastAsia="宋体" w:cs="宋体"/>
          <w:b/>
          <w:bCs/>
          <w:color w:val="auto"/>
          <w:spacing w:val="-3"/>
          <w:sz w:val="24"/>
          <w:szCs w:val="24"/>
          <w:highlight w:val="none"/>
        </w:rPr>
        <w:t>第六节</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重新招标和不再招标</w:t>
      </w:r>
      <w:bookmarkEnd w:id="12"/>
    </w:p>
    <w:p w14:paraId="04C14C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一、重新招标</w:t>
      </w:r>
    </w:p>
    <w:p w14:paraId="2B609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有下列情形之一的，招标人将重新招标：</w:t>
      </w:r>
    </w:p>
    <w:p w14:paraId="1E4CCC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⑴ 投标截止时间止，投标人少于</w:t>
      </w:r>
      <w:r>
        <w:rPr>
          <w:rFonts w:ascii="宋体" w:hAnsi="宋体" w:eastAsia="宋体" w:cs="宋体"/>
          <w:color w:val="auto"/>
          <w:spacing w:val="-31"/>
          <w:sz w:val="24"/>
          <w:szCs w:val="24"/>
          <w:highlight w:val="none"/>
        </w:rPr>
        <w:t xml:space="preserve"> </w:t>
      </w:r>
      <w:r>
        <w:rPr>
          <w:rFonts w:ascii="宋体" w:hAnsi="宋体" w:eastAsia="宋体" w:cs="宋体"/>
          <w:color w:val="auto"/>
          <w:spacing w:val="-2"/>
          <w:sz w:val="24"/>
          <w:szCs w:val="24"/>
          <w:highlight w:val="none"/>
        </w:rPr>
        <w:t>3 个的；</w:t>
      </w:r>
    </w:p>
    <w:p w14:paraId="244D08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⑵ 经磋商小组评审后否决所有投标的或满足资格有效投标人不</w:t>
      </w:r>
      <w:r>
        <w:rPr>
          <w:rFonts w:ascii="宋体" w:hAnsi="宋体" w:eastAsia="宋体" w:cs="宋体"/>
          <w:color w:val="auto"/>
          <w:spacing w:val="-2"/>
          <w:sz w:val="24"/>
          <w:szCs w:val="24"/>
          <w:highlight w:val="none"/>
        </w:rPr>
        <w:t>足</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3</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rPr>
        <w:t>家。</w:t>
      </w:r>
    </w:p>
    <w:p w14:paraId="27EBDC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二、不再招标</w:t>
      </w:r>
    </w:p>
    <w:p w14:paraId="0E125C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color w:val="auto"/>
          <w:highlight w:val="none"/>
        </w:rPr>
      </w:pPr>
      <w:r>
        <w:rPr>
          <w:rFonts w:ascii="宋体" w:hAnsi="宋体" w:eastAsia="宋体" w:cs="宋体"/>
          <w:color w:val="auto"/>
          <w:spacing w:val="2"/>
          <w:sz w:val="24"/>
          <w:szCs w:val="24"/>
          <w:highlight w:val="none"/>
        </w:rPr>
        <w:t>重新招标后投标人仍少于</w:t>
      </w:r>
      <w:r>
        <w:rPr>
          <w:rFonts w:ascii="宋体" w:hAnsi="宋体" w:eastAsia="宋体" w:cs="宋体"/>
          <w:color w:val="auto"/>
          <w:spacing w:val="-44"/>
          <w:sz w:val="24"/>
          <w:szCs w:val="24"/>
          <w:highlight w:val="none"/>
        </w:rPr>
        <w:t xml:space="preserve"> </w:t>
      </w:r>
      <w:r>
        <w:rPr>
          <w:rFonts w:ascii="宋体" w:hAnsi="宋体" w:eastAsia="宋体" w:cs="宋体"/>
          <w:color w:val="auto"/>
          <w:spacing w:val="2"/>
          <w:sz w:val="24"/>
          <w:szCs w:val="24"/>
          <w:highlight w:val="none"/>
        </w:rPr>
        <w:t>3 个或者所有投标被否决</w:t>
      </w:r>
      <w:r>
        <w:rPr>
          <w:rFonts w:ascii="宋体" w:hAnsi="宋体" w:eastAsia="宋体" w:cs="宋体"/>
          <w:color w:val="auto"/>
          <w:spacing w:val="1"/>
          <w:sz w:val="24"/>
          <w:szCs w:val="24"/>
          <w:highlight w:val="none"/>
        </w:rPr>
        <w:t>的，属于必须审批或核准的</w:t>
      </w:r>
      <w:r>
        <w:rPr>
          <w:rFonts w:ascii="宋体" w:hAnsi="宋体" w:eastAsia="宋体" w:cs="宋体"/>
          <w:color w:val="auto"/>
          <w:spacing w:val="-1"/>
          <w:sz w:val="24"/>
          <w:szCs w:val="24"/>
          <w:highlight w:val="none"/>
        </w:rPr>
        <w:t>工程建设项目，经原审批或核准部门批准后不再进行招标。</w:t>
      </w:r>
    </w:p>
    <w:p w14:paraId="000BD8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color w:val="auto"/>
          <w:highlight w:val="none"/>
        </w:rPr>
      </w:pPr>
      <w:bookmarkStart w:id="13" w:name="_Toc19810"/>
      <w:r>
        <w:rPr>
          <w:rFonts w:ascii="宋体" w:hAnsi="宋体" w:eastAsia="宋体" w:cs="宋体"/>
          <w:b/>
          <w:bCs/>
          <w:color w:val="auto"/>
          <w:spacing w:val="-3"/>
          <w:sz w:val="24"/>
          <w:szCs w:val="24"/>
          <w:highlight w:val="none"/>
        </w:rPr>
        <w:t>第七节</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纪律和监督</w:t>
      </w:r>
      <w:bookmarkEnd w:id="13"/>
    </w:p>
    <w:p w14:paraId="36BD6B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一、对招标人的纪律要求</w:t>
      </w:r>
    </w:p>
    <w:p w14:paraId="78EAEC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招标人不得泄漏招标投标活动中应当保密的情况和资料，不得与投标人串通损害</w:t>
      </w:r>
      <w:r>
        <w:rPr>
          <w:rFonts w:ascii="宋体" w:hAnsi="宋体" w:eastAsia="宋体" w:cs="宋体"/>
          <w:color w:val="auto"/>
          <w:spacing w:val="-2"/>
          <w:sz w:val="24"/>
          <w:szCs w:val="24"/>
          <w:highlight w:val="none"/>
        </w:rPr>
        <w:t>国家利益、社会公共利益或者他人合法权益。</w:t>
      </w:r>
    </w:p>
    <w:p w14:paraId="403ED5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二、对投标人的纪律要求</w:t>
      </w:r>
    </w:p>
    <w:p w14:paraId="265492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2.1 投标人不得相互串通投标或者与招标人串通投标，不得向招标人或者磋商小组成员行贿谋取中标，不得以他人名义投标或者以其他方式弄虚作假骗取中标；投标</w:t>
      </w:r>
      <w:r>
        <w:rPr>
          <w:rFonts w:ascii="宋体" w:hAnsi="宋体" w:eastAsia="宋体" w:cs="宋体"/>
          <w:color w:val="auto"/>
          <w:spacing w:val="-1"/>
          <w:sz w:val="24"/>
          <w:szCs w:val="24"/>
          <w:highlight w:val="none"/>
        </w:rPr>
        <w:t>人不得以任何方式干扰、影响评标工作。</w:t>
      </w:r>
    </w:p>
    <w:p w14:paraId="026A6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2"/>
          <w:sz w:val="24"/>
          <w:szCs w:val="24"/>
          <w:highlight w:val="none"/>
        </w:rPr>
        <w:t>2.2 投标人有下列情形之一的，视为投标人串</w:t>
      </w:r>
      <w:r>
        <w:rPr>
          <w:rFonts w:ascii="宋体" w:hAnsi="宋体" w:eastAsia="宋体" w:cs="宋体"/>
          <w:color w:val="auto"/>
          <w:spacing w:val="-3"/>
          <w:sz w:val="24"/>
          <w:szCs w:val="24"/>
          <w:highlight w:val="none"/>
        </w:rPr>
        <w:t>通投标，其投标无效：</w:t>
      </w:r>
    </w:p>
    <w:p w14:paraId="76B2A4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不同投标人的响应文件由同一单位或者个人编制；</w:t>
      </w:r>
    </w:p>
    <w:p w14:paraId="27DD50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⑵ 不同投标人委托同一单位或者个人办理投标事宜；</w:t>
      </w:r>
    </w:p>
    <w:p w14:paraId="362650C3">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⑶ 不同投标人的响应文件载明的项目管理成员或者联</w:t>
      </w:r>
      <w:r>
        <w:rPr>
          <w:rFonts w:ascii="宋体" w:hAnsi="宋体" w:eastAsia="宋体" w:cs="宋体"/>
          <w:color w:val="auto"/>
          <w:spacing w:val="-3"/>
          <w:sz w:val="24"/>
          <w:szCs w:val="24"/>
          <w:highlight w:val="none"/>
        </w:rPr>
        <w:t>系人员为同一人；</w:t>
      </w:r>
      <w:r>
        <w:rPr>
          <w:rFonts w:ascii="宋体" w:hAnsi="宋体" w:eastAsia="宋体" w:cs="宋体"/>
          <w:color w:val="auto"/>
          <w:sz w:val="24"/>
          <w:szCs w:val="24"/>
          <w:highlight w:val="none"/>
        </w:rPr>
        <w:t xml:space="preserve"> ⑷ 不同投标人的响应文件异常一致或者投</w:t>
      </w:r>
      <w:r>
        <w:rPr>
          <w:rFonts w:ascii="宋体" w:hAnsi="宋体" w:eastAsia="宋体" w:cs="宋体"/>
          <w:color w:val="auto"/>
          <w:spacing w:val="-1"/>
          <w:sz w:val="24"/>
          <w:szCs w:val="24"/>
          <w:highlight w:val="none"/>
        </w:rPr>
        <w:t>标报价呈现规律性差异；</w:t>
      </w:r>
    </w:p>
    <w:p w14:paraId="027A97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⑸ 不同投标人的响应文件相互混装；</w:t>
      </w:r>
    </w:p>
    <w:p w14:paraId="17927F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⑹ 不同投标人的投标保证金从同一单位或者个人的账户转出。</w:t>
      </w:r>
    </w:p>
    <w:p w14:paraId="01824A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三、对磋商小组成员的纪律要求</w:t>
      </w:r>
    </w:p>
    <w:p w14:paraId="4C6208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磋商小组成员不得收受他人的财物或者其他好处，不得向他人透漏对响应文件的评审和比较、成交候选人的推荐情况以及评标有关的其他情况。在评标活动中，磋商</w:t>
      </w:r>
      <w:r>
        <w:rPr>
          <w:rFonts w:ascii="宋体" w:hAnsi="宋体" w:eastAsia="宋体" w:cs="宋体"/>
          <w:color w:val="auto"/>
          <w:spacing w:val="-4"/>
          <w:sz w:val="24"/>
          <w:szCs w:val="24"/>
          <w:highlight w:val="none"/>
        </w:rPr>
        <w:t>小组成员不得擅离职守，影响评标程序正常进行，不得使用“评标办法</w:t>
      </w:r>
      <w:r>
        <w:rPr>
          <w:rFonts w:ascii="宋体" w:hAnsi="宋体" w:eastAsia="宋体" w:cs="宋体"/>
          <w:color w:val="auto"/>
          <w:spacing w:val="-76"/>
          <w:sz w:val="24"/>
          <w:szCs w:val="24"/>
          <w:highlight w:val="none"/>
        </w:rPr>
        <w:t xml:space="preserve"> </w:t>
      </w:r>
      <w:r>
        <w:rPr>
          <w:rFonts w:ascii="宋体" w:hAnsi="宋体" w:eastAsia="宋体" w:cs="宋体"/>
          <w:color w:val="auto"/>
          <w:spacing w:val="-4"/>
          <w:sz w:val="24"/>
          <w:szCs w:val="24"/>
          <w:highlight w:val="none"/>
        </w:rPr>
        <w:t>”没有规定的</w:t>
      </w:r>
      <w:r>
        <w:rPr>
          <w:rFonts w:ascii="宋体" w:hAnsi="宋体" w:eastAsia="宋体" w:cs="宋体"/>
          <w:color w:val="auto"/>
          <w:spacing w:val="-1"/>
          <w:sz w:val="24"/>
          <w:szCs w:val="24"/>
          <w:highlight w:val="none"/>
        </w:rPr>
        <w:t>评审因素和标准进行评标。</w:t>
      </w:r>
    </w:p>
    <w:p w14:paraId="4EB721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四、对与评标活动有关的工作人员的纪律要求</w:t>
      </w:r>
    </w:p>
    <w:p w14:paraId="5A567D1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5"/>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与评标活动有关的工作人员不得收受他人的财物或者其他好处，不得向</w:t>
      </w:r>
      <w:r>
        <w:rPr>
          <w:rFonts w:ascii="宋体" w:hAnsi="宋体" w:eastAsia="宋体" w:cs="宋体"/>
          <w:color w:val="auto"/>
          <w:spacing w:val="-4"/>
          <w:sz w:val="24"/>
          <w:szCs w:val="24"/>
          <w:highlight w:val="none"/>
        </w:rPr>
        <w:t>他人透漏</w:t>
      </w:r>
      <w:r>
        <w:rPr>
          <w:rFonts w:ascii="宋体" w:hAnsi="宋体" w:eastAsia="宋体" w:cs="宋体"/>
          <w:color w:val="auto"/>
          <w:spacing w:val="-3"/>
          <w:sz w:val="24"/>
          <w:szCs w:val="24"/>
          <w:highlight w:val="none"/>
        </w:rPr>
        <w:t>对响应文件的评审和比较、成交候选人的推荐情况以及评标有关的其他情况。在评标</w:t>
      </w:r>
      <w:r>
        <w:rPr>
          <w:rFonts w:ascii="宋体" w:hAnsi="宋体" w:eastAsia="宋体" w:cs="宋体"/>
          <w:color w:val="auto"/>
          <w:sz w:val="24"/>
          <w:szCs w:val="24"/>
          <w:highlight w:val="none"/>
        </w:rPr>
        <w:t>活动中，与评标活动有关的工作人员不得擅离职守，影</w:t>
      </w:r>
      <w:r>
        <w:rPr>
          <w:rFonts w:ascii="宋体" w:hAnsi="宋体" w:eastAsia="宋体" w:cs="宋体"/>
          <w:color w:val="auto"/>
          <w:spacing w:val="-1"/>
          <w:sz w:val="24"/>
          <w:szCs w:val="24"/>
          <w:highlight w:val="none"/>
        </w:rPr>
        <w:t>响评标程序正常进行。</w:t>
      </w:r>
    </w:p>
    <w:p w14:paraId="7947A3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五、询问、质疑和投诉</w:t>
      </w:r>
    </w:p>
    <w:p w14:paraId="0D3BC4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5.1 询问、质疑、投诉的接收处理严格按照《中华人共和国</w:t>
      </w:r>
      <w:r>
        <w:rPr>
          <w:rFonts w:ascii="宋体" w:hAnsi="宋体" w:eastAsia="宋体" w:cs="宋体"/>
          <w:color w:val="auto"/>
          <w:spacing w:val="-5"/>
          <w:sz w:val="24"/>
          <w:szCs w:val="24"/>
          <w:highlight w:val="none"/>
        </w:rPr>
        <w:t>政府采购法》、</w:t>
      </w:r>
      <w:r>
        <w:rPr>
          <w:rFonts w:ascii="宋体" w:hAnsi="宋体" w:eastAsia="宋体" w:cs="宋体"/>
          <w:color w:val="auto"/>
          <w:spacing w:val="-72"/>
          <w:sz w:val="24"/>
          <w:szCs w:val="24"/>
          <w:highlight w:val="none"/>
        </w:rPr>
        <w:t xml:space="preserve"> </w:t>
      </w:r>
      <w:r>
        <w:rPr>
          <w:rFonts w:ascii="宋体" w:hAnsi="宋体" w:eastAsia="宋体" w:cs="宋体"/>
          <w:color w:val="auto"/>
          <w:spacing w:val="-5"/>
          <w:sz w:val="24"/>
          <w:szCs w:val="24"/>
          <w:highlight w:val="none"/>
        </w:rPr>
        <w:t>《中</w:t>
      </w:r>
      <w:r>
        <w:rPr>
          <w:rFonts w:ascii="宋体" w:hAnsi="宋体" w:eastAsia="宋体" w:cs="宋体"/>
          <w:color w:val="auto"/>
          <w:spacing w:val="-1"/>
          <w:sz w:val="24"/>
          <w:szCs w:val="24"/>
          <w:highlight w:val="none"/>
        </w:rPr>
        <w:t>华人民共和国政府采购法实施条例》、《政府采购货物和服务招标投标管理办法》、</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《政府采购供应商投诉处理办法》、《财政部关于加强政府采购供应商投诉受理审查</w:t>
      </w:r>
      <w:r>
        <w:rPr>
          <w:rFonts w:ascii="宋体" w:hAnsi="宋体" w:eastAsia="宋体" w:cs="宋体"/>
          <w:color w:val="auto"/>
          <w:spacing w:val="-1"/>
          <w:sz w:val="24"/>
          <w:szCs w:val="24"/>
          <w:highlight w:val="none"/>
        </w:rPr>
        <w:t>工作的通知》和《关于贯彻落实&lt;中华人民共和国政府采购法实施条例&gt;的若干规定》</w:t>
      </w:r>
      <w:r>
        <w:rPr>
          <w:rFonts w:ascii="宋体" w:hAnsi="宋体" w:eastAsia="宋体" w:cs="宋体"/>
          <w:color w:val="auto"/>
          <w:spacing w:val="-5"/>
          <w:sz w:val="24"/>
          <w:szCs w:val="24"/>
          <w:highlight w:val="none"/>
        </w:rPr>
        <w:t>的规定办理。</w:t>
      </w:r>
    </w:p>
    <w:p w14:paraId="7931F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5.2 供应商提出的询问，应当明确询问事项，如以书面形式提出，应由供应商签</w:t>
      </w:r>
      <w:r>
        <w:rPr>
          <w:rFonts w:ascii="宋体" w:hAnsi="宋体" w:eastAsia="宋体" w:cs="宋体"/>
          <w:color w:val="auto"/>
          <w:spacing w:val="-2"/>
          <w:sz w:val="24"/>
          <w:szCs w:val="24"/>
          <w:highlight w:val="none"/>
        </w:rPr>
        <w:t>字并加盖公章。</w:t>
      </w:r>
    </w:p>
    <w:p w14:paraId="744275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5.3 质疑内容、时限。</w:t>
      </w:r>
    </w:p>
    <w:p w14:paraId="4EC96E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提出质疑的投标人应当是参与所质疑项目采购活动的供应商。潜在供应商依</w:t>
      </w:r>
      <w:r>
        <w:rPr>
          <w:rFonts w:ascii="宋体" w:hAnsi="宋体" w:eastAsia="宋体" w:cs="宋体"/>
          <w:color w:val="auto"/>
          <w:spacing w:val="-1"/>
          <w:sz w:val="24"/>
          <w:szCs w:val="24"/>
          <w:highlight w:val="none"/>
        </w:rPr>
        <w:t>法获取其可质疑的磋商文件的，可以对磋商文件提出质疑。</w:t>
      </w:r>
    </w:p>
    <w:p w14:paraId="48E71B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⑵ 供应商对磋商文件中供应商特定资格条件、技术质量和商务要求、评审标准</w:t>
      </w:r>
      <w:r>
        <w:rPr>
          <w:rFonts w:ascii="宋体" w:hAnsi="宋体" w:eastAsia="宋体" w:cs="宋体"/>
          <w:color w:val="auto"/>
          <w:spacing w:val="-3"/>
          <w:sz w:val="24"/>
          <w:szCs w:val="24"/>
          <w:highlight w:val="none"/>
        </w:rPr>
        <w:t>及评审细则有异议的，为收到采购文件之日起三个工作日内，并附相关证明材料。采</w:t>
      </w:r>
      <w:r>
        <w:rPr>
          <w:rFonts w:ascii="宋体" w:hAnsi="宋体" w:eastAsia="宋体" w:cs="宋体"/>
          <w:color w:val="auto"/>
          <w:spacing w:val="-1"/>
          <w:sz w:val="24"/>
          <w:szCs w:val="24"/>
          <w:highlight w:val="none"/>
        </w:rPr>
        <w:t>购人对质疑内容进行复核后由采购代理机构书面答复供应商。</w:t>
      </w:r>
    </w:p>
    <w:p w14:paraId="7BA5B9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对采购过程提出质疑的，为各采购程序环节结</w:t>
      </w:r>
      <w:r>
        <w:rPr>
          <w:rFonts w:ascii="宋体" w:hAnsi="宋体" w:eastAsia="宋体" w:cs="宋体"/>
          <w:color w:val="auto"/>
          <w:spacing w:val="-1"/>
          <w:sz w:val="24"/>
          <w:szCs w:val="24"/>
          <w:highlight w:val="none"/>
        </w:rPr>
        <w:t>束之日起七个工作日内。</w:t>
      </w:r>
    </w:p>
    <w:p w14:paraId="498726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⑷ 供应商对成交结果提出质疑的，为成交结果公告期限届满之日起七个工作日</w:t>
      </w:r>
      <w:r>
        <w:rPr>
          <w:rFonts w:ascii="宋体" w:hAnsi="宋体" w:eastAsia="宋体" w:cs="宋体"/>
          <w:color w:val="auto"/>
          <w:spacing w:val="-2"/>
          <w:sz w:val="24"/>
          <w:szCs w:val="24"/>
          <w:highlight w:val="none"/>
        </w:rPr>
        <w:t>内以书面形式向采购代理机构提出质疑，并附相关证明材料。</w:t>
      </w:r>
    </w:p>
    <w:p w14:paraId="7F8F8C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⑸ 供应商应当在法定质疑期内一次性提出针对同一采购程序环节的质疑。投标</w:t>
      </w:r>
      <w:r>
        <w:rPr>
          <w:rFonts w:ascii="宋体" w:hAnsi="宋体" w:eastAsia="宋体" w:cs="宋体"/>
          <w:color w:val="auto"/>
          <w:spacing w:val="-3"/>
          <w:sz w:val="24"/>
          <w:szCs w:val="24"/>
          <w:highlight w:val="none"/>
        </w:rPr>
        <w:t>人如在法定期限内对同一采购程序环节提出多次质疑的，将只对供应商第一次质疑作出答复。</w:t>
      </w:r>
    </w:p>
    <w:p w14:paraId="7C17B1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⑹ 只接收以纸质原件形式送达的质疑。</w:t>
      </w:r>
    </w:p>
    <w:p w14:paraId="5CDF9B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⑺ 本磋商文件的最终解释权归招标采购单位。</w:t>
      </w:r>
    </w:p>
    <w:p w14:paraId="0A9B1F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⑻ 开标前、后质疑（针对采购文件的质疑）接收人：本项目</w:t>
      </w:r>
      <w:r>
        <w:rPr>
          <w:rFonts w:ascii="宋体" w:hAnsi="宋体" w:eastAsia="宋体" w:cs="宋体"/>
          <w:color w:val="auto"/>
          <w:spacing w:val="-2"/>
          <w:sz w:val="24"/>
          <w:szCs w:val="24"/>
          <w:highlight w:val="none"/>
        </w:rPr>
        <w:t>采购单位联系人，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联系地址：见第一章。</w:t>
      </w:r>
    </w:p>
    <w:p w14:paraId="071ECD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⑼ 质疑函必须按要求的格式和内容进行填写。投标人如组成联合体参加投标，</w:t>
      </w:r>
      <w:r>
        <w:rPr>
          <w:rFonts w:ascii="宋体" w:hAnsi="宋体" w:eastAsia="宋体" w:cs="宋体"/>
          <w:color w:val="auto"/>
          <w:spacing w:val="-3"/>
          <w:sz w:val="24"/>
          <w:szCs w:val="24"/>
          <w:highlight w:val="none"/>
        </w:rPr>
        <w:t>则质疑函中要求签字、盖章、加盖公章之处，联合体各方均须按要求签字、盖章、加</w:t>
      </w:r>
      <w:r>
        <w:rPr>
          <w:rFonts w:ascii="宋体" w:hAnsi="宋体" w:eastAsia="宋体" w:cs="宋体"/>
          <w:color w:val="auto"/>
          <w:spacing w:val="-1"/>
          <w:sz w:val="24"/>
          <w:szCs w:val="24"/>
          <w:highlight w:val="none"/>
        </w:rPr>
        <w:t>盖公章。供应商提出质疑时应当准备的资料。</w:t>
      </w:r>
    </w:p>
    <w:p w14:paraId="27323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11"/>
          <w:sz w:val="24"/>
          <w:szCs w:val="24"/>
          <w:highlight w:val="none"/>
        </w:rPr>
      </w:pPr>
      <w:r>
        <w:rPr>
          <w:rFonts w:hint="eastAsia" w:ascii="宋体" w:hAnsi="宋体" w:eastAsia="宋体" w:cs="宋体"/>
          <w:color w:val="auto"/>
          <w:spacing w:val="-10"/>
          <w:sz w:val="24"/>
          <w:szCs w:val="24"/>
          <w:highlight w:val="none"/>
          <w:lang w:val="en-US" w:eastAsia="zh-CN"/>
        </w:rPr>
        <w:t xml:space="preserve">  </w:t>
      </w:r>
      <w:r>
        <w:rPr>
          <w:rFonts w:ascii="宋体" w:hAnsi="宋体" w:eastAsia="宋体" w:cs="宋体"/>
          <w:color w:val="auto"/>
          <w:spacing w:val="-10"/>
          <w:sz w:val="24"/>
          <w:szCs w:val="24"/>
          <w:highlight w:val="none"/>
        </w:rPr>
        <w:t>⒈ 质疑书正本</w:t>
      </w:r>
      <w:r>
        <w:rPr>
          <w:rFonts w:ascii="宋体" w:hAnsi="宋体" w:eastAsia="宋体" w:cs="宋体"/>
          <w:color w:val="auto"/>
          <w:spacing w:val="-29"/>
          <w:sz w:val="24"/>
          <w:szCs w:val="24"/>
          <w:highlight w:val="none"/>
        </w:rPr>
        <w:t xml:space="preserve"> </w:t>
      </w:r>
      <w:r>
        <w:rPr>
          <w:rFonts w:ascii="宋体" w:hAnsi="宋体" w:eastAsia="宋体" w:cs="宋体"/>
          <w:color w:val="auto"/>
          <w:spacing w:val="-10"/>
          <w:sz w:val="24"/>
          <w:szCs w:val="24"/>
          <w:highlight w:val="none"/>
        </w:rPr>
        <w:t>1</w:t>
      </w:r>
      <w:r>
        <w:rPr>
          <w:rFonts w:ascii="宋体" w:hAnsi="宋体" w:eastAsia="宋体" w:cs="宋体"/>
          <w:color w:val="auto"/>
          <w:spacing w:val="-51"/>
          <w:sz w:val="24"/>
          <w:szCs w:val="24"/>
          <w:highlight w:val="none"/>
        </w:rPr>
        <w:t xml:space="preserve"> </w:t>
      </w:r>
      <w:r>
        <w:rPr>
          <w:rFonts w:ascii="宋体" w:hAnsi="宋体" w:eastAsia="宋体" w:cs="宋体"/>
          <w:color w:val="auto"/>
          <w:spacing w:val="-10"/>
          <w:sz w:val="24"/>
          <w:szCs w:val="24"/>
          <w:highlight w:val="none"/>
        </w:rPr>
        <w:t>份，副本</w:t>
      </w:r>
      <w:r>
        <w:rPr>
          <w:rFonts w:ascii="宋体" w:hAnsi="宋体" w:eastAsia="宋体" w:cs="宋体"/>
          <w:color w:val="auto"/>
          <w:spacing w:val="-48"/>
          <w:sz w:val="24"/>
          <w:szCs w:val="24"/>
          <w:highlight w:val="none"/>
        </w:rPr>
        <w:t xml:space="preserve"> </w:t>
      </w:r>
      <w:r>
        <w:rPr>
          <w:rFonts w:ascii="宋体" w:hAnsi="宋体" w:eastAsia="宋体" w:cs="宋体"/>
          <w:color w:val="auto"/>
          <w:spacing w:val="-10"/>
          <w:sz w:val="24"/>
          <w:szCs w:val="24"/>
          <w:highlight w:val="none"/>
        </w:rPr>
        <w:t>2</w:t>
      </w:r>
      <w:r>
        <w:rPr>
          <w:rFonts w:ascii="宋体" w:hAnsi="宋体" w:eastAsia="宋体" w:cs="宋体"/>
          <w:color w:val="auto"/>
          <w:spacing w:val="-50"/>
          <w:sz w:val="24"/>
          <w:szCs w:val="24"/>
          <w:highlight w:val="none"/>
        </w:rPr>
        <w:t xml:space="preserve"> </w:t>
      </w:r>
      <w:r>
        <w:rPr>
          <w:rFonts w:ascii="宋体" w:hAnsi="宋体" w:eastAsia="宋体" w:cs="宋体"/>
          <w:color w:val="auto"/>
          <w:spacing w:val="-10"/>
          <w:sz w:val="24"/>
          <w:szCs w:val="24"/>
          <w:highlight w:val="none"/>
        </w:rPr>
        <w:t>份（如果涉及更多的</w:t>
      </w:r>
      <w:r>
        <w:rPr>
          <w:rFonts w:ascii="宋体" w:hAnsi="宋体" w:eastAsia="宋体" w:cs="宋体"/>
          <w:color w:val="auto"/>
          <w:spacing w:val="-11"/>
          <w:sz w:val="24"/>
          <w:szCs w:val="24"/>
          <w:highlight w:val="none"/>
        </w:rPr>
        <w:t>供应商须提供相应数量的副本</w:t>
      </w:r>
    </w:p>
    <w:p w14:paraId="4A4EA2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54"/>
          <w:w w:val="84"/>
          <w:sz w:val="24"/>
          <w:szCs w:val="24"/>
          <w:highlight w:val="none"/>
        </w:rPr>
        <w:t>）；</w:t>
      </w:r>
    </w:p>
    <w:p w14:paraId="7F3061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⒉ 法定代表人针对本项目的专项授权书（须经法定代表人签字并加盖法人章和单位公章）及被授权人身份证复印件（查看原件</w:t>
      </w:r>
      <w:r>
        <w:rPr>
          <w:rFonts w:ascii="宋体" w:hAnsi="宋体" w:eastAsia="宋体" w:cs="宋体"/>
          <w:color w:val="auto"/>
          <w:spacing w:val="-18"/>
          <w:sz w:val="24"/>
          <w:szCs w:val="24"/>
          <w:highlight w:val="none"/>
        </w:rPr>
        <w:t>）；</w:t>
      </w:r>
      <w:r>
        <w:rPr>
          <w:rFonts w:ascii="宋体" w:hAnsi="宋体" w:eastAsia="宋体" w:cs="宋体"/>
          <w:color w:val="auto"/>
          <w:spacing w:val="-2"/>
          <w:sz w:val="24"/>
          <w:szCs w:val="24"/>
          <w:highlight w:val="none"/>
        </w:rPr>
        <w:t>法定代表人提交质疑书须提交其</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身份证复印件（查看原件</w:t>
      </w:r>
      <w:r>
        <w:rPr>
          <w:rFonts w:ascii="宋体" w:hAnsi="宋体" w:eastAsia="宋体" w:cs="宋体"/>
          <w:color w:val="auto"/>
          <w:spacing w:val="4"/>
          <w:sz w:val="24"/>
          <w:szCs w:val="24"/>
          <w:highlight w:val="none"/>
        </w:rPr>
        <w:t>）；</w:t>
      </w:r>
    </w:p>
    <w:p w14:paraId="690E8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3"/>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⒊ 营业执照复印件</w:t>
      </w:r>
      <w:r>
        <w:rPr>
          <w:rFonts w:ascii="宋体" w:hAnsi="宋体" w:eastAsia="宋体" w:cs="宋体"/>
          <w:color w:val="auto"/>
          <w:spacing w:val="-33"/>
          <w:sz w:val="24"/>
          <w:szCs w:val="24"/>
          <w:highlight w:val="none"/>
        </w:rPr>
        <w:t xml:space="preserve"> </w:t>
      </w:r>
      <w:r>
        <w:rPr>
          <w:rFonts w:ascii="宋体" w:hAnsi="宋体" w:eastAsia="宋体" w:cs="宋体"/>
          <w:color w:val="auto"/>
          <w:spacing w:val="-6"/>
          <w:sz w:val="24"/>
          <w:szCs w:val="24"/>
          <w:highlight w:val="none"/>
        </w:rPr>
        <w:t>1</w:t>
      </w:r>
      <w:r>
        <w:rPr>
          <w:rFonts w:ascii="宋体" w:hAnsi="宋体" w:eastAsia="宋体" w:cs="宋体"/>
          <w:color w:val="auto"/>
          <w:spacing w:val="-51"/>
          <w:sz w:val="24"/>
          <w:szCs w:val="24"/>
          <w:highlight w:val="none"/>
        </w:rPr>
        <w:t xml:space="preserve"> </w:t>
      </w:r>
      <w:r>
        <w:rPr>
          <w:rFonts w:ascii="宋体" w:hAnsi="宋体" w:eastAsia="宋体" w:cs="宋体"/>
          <w:color w:val="auto"/>
          <w:spacing w:val="-6"/>
          <w:sz w:val="24"/>
          <w:szCs w:val="24"/>
          <w:highlight w:val="none"/>
        </w:rPr>
        <w:t>份或事业单位法人证</w:t>
      </w:r>
      <w:r>
        <w:rPr>
          <w:rFonts w:ascii="宋体" w:hAnsi="宋体" w:eastAsia="宋体" w:cs="宋体"/>
          <w:color w:val="auto"/>
          <w:spacing w:val="-33"/>
          <w:sz w:val="24"/>
          <w:szCs w:val="24"/>
          <w:highlight w:val="none"/>
        </w:rPr>
        <w:t xml:space="preserve"> </w:t>
      </w:r>
      <w:r>
        <w:rPr>
          <w:rFonts w:ascii="宋体" w:hAnsi="宋体" w:eastAsia="宋体" w:cs="宋体"/>
          <w:color w:val="auto"/>
          <w:spacing w:val="-6"/>
          <w:sz w:val="24"/>
          <w:szCs w:val="24"/>
          <w:highlight w:val="none"/>
        </w:rPr>
        <w:t>1</w:t>
      </w:r>
      <w:r>
        <w:rPr>
          <w:rFonts w:ascii="宋体" w:hAnsi="宋体" w:eastAsia="宋体" w:cs="宋体"/>
          <w:color w:val="auto"/>
          <w:spacing w:val="-50"/>
          <w:sz w:val="24"/>
          <w:szCs w:val="24"/>
          <w:highlight w:val="none"/>
        </w:rPr>
        <w:t xml:space="preserve"> </w:t>
      </w:r>
      <w:r>
        <w:rPr>
          <w:rFonts w:ascii="宋体" w:hAnsi="宋体" w:eastAsia="宋体" w:cs="宋体"/>
          <w:color w:val="auto"/>
          <w:spacing w:val="-6"/>
          <w:sz w:val="24"/>
          <w:szCs w:val="24"/>
          <w:highlight w:val="none"/>
        </w:rPr>
        <w:t>份（加盖公章</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 xml:space="preserve"> </w:t>
      </w:r>
    </w:p>
    <w:p w14:paraId="492187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3"/>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⒋ 法定代表人（负责人）身份证复印件</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份（加盖公章</w:t>
      </w:r>
      <w:r>
        <w:rPr>
          <w:rFonts w:ascii="宋体" w:hAnsi="宋体" w:eastAsia="宋体" w:cs="宋体"/>
          <w:color w:val="auto"/>
          <w:spacing w:val="9"/>
          <w:sz w:val="24"/>
          <w:szCs w:val="24"/>
          <w:highlight w:val="none"/>
        </w:rPr>
        <w:t>）；</w:t>
      </w:r>
    </w:p>
    <w:p w14:paraId="5AA028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color w:val="auto"/>
          <w:highlight w:val="none"/>
        </w:rPr>
      </w:pPr>
      <w:r>
        <w:rPr>
          <w:rFonts w:ascii="宋体" w:hAnsi="宋体" w:eastAsia="宋体" w:cs="宋体"/>
          <w:color w:val="auto"/>
          <w:spacing w:val="-6"/>
          <w:sz w:val="24"/>
          <w:szCs w:val="24"/>
          <w:highlight w:val="none"/>
        </w:rPr>
        <w:t>⒌ 针对质疑事项的证明材料：</w:t>
      </w:r>
    </w:p>
    <w:p w14:paraId="767617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3"/>
        <w:textAlignment w:val="baseline"/>
        <w:rPr>
          <w:rFonts w:ascii="宋体" w:hAnsi="宋体" w:eastAsia="宋体" w:cs="宋体"/>
          <w:color w:val="auto"/>
          <w:sz w:val="24"/>
          <w:szCs w:val="24"/>
          <w:highlight w:val="none"/>
        </w:rPr>
      </w:pPr>
      <w:bookmarkStart w:id="14" w:name="bookmark12"/>
      <w:bookmarkEnd w:id="14"/>
      <w:r>
        <w:rPr>
          <w:rFonts w:ascii="宋体" w:hAnsi="宋体" w:eastAsia="宋体" w:cs="宋体"/>
          <w:color w:val="auto"/>
          <w:spacing w:val="-7"/>
          <w:sz w:val="24"/>
          <w:szCs w:val="24"/>
          <w:highlight w:val="none"/>
        </w:rPr>
        <w:t>a.质疑供应商的基本情况信息：名称、地址、法定</w:t>
      </w:r>
      <w:r>
        <w:rPr>
          <w:rFonts w:ascii="宋体" w:hAnsi="宋体" w:eastAsia="宋体" w:cs="宋体"/>
          <w:color w:val="auto"/>
          <w:spacing w:val="-8"/>
          <w:sz w:val="24"/>
          <w:szCs w:val="24"/>
          <w:highlight w:val="none"/>
        </w:rPr>
        <w:t>代表人、委托代理人、电话、</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邮编；</w:t>
      </w:r>
    </w:p>
    <w:p w14:paraId="7563EE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b.所质疑的政府采购项目的信息：包含采购人或者采购代理机构名称、项目名</w:t>
      </w:r>
      <w:r>
        <w:rPr>
          <w:rFonts w:ascii="宋体" w:hAnsi="宋体" w:eastAsia="宋体" w:cs="宋体"/>
          <w:color w:val="auto"/>
          <w:spacing w:val="-1"/>
          <w:sz w:val="24"/>
          <w:szCs w:val="24"/>
          <w:highlight w:val="none"/>
        </w:rPr>
        <w:t>称、包（标段）、编号；</w:t>
      </w:r>
    </w:p>
    <w:p w14:paraId="6F811C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val="en-US" w:eastAsia="zh-CN"/>
        </w:rPr>
        <w:t xml:space="preserve">  </w:t>
      </w:r>
      <w:r>
        <w:rPr>
          <w:rFonts w:ascii="宋体" w:hAnsi="宋体" w:eastAsia="宋体" w:cs="宋体"/>
          <w:color w:val="auto"/>
          <w:spacing w:val="-5"/>
          <w:sz w:val="24"/>
          <w:szCs w:val="24"/>
          <w:highlight w:val="none"/>
        </w:rPr>
        <w:t>c.具体的质疑事项。质疑事项不得超出法定范围并且与质疑供应商有利害关系</w:t>
      </w:r>
    </w:p>
    <w:p w14:paraId="6B58D6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w:t>
      </w:r>
    </w:p>
    <w:p w14:paraId="0B3401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d.明确、具体的质疑请求；</w:t>
      </w:r>
    </w:p>
    <w:p w14:paraId="3663C1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e.质疑所依据的事实、理由和法律依据及证明材料；</w:t>
      </w:r>
    </w:p>
    <w:p w14:paraId="6AF1BE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f.质疑书需要加盖质疑供应商公章并经法定代表人签字和盖章。</w:t>
      </w:r>
    </w:p>
    <w:p w14:paraId="71BEC84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9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 xml:space="preserve"> </w:t>
      </w:r>
      <w:r>
        <w:rPr>
          <w:rFonts w:ascii="宋体" w:hAnsi="宋体" w:eastAsia="宋体" w:cs="宋体"/>
          <w:color w:val="auto"/>
          <w:spacing w:val="-5"/>
          <w:sz w:val="24"/>
          <w:szCs w:val="24"/>
          <w:highlight w:val="none"/>
        </w:rPr>
        <w:t>⑽</w:t>
      </w:r>
      <w:r>
        <w:rPr>
          <w:rFonts w:ascii="宋体" w:hAnsi="宋体" w:eastAsia="宋体" w:cs="宋体"/>
          <w:color w:val="auto"/>
          <w:spacing w:val="14"/>
          <w:sz w:val="24"/>
          <w:szCs w:val="24"/>
          <w:highlight w:val="none"/>
        </w:rPr>
        <w:t xml:space="preserve"> </w:t>
      </w:r>
      <w:r>
        <w:rPr>
          <w:rFonts w:ascii="宋体" w:hAnsi="宋体" w:eastAsia="宋体" w:cs="宋体"/>
          <w:color w:val="auto"/>
          <w:spacing w:val="-5"/>
          <w:sz w:val="24"/>
          <w:szCs w:val="24"/>
          <w:highlight w:val="none"/>
        </w:rPr>
        <w:t>不予受理</w:t>
      </w:r>
    </w:p>
    <w:p w14:paraId="026036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firstLineChars="205"/>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⒈</w:t>
      </w:r>
      <w:r>
        <w:rPr>
          <w:rFonts w:ascii="宋体" w:hAnsi="宋体" w:eastAsia="宋体" w:cs="宋体"/>
          <w:color w:val="auto"/>
          <w:spacing w:val="50"/>
          <w:sz w:val="24"/>
          <w:szCs w:val="24"/>
          <w:highlight w:val="none"/>
        </w:rPr>
        <w:t xml:space="preserve"> </w:t>
      </w:r>
      <w:r>
        <w:rPr>
          <w:rFonts w:ascii="宋体" w:hAnsi="宋体" w:eastAsia="宋体" w:cs="宋体"/>
          <w:color w:val="auto"/>
          <w:spacing w:val="-7"/>
          <w:sz w:val="24"/>
          <w:szCs w:val="24"/>
          <w:highlight w:val="none"/>
        </w:rPr>
        <w:t>内容不符合《政府采购质疑和投诉办法》第十二条规定的质疑；</w:t>
      </w:r>
      <w:r>
        <w:rPr>
          <w:rFonts w:ascii="宋体" w:hAnsi="宋体" w:eastAsia="宋体" w:cs="宋体"/>
          <w:color w:val="auto"/>
          <w:sz w:val="24"/>
          <w:szCs w:val="24"/>
          <w:highlight w:val="none"/>
        </w:rPr>
        <w:t xml:space="preserve"> </w:t>
      </w:r>
    </w:p>
    <w:p w14:paraId="08574F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firstLineChars="205"/>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⒉ 未在法定期限内提出质疑的；</w:t>
      </w:r>
    </w:p>
    <w:p w14:paraId="2C8B94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⒊ 质疑未以书面形式提出，或质疑书主要内容构成不完整的；</w:t>
      </w:r>
    </w:p>
    <w:p w14:paraId="489475B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⒋ 未参加投标活动的投标人或在投标活动中自身权益未</w:t>
      </w:r>
      <w:r>
        <w:rPr>
          <w:rFonts w:ascii="宋体" w:hAnsi="宋体" w:eastAsia="宋体" w:cs="宋体"/>
          <w:color w:val="auto"/>
          <w:spacing w:val="-2"/>
          <w:sz w:val="24"/>
          <w:szCs w:val="24"/>
          <w:highlight w:val="none"/>
        </w:rPr>
        <w:t>受到损害的投标人所提</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出的质疑；</w:t>
      </w:r>
    </w:p>
    <w:p w14:paraId="77C5844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⒌ 投标人组成联合体参加投标，联合体中任何一方或多方未按要求签字、盖章、</w:t>
      </w:r>
      <w:r>
        <w:rPr>
          <w:rFonts w:ascii="宋体" w:hAnsi="宋体" w:eastAsia="宋体" w:cs="宋体"/>
          <w:color w:val="auto"/>
          <w:spacing w:val="5"/>
          <w:sz w:val="24"/>
          <w:szCs w:val="24"/>
          <w:highlight w:val="none"/>
        </w:rPr>
        <w:t xml:space="preserve"> </w:t>
      </w:r>
      <w:r>
        <w:rPr>
          <w:rFonts w:ascii="宋体" w:hAnsi="宋体" w:eastAsia="宋体" w:cs="宋体"/>
          <w:color w:val="auto"/>
          <w:spacing w:val="-2"/>
          <w:sz w:val="24"/>
          <w:szCs w:val="24"/>
          <w:highlight w:val="none"/>
        </w:rPr>
        <w:t>加盖公章的质疑；</w:t>
      </w:r>
    </w:p>
    <w:p w14:paraId="7FB961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⒍ 对同一事项重复质疑的；</w:t>
      </w:r>
    </w:p>
    <w:p w14:paraId="6CC8DA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⑾ 质疑有下列情形之一的，应暂不受理并告知供应商补充材料。逾期未补充的，</w:t>
      </w:r>
      <w:r>
        <w:rPr>
          <w:rFonts w:ascii="宋体" w:hAnsi="宋体" w:eastAsia="宋体" w:cs="宋体"/>
          <w:color w:val="auto"/>
          <w:spacing w:val="-3"/>
          <w:sz w:val="24"/>
          <w:szCs w:val="24"/>
          <w:highlight w:val="none"/>
        </w:rPr>
        <w:t>不予受理：</w:t>
      </w:r>
    </w:p>
    <w:p w14:paraId="3EAE67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7" w:firstLineChars="106"/>
        <w:jc w:val="both"/>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⒈ 质疑书格式和内容不符合相关规定的；</w:t>
      </w:r>
      <w:r>
        <w:rPr>
          <w:rFonts w:ascii="宋体" w:hAnsi="宋体" w:eastAsia="宋体" w:cs="宋体"/>
          <w:color w:val="auto"/>
          <w:sz w:val="24"/>
          <w:szCs w:val="24"/>
          <w:highlight w:val="none"/>
        </w:rPr>
        <w:t xml:space="preserve"> </w:t>
      </w:r>
    </w:p>
    <w:p w14:paraId="43CCD8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7" w:firstLineChars="106"/>
        <w:jc w:val="both"/>
        <w:textAlignment w:val="baseline"/>
        <w:rPr>
          <w:rFonts w:ascii="宋体" w:hAnsi="宋体" w:eastAsia="宋体" w:cs="宋体"/>
          <w:color w:val="auto"/>
          <w:spacing w:val="13"/>
          <w:sz w:val="24"/>
          <w:szCs w:val="24"/>
          <w:highlight w:val="none"/>
        </w:rPr>
      </w:pPr>
      <w:r>
        <w:rPr>
          <w:rFonts w:ascii="宋体" w:hAnsi="宋体" w:eastAsia="宋体" w:cs="宋体"/>
          <w:color w:val="auto"/>
          <w:spacing w:val="-8"/>
          <w:sz w:val="24"/>
          <w:szCs w:val="24"/>
          <w:highlight w:val="none"/>
        </w:rPr>
        <w:t>⒉ 质疑书提供的依据或证明材料不全的；</w:t>
      </w:r>
      <w:r>
        <w:rPr>
          <w:rFonts w:ascii="宋体" w:hAnsi="宋体" w:eastAsia="宋体" w:cs="宋体"/>
          <w:color w:val="auto"/>
          <w:spacing w:val="13"/>
          <w:sz w:val="24"/>
          <w:szCs w:val="24"/>
          <w:highlight w:val="none"/>
        </w:rPr>
        <w:t xml:space="preserve"> </w:t>
      </w:r>
    </w:p>
    <w:p w14:paraId="3D8100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1" w:firstLineChars="106"/>
        <w:jc w:val="both"/>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⒊ 质疑书副本数量不足的。</w:t>
      </w:r>
    </w:p>
    <w:p w14:paraId="6B5E6B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⑿ 投标人提出书面质疑必须有理、有据，不得捏造事实、提供虚假材料进行恶</w:t>
      </w:r>
      <w:r>
        <w:rPr>
          <w:rFonts w:ascii="宋体" w:hAnsi="宋体" w:eastAsia="宋体" w:cs="宋体"/>
          <w:color w:val="auto"/>
          <w:spacing w:val="-3"/>
          <w:sz w:val="24"/>
          <w:szCs w:val="24"/>
          <w:highlight w:val="none"/>
        </w:rPr>
        <w:t>意质疑。否则，一经查实，依据政府采购的有关规定，报请政府采购监管部门对该投</w:t>
      </w:r>
      <w:r>
        <w:rPr>
          <w:rFonts w:ascii="宋体" w:hAnsi="宋体" w:eastAsia="宋体" w:cs="宋体"/>
          <w:color w:val="auto"/>
          <w:spacing w:val="-1"/>
          <w:sz w:val="24"/>
          <w:szCs w:val="24"/>
          <w:highlight w:val="none"/>
        </w:rPr>
        <w:t>标人进行相应的行政处罚和记录该供应商的失信信息。</w:t>
      </w:r>
    </w:p>
    <w:p w14:paraId="3B41E1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5.4 质疑答复</w:t>
      </w:r>
    </w:p>
    <w:p w14:paraId="1BF52E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采购人或采购代理机构在收到供应商的书面质疑后将按</w:t>
      </w:r>
      <w:r>
        <w:rPr>
          <w:rFonts w:ascii="宋体" w:hAnsi="宋体" w:eastAsia="宋体" w:cs="宋体"/>
          <w:color w:val="auto"/>
          <w:spacing w:val="-1"/>
          <w:sz w:val="24"/>
          <w:szCs w:val="24"/>
          <w:highlight w:val="none"/>
        </w:rPr>
        <w:t>规定的时间进行回复。</w:t>
      </w:r>
    </w:p>
    <w:p w14:paraId="4CA82C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color w:val="auto"/>
          <w:highlight w:val="none"/>
        </w:rPr>
      </w:pPr>
      <w:r>
        <w:rPr>
          <w:rFonts w:ascii="宋体" w:hAnsi="宋体" w:eastAsia="宋体" w:cs="宋体"/>
          <w:color w:val="auto"/>
          <w:spacing w:val="-6"/>
          <w:sz w:val="24"/>
          <w:szCs w:val="24"/>
          <w:highlight w:val="none"/>
        </w:rPr>
        <w:t>5.5</w:t>
      </w:r>
      <w:r>
        <w:rPr>
          <w:rFonts w:ascii="宋体" w:hAnsi="宋体" w:eastAsia="宋体" w:cs="宋体"/>
          <w:color w:val="auto"/>
          <w:spacing w:val="14"/>
          <w:sz w:val="24"/>
          <w:szCs w:val="24"/>
          <w:highlight w:val="none"/>
        </w:rPr>
        <w:t xml:space="preserve"> </w:t>
      </w:r>
      <w:r>
        <w:rPr>
          <w:rFonts w:ascii="宋体" w:hAnsi="宋体" w:eastAsia="宋体" w:cs="宋体"/>
          <w:color w:val="auto"/>
          <w:spacing w:val="-6"/>
          <w:sz w:val="24"/>
          <w:szCs w:val="24"/>
          <w:highlight w:val="none"/>
        </w:rPr>
        <w:t>投诉</w:t>
      </w:r>
    </w:p>
    <w:p w14:paraId="425BF0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质疑供应商对采购人、采购代理机构的答复不满意或者采购人、采购代理机构未</w:t>
      </w:r>
      <w:r>
        <w:rPr>
          <w:rFonts w:ascii="宋体" w:hAnsi="宋体" w:eastAsia="宋体" w:cs="宋体"/>
          <w:color w:val="auto"/>
          <w:sz w:val="24"/>
          <w:szCs w:val="24"/>
          <w:highlight w:val="none"/>
        </w:rPr>
        <w:t>在规定的时间内作出答复的，可按《政府采购法》第</w:t>
      </w:r>
      <w:r>
        <w:rPr>
          <w:rFonts w:ascii="宋体" w:hAnsi="宋体" w:eastAsia="宋体" w:cs="宋体"/>
          <w:color w:val="auto"/>
          <w:spacing w:val="-46"/>
          <w:sz w:val="24"/>
          <w:szCs w:val="24"/>
          <w:highlight w:val="none"/>
        </w:rPr>
        <w:t xml:space="preserve"> </w:t>
      </w:r>
      <w:r>
        <w:rPr>
          <w:rFonts w:ascii="宋体" w:hAnsi="宋体" w:eastAsia="宋体" w:cs="宋体"/>
          <w:color w:val="auto"/>
          <w:sz w:val="24"/>
          <w:szCs w:val="24"/>
          <w:highlight w:val="none"/>
        </w:rPr>
        <w:t>55</w:t>
      </w:r>
      <w:r>
        <w:rPr>
          <w:rFonts w:ascii="宋体" w:hAnsi="宋体" w:eastAsia="宋体" w:cs="宋体"/>
          <w:color w:val="auto"/>
          <w:spacing w:val="-46"/>
          <w:sz w:val="24"/>
          <w:szCs w:val="24"/>
          <w:highlight w:val="none"/>
        </w:rPr>
        <w:t xml:space="preserve"> </w:t>
      </w:r>
      <w:r>
        <w:rPr>
          <w:rFonts w:ascii="宋体" w:hAnsi="宋体" w:eastAsia="宋体" w:cs="宋体"/>
          <w:color w:val="auto"/>
          <w:sz w:val="24"/>
          <w:szCs w:val="24"/>
          <w:highlight w:val="none"/>
        </w:rPr>
        <w:t>条和《</w:t>
      </w:r>
      <w:r>
        <w:rPr>
          <w:rFonts w:ascii="宋体" w:hAnsi="宋体" w:eastAsia="宋体" w:cs="宋体"/>
          <w:color w:val="auto"/>
          <w:spacing w:val="-1"/>
          <w:sz w:val="24"/>
          <w:szCs w:val="24"/>
          <w:highlight w:val="none"/>
        </w:rPr>
        <w:t>政府采购质疑和投诉</w:t>
      </w:r>
      <w:r>
        <w:rPr>
          <w:rFonts w:ascii="宋体" w:hAnsi="宋体" w:eastAsia="宋体" w:cs="宋体"/>
          <w:color w:val="auto"/>
          <w:sz w:val="24"/>
          <w:szCs w:val="24"/>
          <w:highlight w:val="none"/>
        </w:rPr>
        <w:t>办法》（财政部令第94</w:t>
      </w:r>
      <w:r>
        <w:rPr>
          <w:rFonts w:ascii="宋体" w:hAnsi="宋体" w:eastAsia="宋体" w:cs="宋体"/>
          <w:color w:val="auto"/>
          <w:spacing w:val="-45"/>
          <w:sz w:val="24"/>
          <w:szCs w:val="24"/>
          <w:highlight w:val="none"/>
        </w:rPr>
        <w:t xml:space="preserve"> </w:t>
      </w:r>
      <w:r>
        <w:rPr>
          <w:rFonts w:ascii="宋体" w:hAnsi="宋体" w:eastAsia="宋体" w:cs="宋体"/>
          <w:color w:val="auto"/>
          <w:sz w:val="24"/>
          <w:szCs w:val="24"/>
          <w:highlight w:val="none"/>
        </w:rPr>
        <w:t>号）第</w:t>
      </w:r>
      <w:r>
        <w:rPr>
          <w:rFonts w:ascii="宋体" w:hAnsi="宋体" w:eastAsia="宋体" w:cs="宋体"/>
          <w:color w:val="auto"/>
          <w:spacing w:val="-33"/>
          <w:sz w:val="24"/>
          <w:szCs w:val="24"/>
          <w:highlight w:val="none"/>
        </w:rPr>
        <w:t xml:space="preserve"> </w:t>
      </w:r>
      <w:r>
        <w:rPr>
          <w:rFonts w:ascii="宋体" w:hAnsi="宋体" w:eastAsia="宋体" w:cs="宋体"/>
          <w:color w:val="auto"/>
          <w:sz w:val="24"/>
          <w:szCs w:val="24"/>
          <w:highlight w:val="none"/>
        </w:rPr>
        <w:t>17</w:t>
      </w:r>
      <w:r>
        <w:rPr>
          <w:rFonts w:ascii="宋体" w:hAnsi="宋体" w:eastAsia="宋体" w:cs="宋体"/>
          <w:color w:val="auto"/>
          <w:spacing w:val="-49"/>
          <w:sz w:val="24"/>
          <w:szCs w:val="24"/>
          <w:highlight w:val="none"/>
        </w:rPr>
        <w:t xml:space="preserve"> </w:t>
      </w:r>
      <w:r>
        <w:rPr>
          <w:rFonts w:ascii="宋体" w:hAnsi="宋体" w:eastAsia="宋体" w:cs="宋体"/>
          <w:color w:val="auto"/>
          <w:sz w:val="24"/>
          <w:szCs w:val="24"/>
          <w:highlight w:val="none"/>
        </w:rPr>
        <w:t>条等有关规定</w:t>
      </w:r>
      <w:r>
        <w:rPr>
          <w:rFonts w:ascii="宋体" w:hAnsi="宋体" w:eastAsia="宋体" w:cs="宋体"/>
          <w:color w:val="auto"/>
          <w:spacing w:val="-1"/>
          <w:sz w:val="24"/>
          <w:szCs w:val="24"/>
          <w:highlight w:val="none"/>
        </w:rPr>
        <w:t>执行。</w:t>
      </w:r>
    </w:p>
    <w:p w14:paraId="37606F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41A34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4"/>
          <w:szCs w:val="24"/>
          <w:highlight w:val="none"/>
        </w:rPr>
      </w:pPr>
      <w:bookmarkStart w:id="15" w:name="_Toc31074"/>
      <w:r>
        <w:rPr>
          <w:rFonts w:ascii="宋体" w:hAnsi="宋体" w:eastAsia="宋体" w:cs="宋体"/>
          <w:b/>
          <w:bCs/>
          <w:color w:val="auto"/>
          <w:spacing w:val="-3"/>
          <w:sz w:val="24"/>
          <w:szCs w:val="24"/>
          <w:highlight w:val="none"/>
        </w:rPr>
        <w:t>第八节</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需要补充的其他内容</w:t>
      </w:r>
      <w:bookmarkEnd w:id="15"/>
    </w:p>
    <w:p w14:paraId="13C1700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21E1FF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sectPr>
          <w:footerReference r:id="rId13" w:type="default"/>
          <w:pgSz w:w="11906" w:h="16839"/>
          <w:pgMar w:top="1440" w:right="1800" w:bottom="1440" w:left="1800" w:header="0" w:footer="973" w:gutter="0"/>
          <w:pgNumType w:fmt="decimal"/>
          <w:cols w:space="720" w:num="1"/>
        </w:sectPr>
      </w:pPr>
      <w:r>
        <w:rPr>
          <w:rFonts w:ascii="宋体" w:hAnsi="宋体" w:eastAsia="宋体" w:cs="宋体"/>
          <w:color w:val="auto"/>
          <w:spacing w:val="-1"/>
          <w:sz w:val="24"/>
          <w:szCs w:val="24"/>
          <w:highlight w:val="none"/>
        </w:rPr>
        <w:t>投标人以为需要补充的其他内容。</w:t>
      </w:r>
    </w:p>
    <w:p w14:paraId="726697D5">
      <w:pPr>
        <w:pStyle w:val="2"/>
        <w:spacing w:line="282" w:lineRule="auto"/>
        <w:rPr>
          <w:color w:val="auto"/>
          <w:highlight w:val="none"/>
        </w:rPr>
      </w:pPr>
    </w:p>
    <w:p w14:paraId="328298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rFonts w:ascii="宋体" w:hAnsi="宋体" w:eastAsia="宋体" w:cs="宋体"/>
          <w:color w:val="auto"/>
          <w:sz w:val="31"/>
          <w:szCs w:val="31"/>
          <w:highlight w:val="none"/>
        </w:rPr>
      </w:pPr>
      <w:bookmarkStart w:id="16" w:name="bookmark4"/>
      <w:bookmarkEnd w:id="16"/>
      <w:bookmarkStart w:id="17" w:name="_Toc31146"/>
      <w:r>
        <w:rPr>
          <w:rFonts w:ascii="宋体" w:hAnsi="宋体" w:eastAsia="宋体" w:cs="宋体"/>
          <w:b/>
          <w:bCs/>
          <w:color w:val="auto"/>
          <w:spacing w:val="6"/>
          <w:sz w:val="31"/>
          <w:szCs w:val="31"/>
          <w:highlight w:val="none"/>
        </w:rPr>
        <w:t>第四章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评标办法</w:t>
      </w:r>
      <w:bookmarkEnd w:id="17"/>
    </w:p>
    <w:p w14:paraId="58272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磋商小组对满足磋商文件实质性要求的响应文件，按照本节规定的评审标准进行评审，并按得分由高到低顺序推荐成交候选人。评标中各评委若发生意见分歧，以少</w:t>
      </w:r>
      <w:r>
        <w:rPr>
          <w:rFonts w:ascii="宋体" w:hAnsi="宋体" w:eastAsia="宋体" w:cs="宋体"/>
          <w:color w:val="auto"/>
          <w:spacing w:val="-1"/>
          <w:sz w:val="24"/>
          <w:szCs w:val="24"/>
          <w:highlight w:val="none"/>
        </w:rPr>
        <w:t>数服从多数原则确定。</w:t>
      </w:r>
    </w:p>
    <w:p w14:paraId="39FB0D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一、磋商小组</w:t>
      </w:r>
    </w:p>
    <w:p w14:paraId="7B67CB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 评标由采购人按照《政府采购评审专家管理办法》财库〔2016〕198</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号，依</w:t>
      </w:r>
      <w:r>
        <w:rPr>
          <w:rFonts w:ascii="宋体" w:hAnsi="宋体" w:eastAsia="宋体" w:cs="宋体"/>
          <w:color w:val="auto"/>
          <w:spacing w:val="-3"/>
          <w:sz w:val="24"/>
          <w:szCs w:val="24"/>
          <w:highlight w:val="none"/>
        </w:rPr>
        <w:t>法组建的磋商小组负责。磋商小组由采购人或其委托的采购代理机构熟悉相关业务的代表，以及有关技术、经济等方面的专家组成。磋商小组成员人数以及技术、经济等方面专家的确定方式见投标人须知前附表。磋商小组在监督人员的监督下独立完成评</w:t>
      </w:r>
      <w:r>
        <w:rPr>
          <w:rFonts w:ascii="宋体" w:hAnsi="宋体" w:eastAsia="宋体" w:cs="宋体"/>
          <w:color w:val="auto"/>
          <w:sz w:val="24"/>
          <w:szCs w:val="24"/>
          <w:highlight w:val="none"/>
        </w:rPr>
        <w:t>标工作，负责对响应文件进行审查、质询、评</w:t>
      </w:r>
      <w:r>
        <w:rPr>
          <w:rFonts w:ascii="宋体" w:hAnsi="宋体" w:eastAsia="宋体" w:cs="宋体"/>
          <w:color w:val="auto"/>
          <w:spacing w:val="-1"/>
          <w:sz w:val="24"/>
          <w:szCs w:val="24"/>
          <w:highlight w:val="none"/>
        </w:rPr>
        <w:t>审、推选成交候选人。</w:t>
      </w:r>
    </w:p>
    <w:p w14:paraId="3C650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 磋商小组成员有下列情形之一的，</w:t>
      </w:r>
      <w:r>
        <w:rPr>
          <w:rFonts w:ascii="宋体" w:hAnsi="宋体" w:eastAsia="宋体" w:cs="宋体"/>
          <w:color w:val="auto"/>
          <w:spacing w:val="-2"/>
          <w:sz w:val="24"/>
          <w:szCs w:val="24"/>
          <w:highlight w:val="none"/>
        </w:rPr>
        <w:t>应当回避：</w:t>
      </w:r>
    </w:p>
    <w:p w14:paraId="30C8D3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与投标人的法定代表人或者负责人有夫妻、直系血亲、三代以内旁系血亲或</w:t>
      </w:r>
      <w:r>
        <w:rPr>
          <w:rFonts w:ascii="宋体" w:hAnsi="宋体" w:eastAsia="宋体" w:cs="宋体"/>
          <w:color w:val="auto"/>
          <w:spacing w:val="-2"/>
          <w:sz w:val="24"/>
          <w:szCs w:val="24"/>
          <w:highlight w:val="none"/>
        </w:rPr>
        <w:t>者近姻亲关系；</w:t>
      </w:r>
    </w:p>
    <w:p w14:paraId="3792A0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⑵ 项目主管部门或者行政监督部门的人员；</w:t>
      </w:r>
    </w:p>
    <w:p w14:paraId="1F371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⑶ 与投标人有经济利益关系，可能影响对投标公正评审的；</w:t>
      </w:r>
    </w:p>
    <w:p w14:paraId="1E8F57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⑷</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曾因在招标、评标以及其他与招标投标有关活动中从事违法行为而受过行政</w:t>
      </w:r>
      <w:r>
        <w:rPr>
          <w:rFonts w:ascii="宋体" w:hAnsi="宋体" w:eastAsia="宋体" w:cs="宋体"/>
          <w:color w:val="auto"/>
          <w:spacing w:val="-2"/>
          <w:sz w:val="24"/>
          <w:szCs w:val="24"/>
          <w:highlight w:val="none"/>
        </w:rPr>
        <w:t>处罚或刑事处罚的。</w:t>
      </w:r>
    </w:p>
    <w:p w14:paraId="4DEF0C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1.3 磋商小组按照规定履行下列职责：</w:t>
      </w:r>
    </w:p>
    <w:p w14:paraId="29847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承担响应文件的审核工作，并作出评价；</w:t>
      </w:r>
    </w:p>
    <w:p w14:paraId="0CB0C1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⑵ 要求投标人对响应文件有关事宜作出澄清或答复；</w:t>
      </w:r>
    </w:p>
    <w:p w14:paraId="2E775F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⑶ 对质疑问题的审议工作；</w:t>
      </w:r>
    </w:p>
    <w:p w14:paraId="7E969B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⑷ 推荐候选供应商名单或者直接确定供应商；</w:t>
      </w:r>
    </w:p>
    <w:p w14:paraId="5D899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⑸</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向有关部门反映招标项目评审过程中的问题，提出</w:t>
      </w:r>
      <w:r>
        <w:rPr>
          <w:rFonts w:ascii="宋体" w:hAnsi="宋体" w:eastAsia="宋体" w:cs="宋体"/>
          <w:color w:val="auto"/>
          <w:spacing w:val="-2"/>
          <w:sz w:val="24"/>
          <w:szCs w:val="24"/>
          <w:highlight w:val="none"/>
        </w:rPr>
        <w:t>意见和建议。专家对评审的招标内容负责，并承担相应的责任。</w:t>
      </w:r>
    </w:p>
    <w:p w14:paraId="68234E6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 磋商小组享有以下权利：</w:t>
      </w:r>
    </w:p>
    <w:p w14:paraId="7E7E22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color w:val="auto"/>
          <w:spacing w:val="8"/>
          <w:sz w:val="24"/>
          <w:szCs w:val="24"/>
          <w:highlight w:val="none"/>
        </w:rPr>
      </w:pPr>
      <w:r>
        <w:rPr>
          <w:rFonts w:ascii="宋体" w:hAnsi="宋体" w:eastAsia="宋体" w:cs="宋体"/>
          <w:color w:val="auto"/>
          <w:spacing w:val="-4"/>
          <w:sz w:val="24"/>
          <w:szCs w:val="24"/>
          <w:highlight w:val="none"/>
        </w:rPr>
        <w:t>⑴ 对供应商所供货物、服务质量的评审权；</w:t>
      </w:r>
      <w:r>
        <w:rPr>
          <w:rFonts w:ascii="宋体" w:hAnsi="宋体" w:eastAsia="宋体" w:cs="宋体"/>
          <w:color w:val="auto"/>
          <w:spacing w:val="8"/>
          <w:sz w:val="24"/>
          <w:szCs w:val="24"/>
          <w:highlight w:val="none"/>
        </w:rPr>
        <w:t xml:space="preserve"> </w:t>
      </w:r>
    </w:p>
    <w:p w14:paraId="3DBD23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color w:val="auto"/>
          <w:spacing w:val="8"/>
          <w:sz w:val="24"/>
          <w:szCs w:val="24"/>
          <w:highlight w:val="none"/>
        </w:rPr>
      </w:pPr>
      <w:r>
        <w:rPr>
          <w:rFonts w:ascii="宋体" w:hAnsi="宋体" w:eastAsia="宋体" w:cs="宋体"/>
          <w:color w:val="auto"/>
          <w:spacing w:val="-4"/>
          <w:sz w:val="24"/>
          <w:szCs w:val="24"/>
          <w:highlight w:val="none"/>
        </w:rPr>
        <w:t>⑵ 按照磋商文件对评审意见承担相应责任；</w:t>
      </w:r>
      <w:r>
        <w:rPr>
          <w:rFonts w:ascii="宋体" w:hAnsi="宋体" w:eastAsia="宋体" w:cs="宋体"/>
          <w:color w:val="auto"/>
          <w:spacing w:val="8"/>
          <w:sz w:val="24"/>
          <w:szCs w:val="24"/>
          <w:highlight w:val="none"/>
        </w:rPr>
        <w:t xml:space="preserve"> </w:t>
      </w:r>
    </w:p>
    <w:p w14:paraId="104B9F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auto"/>
          <w:sz w:val="24"/>
          <w:szCs w:val="24"/>
          <w:highlight w:val="none"/>
        </w:rPr>
        <w:sectPr>
          <w:footerReference r:id="rId14" w:type="default"/>
          <w:pgSz w:w="11906" w:h="16839"/>
          <w:pgMar w:top="1440" w:right="1800" w:bottom="1440" w:left="1800" w:header="0" w:footer="973" w:gutter="0"/>
          <w:pgNumType w:fmt="decimal"/>
          <w:cols w:space="720" w:num="1"/>
        </w:sectPr>
      </w:pPr>
      <w:r>
        <w:rPr>
          <w:rFonts w:ascii="宋体" w:hAnsi="宋体" w:eastAsia="宋体" w:cs="宋体"/>
          <w:color w:val="auto"/>
          <w:spacing w:val="-1"/>
          <w:sz w:val="24"/>
          <w:szCs w:val="24"/>
          <w:highlight w:val="none"/>
        </w:rPr>
        <w:t>⑶ 推荐成交候选人供应商的表决权；</w:t>
      </w:r>
    </w:p>
    <w:p w14:paraId="1FABFD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⑷ 参与评标报告的书写；</w:t>
      </w:r>
    </w:p>
    <w:p w14:paraId="15F9A7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pacing w:val="8"/>
          <w:sz w:val="24"/>
          <w:szCs w:val="24"/>
          <w:highlight w:val="none"/>
        </w:rPr>
      </w:pPr>
      <w:r>
        <w:rPr>
          <w:rFonts w:ascii="宋体" w:hAnsi="宋体" w:eastAsia="宋体" w:cs="宋体"/>
          <w:color w:val="auto"/>
          <w:spacing w:val="-5"/>
          <w:sz w:val="24"/>
          <w:szCs w:val="24"/>
          <w:highlight w:val="none"/>
        </w:rPr>
        <w:t>⑸ 配合相关部门的投诉处理工作；</w:t>
      </w:r>
      <w:r>
        <w:rPr>
          <w:rFonts w:ascii="宋体" w:hAnsi="宋体" w:eastAsia="宋体" w:cs="宋体"/>
          <w:color w:val="auto"/>
          <w:spacing w:val="8"/>
          <w:sz w:val="24"/>
          <w:szCs w:val="24"/>
          <w:highlight w:val="none"/>
        </w:rPr>
        <w:t xml:space="preserve"> </w:t>
      </w:r>
    </w:p>
    <w:p w14:paraId="3217D7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⑹ 配合答复投标人提出的质疑。</w:t>
      </w:r>
    </w:p>
    <w:p w14:paraId="76E5C0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二、评标原则</w:t>
      </w:r>
    </w:p>
    <w:p w14:paraId="6E9550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⑴ 评标过程中应遵循公开、公平、公正、择优的原则；</w:t>
      </w:r>
    </w:p>
    <w:p w14:paraId="1E4D00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pacing w:val="16"/>
          <w:sz w:val="24"/>
          <w:szCs w:val="24"/>
          <w:highlight w:val="none"/>
        </w:rPr>
      </w:pPr>
      <w:r>
        <w:rPr>
          <w:rFonts w:ascii="宋体" w:hAnsi="宋体" w:eastAsia="宋体" w:cs="宋体"/>
          <w:color w:val="auto"/>
          <w:spacing w:val="-4"/>
          <w:sz w:val="24"/>
          <w:szCs w:val="24"/>
          <w:highlight w:val="none"/>
        </w:rPr>
        <w:t>⑵ 评标应同时维护用户单位和投标单位的利益；</w:t>
      </w:r>
      <w:r>
        <w:rPr>
          <w:rFonts w:ascii="宋体" w:hAnsi="宋体" w:eastAsia="宋体" w:cs="宋体"/>
          <w:color w:val="auto"/>
          <w:spacing w:val="16"/>
          <w:sz w:val="24"/>
          <w:szCs w:val="24"/>
          <w:highlight w:val="none"/>
        </w:rPr>
        <w:t xml:space="preserve"> </w:t>
      </w:r>
    </w:p>
    <w:p w14:paraId="4C31BF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⑶ 资格审查合格的投标企业，中标机会均等；</w:t>
      </w:r>
    </w:p>
    <w:p w14:paraId="1B6D72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pacing w:val="15"/>
          <w:sz w:val="24"/>
          <w:szCs w:val="24"/>
          <w:highlight w:val="none"/>
        </w:rPr>
      </w:pPr>
      <w:r>
        <w:rPr>
          <w:rFonts w:ascii="宋体" w:hAnsi="宋体" w:eastAsia="宋体" w:cs="宋体"/>
          <w:color w:val="auto"/>
          <w:spacing w:val="-3"/>
          <w:sz w:val="24"/>
          <w:szCs w:val="24"/>
          <w:highlight w:val="none"/>
        </w:rPr>
        <w:t>⑷ 评标人员应独立进行评审，对个人的评审意见承担法律责任；</w:t>
      </w:r>
      <w:r>
        <w:rPr>
          <w:rFonts w:ascii="宋体" w:hAnsi="宋体" w:eastAsia="宋体" w:cs="宋体"/>
          <w:color w:val="auto"/>
          <w:spacing w:val="15"/>
          <w:sz w:val="24"/>
          <w:szCs w:val="24"/>
          <w:highlight w:val="none"/>
        </w:rPr>
        <w:t xml:space="preserve"> </w:t>
      </w:r>
    </w:p>
    <w:p w14:paraId="7EADB8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⑸ 评标人员不得私自泄露评标内容；</w:t>
      </w:r>
    </w:p>
    <w:p w14:paraId="62536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⑹ 评标采取质量、性能、价格、服务综合比、物有所值。</w:t>
      </w:r>
    </w:p>
    <w:p w14:paraId="6E437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三、评标标准</w:t>
      </w:r>
    </w:p>
    <w:p w14:paraId="410392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 有效性审查：评审因素和评审标准见《有效性审查标准》。</w:t>
      </w:r>
    </w:p>
    <w:p w14:paraId="2B28D5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3.2 资格审查标准：评审因素和评审标准见《资格审查标准》。</w:t>
      </w:r>
    </w:p>
    <w:p w14:paraId="2910E7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3.3 完备性及符合性审查标准：评审因素和评审标准见《完备性及符合性审查标</w:t>
      </w:r>
      <w:r>
        <w:rPr>
          <w:rFonts w:ascii="宋体" w:hAnsi="宋体" w:eastAsia="宋体" w:cs="宋体"/>
          <w:color w:val="auto"/>
          <w:spacing w:val="-4"/>
          <w:sz w:val="24"/>
          <w:szCs w:val="24"/>
          <w:highlight w:val="none"/>
        </w:rPr>
        <w:t>准》。</w:t>
      </w:r>
    </w:p>
    <w:p w14:paraId="4B9CF9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3.4 详细评审标准：</w:t>
      </w:r>
    </w:p>
    <w:p w14:paraId="53E2C716">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right="0" w:firstLine="0" w:firstLineChars="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⑴ 技术详细评审标准：评审因素和评审标准见《技术标详细评审标准》。</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⑵ 投标报价评分标准：</w:t>
      </w:r>
    </w:p>
    <w:p w14:paraId="512A12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 分值构成及权重：见评标办法前附表。</w:t>
      </w:r>
    </w:p>
    <w:p w14:paraId="14E515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 评标基准价计算：见评标办法前附表。</w:t>
      </w:r>
    </w:p>
    <w:p w14:paraId="1B314D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 投标报价的偏差率计算：见评标办法前附表。</w:t>
      </w:r>
    </w:p>
    <w:p w14:paraId="13A07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④ 投标报价得分的计算：见评标办法前附表。</w:t>
      </w:r>
    </w:p>
    <w:p w14:paraId="0F992A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四、评标程序</w:t>
      </w:r>
    </w:p>
    <w:p w14:paraId="73E9E8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jc w:val="both"/>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评标活动将按以下步骤进行：评标准备，熟悉文件资料，有效性审查，资格审查，</w:t>
      </w:r>
      <w:r>
        <w:rPr>
          <w:rFonts w:ascii="宋体" w:hAnsi="宋体" w:eastAsia="宋体" w:cs="宋体"/>
          <w:color w:val="auto"/>
          <w:spacing w:val="-3"/>
          <w:sz w:val="24"/>
          <w:szCs w:val="24"/>
          <w:highlight w:val="none"/>
        </w:rPr>
        <w:t>完备性及符合性审查，详细评审，澄清、说明或补正，推荐成交候选人及提交评标报</w:t>
      </w:r>
      <w:r>
        <w:rPr>
          <w:rFonts w:ascii="宋体" w:hAnsi="宋体" w:eastAsia="宋体" w:cs="宋体"/>
          <w:color w:val="auto"/>
          <w:spacing w:val="-6"/>
          <w:sz w:val="24"/>
          <w:szCs w:val="24"/>
          <w:highlight w:val="none"/>
        </w:rPr>
        <w:t>告。</w:t>
      </w:r>
    </w:p>
    <w:p w14:paraId="438100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4.1 评标准备</w:t>
      </w:r>
    </w:p>
    <w:p w14:paraId="5DE88B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11"/>
          <w:sz w:val="24"/>
          <w:szCs w:val="24"/>
          <w:highlight w:val="none"/>
        </w:rPr>
      </w:pPr>
      <w:r>
        <w:rPr>
          <w:rFonts w:ascii="宋体" w:hAnsi="宋体" w:eastAsia="宋体" w:cs="宋体"/>
          <w:color w:val="auto"/>
          <w:spacing w:val="-2"/>
          <w:sz w:val="24"/>
          <w:szCs w:val="24"/>
          <w:highlight w:val="none"/>
        </w:rPr>
        <w:t>⑴ 磋商小组成员到达评标现场时应当在签到表上签到以证明其出席。</w:t>
      </w:r>
      <w:r>
        <w:rPr>
          <w:rFonts w:ascii="宋体" w:hAnsi="宋体" w:eastAsia="宋体" w:cs="宋体"/>
          <w:color w:val="auto"/>
          <w:spacing w:val="11"/>
          <w:sz w:val="24"/>
          <w:szCs w:val="24"/>
          <w:highlight w:val="none"/>
        </w:rPr>
        <w:t xml:space="preserve"> </w:t>
      </w:r>
    </w:p>
    <w:p w14:paraId="7A7BF8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⑵ 磋商小组的分工。</w:t>
      </w:r>
    </w:p>
    <w:p w14:paraId="513A3B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15" w:type="default"/>
          <w:pgSz w:w="11906" w:h="16839"/>
          <w:pgMar w:top="1440" w:right="1800" w:bottom="1440" w:left="1800" w:header="0" w:footer="973" w:gutter="0"/>
          <w:pgNumType w:fmt="decimal"/>
          <w:cols w:space="720" w:num="1"/>
        </w:sectPr>
      </w:pPr>
    </w:p>
    <w:p w14:paraId="506425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 磋商小组首先推选一名磋商小组主任。</w:t>
      </w:r>
    </w:p>
    <w:p w14:paraId="0AADC5A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② 磋商小组主任负责评标活动的组织领导工作。磋商小组主任与磋商小组其</w:t>
      </w:r>
      <w:r>
        <w:rPr>
          <w:rFonts w:ascii="宋体" w:hAnsi="宋体" w:eastAsia="宋体" w:cs="宋体"/>
          <w:color w:val="auto"/>
          <w:spacing w:val="-1"/>
          <w:sz w:val="24"/>
          <w:szCs w:val="24"/>
          <w:highlight w:val="none"/>
        </w:rPr>
        <w:t>他成员具有同等的评标权力；</w:t>
      </w:r>
    </w:p>
    <w:p w14:paraId="4B32220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③ 磋商小组主任除履行自己作为磋商小组成员独立评标的职责外，主要负责</w:t>
      </w:r>
      <w:r>
        <w:rPr>
          <w:rFonts w:ascii="宋体" w:hAnsi="宋体" w:eastAsia="宋体" w:cs="宋体"/>
          <w:color w:val="auto"/>
          <w:spacing w:val="-8"/>
          <w:sz w:val="24"/>
          <w:szCs w:val="24"/>
          <w:highlight w:val="none"/>
        </w:rPr>
        <w:t>以下工作；</w:t>
      </w:r>
    </w:p>
    <w:p w14:paraId="5CD51D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⒈ 组织磋商小组成员学习磋商文件；</w:t>
      </w:r>
    </w:p>
    <w:p w14:paraId="6F7742D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textAlignment w:val="baseline"/>
        <w:rPr>
          <w:rFonts w:ascii="宋体" w:hAnsi="宋体" w:eastAsia="宋体" w:cs="宋体"/>
          <w:color w:val="auto"/>
          <w:spacing w:val="16"/>
          <w:sz w:val="24"/>
          <w:szCs w:val="24"/>
          <w:highlight w:val="none"/>
        </w:rPr>
      </w:pPr>
      <w:r>
        <w:rPr>
          <w:rFonts w:ascii="宋体" w:hAnsi="宋体" w:eastAsia="宋体" w:cs="宋体"/>
          <w:color w:val="auto"/>
          <w:spacing w:val="-5"/>
          <w:sz w:val="24"/>
          <w:szCs w:val="24"/>
          <w:highlight w:val="none"/>
        </w:rPr>
        <w:t>⒉ 汇总各磋商小组成员认为需要投标人澄清、说明或者补正的问题；</w:t>
      </w:r>
      <w:r>
        <w:rPr>
          <w:rFonts w:ascii="宋体" w:hAnsi="宋体" w:eastAsia="宋体" w:cs="宋体"/>
          <w:color w:val="auto"/>
          <w:spacing w:val="16"/>
          <w:sz w:val="24"/>
          <w:szCs w:val="24"/>
          <w:highlight w:val="none"/>
        </w:rPr>
        <w:t xml:space="preserve"> </w:t>
      </w:r>
    </w:p>
    <w:p w14:paraId="5D28796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⒊ 组织磋商小组对投标人质询并对投标人的答复进行评审；</w:t>
      </w:r>
    </w:p>
    <w:p w14:paraId="21FF72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⒋ 对出现较大争议的事项进行书面记录；</w:t>
      </w:r>
    </w:p>
    <w:p w14:paraId="7085E8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⒌ 组织收回评标过程中使用的文件、表格和评标记录以及其他资料，并查验</w:t>
      </w:r>
      <w:r>
        <w:rPr>
          <w:rFonts w:ascii="宋体" w:hAnsi="宋体" w:eastAsia="宋体" w:cs="宋体"/>
          <w:color w:val="auto"/>
          <w:spacing w:val="-1"/>
          <w:sz w:val="24"/>
          <w:szCs w:val="24"/>
          <w:highlight w:val="none"/>
        </w:rPr>
        <w:t>评标记录的完整性及有效性；</w:t>
      </w:r>
    </w:p>
    <w:p w14:paraId="2F4DF3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firstLineChars="201"/>
        <w:textAlignment w:val="baseline"/>
        <w:rPr>
          <w:rFonts w:ascii="宋体" w:hAnsi="宋体" w:eastAsia="宋体" w:cs="宋体"/>
          <w:color w:val="auto"/>
          <w:spacing w:val="3"/>
          <w:sz w:val="24"/>
          <w:szCs w:val="24"/>
          <w:highlight w:val="none"/>
        </w:rPr>
      </w:pPr>
      <w:r>
        <w:rPr>
          <w:rFonts w:ascii="宋体" w:hAnsi="宋体" w:eastAsia="宋体" w:cs="宋体"/>
          <w:color w:val="auto"/>
          <w:spacing w:val="-9"/>
          <w:sz w:val="24"/>
          <w:szCs w:val="24"/>
          <w:highlight w:val="none"/>
        </w:rPr>
        <w:t>⒍ 组织对评标结论进行复核确认；</w:t>
      </w:r>
      <w:r>
        <w:rPr>
          <w:rFonts w:ascii="宋体" w:hAnsi="宋体" w:eastAsia="宋体" w:cs="宋体"/>
          <w:color w:val="auto"/>
          <w:spacing w:val="3"/>
          <w:sz w:val="24"/>
          <w:szCs w:val="24"/>
          <w:highlight w:val="none"/>
        </w:rPr>
        <w:t xml:space="preserve"> </w:t>
      </w:r>
    </w:p>
    <w:p w14:paraId="14FF06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1"/>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⒎ 组织编写评标报告。</w:t>
      </w:r>
    </w:p>
    <w:p w14:paraId="2C7469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4.2 熟悉文件资料。</w:t>
      </w:r>
    </w:p>
    <w:p w14:paraId="3F5825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磋商小组主任应当组织磋商小组成员认真研究磋商文件，了解和熟悉招标目</w:t>
      </w:r>
      <w:r>
        <w:rPr>
          <w:rFonts w:ascii="宋体" w:hAnsi="宋体" w:eastAsia="宋体" w:cs="宋体"/>
          <w:color w:val="auto"/>
          <w:spacing w:val="-2"/>
          <w:sz w:val="24"/>
          <w:szCs w:val="24"/>
          <w:highlight w:val="none"/>
        </w:rPr>
        <w:t>的、招标范围、主要合同条件、技术标准、质量标准和要求，掌握评标标准和方法，</w:t>
      </w:r>
      <w:r>
        <w:rPr>
          <w:rFonts w:ascii="宋体" w:hAnsi="宋体" w:eastAsia="宋体" w:cs="宋体"/>
          <w:color w:val="auto"/>
          <w:spacing w:val="-3"/>
          <w:sz w:val="24"/>
          <w:szCs w:val="24"/>
          <w:highlight w:val="none"/>
        </w:rPr>
        <w:t>熟悉本章及附件中包括的评标表格的使用，如果本章及附件所附的表格不能满足评标</w:t>
      </w:r>
      <w:r>
        <w:rPr>
          <w:rFonts w:ascii="宋体" w:hAnsi="宋体" w:eastAsia="宋体" w:cs="宋体"/>
          <w:color w:val="auto"/>
          <w:spacing w:val="-1"/>
          <w:sz w:val="24"/>
          <w:szCs w:val="24"/>
          <w:highlight w:val="none"/>
        </w:rPr>
        <w:t>所需时，磋商小组应当补充编制评标所需的表格。</w:t>
      </w:r>
    </w:p>
    <w:p w14:paraId="432B2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⑵ 采购人或采购代理机构应当向磋商小组提供评标所</w:t>
      </w:r>
      <w:r>
        <w:rPr>
          <w:rFonts w:ascii="宋体" w:hAnsi="宋体" w:eastAsia="宋体" w:cs="宋体"/>
          <w:color w:val="auto"/>
          <w:spacing w:val="-1"/>
          <w:sz w:val="24"/>
          <w:szCs w:val="24"/>
          <w:highlight w:val="none"/>
        </w:rPr>
        <w:t>需的信息和数据，包括：</w:t>
      </w:r>
    </w:p>
    <w:p w14:paraId="1BF04C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 磋商文件及其澄清修改等磋商文件补充；</w:t>
      </w:r>
    </w:p>
    <w:p w14:paraId="1713C7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 未在开标会上当场拒绝的各响应文件；</w:t>
      </w:r>
    </w:p>
    <w:p w14:paraId="748C9D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 开标会记录；</w:t>
      </w:r>
    </w:p>
    <w:p w14:paraId="3B08FD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④ 评标表格；</w:t>
      </w:r>
    </w:p>
    <w:p w14:paraId="1DA8A4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⑤ 其他信息和数据。</w:t>
      </w:r>
    </w:p>
    <w:p w14:paraId="168842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4.3</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有效性审查</w:t>
      </w:r>
    </w:p>
    <w:p w14:paraId="6701F3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9"/>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监督人依据本章规定的审查标准，对投标人进行有效性审查，有效性未</w:t>
      </w:r>
      <w:r>
        <w:rPr>
          <w:rFonts w:ascii="宋体" w:hAnsi="宋体" w:eastAsia="宋体" w:cs="宋体"/>
          <w:color w:val="auto"/>
          <w:spacing w:val="-4"/>
          <w:sz w:val="24"/>
          <w:szCs w:val="24"/>
          <w:highlight w:val="none"/>
        </w:rPr>
        <w:t>通过审</w:t>
      </w:r>
      <w:r>
        <w:rPr>
          <w:rFonts w:ascii="宋体" w:hAnsi="宋体" w:eastAsia="宋体" w:cs="宋体"/>
          <w:color w:val="auto"/>
          <w:spacing w:val="-3"/>
          <w:sz w:val="24"/>
          <w:szCs w:val="24"/>
          <w:highlight w:val="none"/>
        </w:rPr>
        <w:t>查标准，监督人将认定整个响应文件不响应磋商文件而否决其投标，并且不允许投标</w:t>
      </w:r>
      <w:r>
        <w:rPr>
          <w:rFonts w:ascii="宋体" w:hAnsi="宋体" w:eastAsia="宋体" w:cs="宋体"/>
          <w:color w:val="auto"/>
          <w:sz w:val="24"/>
          <w:szCs w:val="24"/>
          <w:highlight w:val="none"/>
        </w:rPr>
        <w:t>人通过修改或撤销其不符合要求的差异或保留，</w:t>
      </w:r>
      <w:r>
        <w:rPr>
          <w:rFonts w:ascii="宋体" w:hAnsi="宋体" w:eastAsia="宋体" w:cs="宋体"/>
          <w:color w:val="auto"/>
          <w:spacing w:val="-1"/>
          <w:sz w:val="24"/>
          <w:szCs w:val="24"/>
          <w:highlight w:val="none"/>
        </w:rPr>
        <w:t>使之成为具有响应性的投标。</w:t>
      </w:r>
    </w:p>
    <w:p w14:paraId="599EE37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highlight w:val="none"/>
        </w:rPr>
      </w:pPr>
      <w:r>
        <w:rPr>
          <w:rFonts w:ascii="宋体" w:hAnsi="宋体" w:eastAsia="宋体" w:cs="宋体"/>
          <w:color w:val="auto"/>
          <w:spacing w:val="-2"/>
          <w:sz w:val="24"/>
          <w:szCs w:val="24"/>
          <w:highlight w:val="none"/>
        </w:rPr>
        <w:t>4.4</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资格审查（适用于资格后审）</w:t>
      </w:r>
    </w:p>
    <w:p w14:paraId="38E539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采购人会依据本章规定的评审因素和审查标准，对投标人的资格审查资料进行资格审查。资格审查有一项未通过审查标准，采购人将认定整个响应文件不响应磋商文件而否决其投标，并且不允许投标人通过修改或撤销其不符合要求的差异或保留，使</w:t>
      </w:r>
      <w:r>
        <w:rPr>
          <w:rFonts w:ascii="宋体" w:hAnsi="宋体" w:eastAsia="宋体" w:cs="宋体"/>
          <w:color w:val="auto"/>
          <w:spacing w:val="-1"/>
          <w:sz w:val="24"/>
          <w:szCs w:val="24"/>
          <w:highlight w:val="none"/>
        </w:rPr>
        <w:t>之成为具有响应性的投标。</w:t>
      </w:r>
    </w:p>
    <w:p w14:paraId="07C8C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4.5</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完备性及符合性审查</w:t>
      </w:r>
    </w:p>
    <w:p w14:paraId="454A1D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磋商小组依据本章规定的评审因素和评审标准，对投标人的响应文件进行完</w:t>
      </w:r>
      <w:r>
        <w:rPr>
          <w:rFonts w:ascii="宋体" w:hAnsi="宋体" w:eastAsia="宋体" w:cs="宋体"/>
          <w:color w:val="auto"/>
          <w:spacing w:val="-3"/>
          <w:sz w:val="24"/>
          <w:szCs w:val="24"/>
          <w:highlight w:val="none"/>
        </w:rPr>
        <w:t>备性及符合性审查。完备性及符合性审查有一项未通过评审标准，磋商小组将认定整个响应文件不响应磋商文件而否决其投标，并且不允许投标人通过修改或撤销其不符</w:t>
      </w:r>
      <w:r>
        <w:rPr>
          <w:rFonts w:ascii="宋体" w:hAnsi="宋体" w:eastAsia="宋体" w:cs="宋体"/>
          <w:color w:val="auto"/>
          <w:spacing w:val="-1"/>
          <w:sz w:val="24"/>
          <w:szCs w:val="24"/>
          <w:highlight w:val="none"/>
        </w:rPr>
        <w:t>合要求的差异或保留，使之成为具有响应性的投标。</w:t>
      </w:r>
    </w:p>
    <w:p w14:paraId="46E41D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⑵ 完备性及符合性审查条款是指对本招标项目产生了重大影响的重大偏差，而且纠正此类偏差将会对响应本次招标的其他投标人的竞争</w:t>
      </w:r>
      <w:r>
        <w:rPr>
          <w:rFonts w:ascii="宋体" w:hAnsi="宋体" w:eastAsia="宋体" w:cs="宋体"/>
          <w:color w:val="auto"/>
          <w:spacing w:val="-1"/>
          <w:sz w:val="24"/>
          <w:szCs w:val="24"/>
          <w:highlight w:val="none"/>
        </w:rPr>
        <w:t>地位产生不公正的影响。</w:t>
      </w:r>
    </w:p>
    <w:p w14:paraId="0F8B1C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细微偏差是指响应文件在实质上响应磋商文件要求，但在个别地方存在疏漏</w:t>
      </w:r>
      <w:r>
        <w:rPr>
          <w:rFonts w:ascii="宋体" w:hAnsi="宋体" w:eastAsia="宋体" w:cs="宋体"/>
          <w:color w:val="auto"/>
          <w:spacing w:val="-3"/>
          <w:sz w:val="24"/>
          <w:szCs w:val="24"/>
          <w:highlight w:val="none"/>
        </w:rPr>
        <w:t>或者提供了不完整的技术信息和数据等情况，并且补正这些遗漏和不完整不会对其他投标人造成不公平的结果。细微偏差不影响响应文件的有效性，磋商小组可要求存在</w:t>
      </w:r>
      <w:r>
        <w:rPr>
          <w:rFonts w:ascii="宋体" w:hAnsi="宋体" w:eastAsia="宋体" w:cs="宋体"/>
          <w:color w:val="auto"/>
          <w:spacing w:val="-1"/>
          <w:sz w:val="24"/>
          <w:szCs w:val="24"/>
          <w:highlight w:val="none"/>
        </w:rPr>
        <w:t>细微偏差的投标人予以补正。</w:t>
      </w:r>
    </w:p>
    <w:p w14:paraId="4C975F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4.6</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详细评审</w:t>
      </w:r>
    </w:p>
    <w:p w14:paraId="2444B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只有通过了有效性审查、资格审查、完备性及符合性审查的投标方可进入详</w:t>
      </w:r>
      <w:r>
        <w:rPr>
          <w:rFonts w:ascii="宋体" w:hAnsi="宋体" w:eastAsia="宋体" w:cs="宋体"/>
          <w:color w:val="auto"/>
          <w:spacing w:val="-3"/>
          <w:sz w:val="24"/>
          <w:szCs w:val="24"/>
          <w:highlight w:val="none"/>
        </w:rPr>
        <w:t>细评审。</w:t>
      </w:r>
    </w:p>
    <w:p w14:paraId="5F46A7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⑵ 澄清答疑：在不改变投标人响应文件实质性内容的前提下，磋商小组应当对</w:t>
      </w:r>
      <w:r>
        <w:rPr>
          <w:rFonts w:ascii="宋体" w:hAnsi="宋体" w:eastAsia="宋体" w:cs="宋体"/>
          <w:color w:val="auto"/>
          <w:spacing w:val="-3"/>
          <w:sz w:val="24"/>
          <w:szCs w:val="24"/>
          <w:highlight w:val="none"/>
        </w:rPr>
        <w:t>响应文件进行基础性数据分析和整理，从而发现并提取其中可能存在的对招标范围理</w:t>
      </w:r>
      <w:r>
        <w:rPr>
          <w:rFonts w:ascii="宋体" w:hAnsi="宋体" w:eastAsia="宋体" w:cs="宋体"/>
          <w:color w:val="auto"/>
          <w:spacing w:val="-1"/>
          <w:sz w:val="24"/>
          <w:szCs w:val="24"/>
          <w:highlight w:val="none"/>
        </w:rPr>
        <w:t>解的偏差、技术响应偏离、投标报价的算术性错误、错漏项、投标报价构成不合理、</w:t>
      </w:r>
      <w:r>
        <w:rPr>
          <w:rFonts w:ascii="宋体" w:hAnsi="宋体" w:eastAsia="宋体" w:cs="宋体"/>
          <w:color w:val="auto"/>
          <w:spacing w:val="-3"/>
          <w:sz w:val="24"/>
          <w:szCs w:val="24"/>
          <w:highlight w:val="none"/>
        </w:rPr>
        <w:t>不平衡报价等存在明显异常的问题。磋商小组针对需要投标人进行书面澄清、说明或补正的，可向投标人发出书面澄清通知。澄清通知不得向投标人提出带有暗示性或诱导性问题，或向其明确响应文件中的遗漏和错误。投标人接到磋商小组发出的书面澄</w:t>
      </w:r>
      <w:r>
        <w:rPr>
          <w:rFonts w:ascii="宋体" w:hAnsi="宋体" w:eastAsia="宋体" w:cs="宋体"/>
          <w:color w:val="auto"/>
          <w:spacing w:val="-7"/>
          <w:sz w:val="24"/>
          <w:szCs w:val="24"/>
          <w:highlight w:val="none"/>
        </w:rPr>
        <w:t>清通知后，应按磋商小组的要求提供书面澄清资料，并在规定的时间递交到指定地点。</w:t>
      </w:r>
    </w:p>
    <w:p w14:paraId="53FFF9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技术详细评审：见附表《技术标详细评审标准》。投标人的技术标详细评审</w:t>
      </w:r>
      <w:r>
        <w:rPr>
          <w:rFonts w:ascii="宋体" w:hAnsi="宋体" w:eastAsia="宋体" w:cs="宋体"/>
          <w:color w:val="auto"/>
          <w:spacing w:val="-1"/>
          <w:sz w:val="24"/>
          <w:szCs w:val="24"/>
          <w:highlight w:val="none"/>
        </w:rPr>
        <w:t>得分等于全部评委评分的算术平均值。</w:t>
      </w:r>
    </w:p>
    <w:p w14:paraId="51CAB7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16" w:type="default"/>
          <w:pgSz w:w="11906" w:h="16839"/>
          <w:pgMar w:top="1440" w:right="1800" w:bottom="1440" w:left="1800" w:header="0" w:footer="973" w:gutter="0"/>
          <w:pgNumType w:fmt="decimal"/>
          <w:cols w:space="720" w:num="1"/>
        </w:sectPr>
      </w:pPr>
    </w:p>
    <w:p w14:paraId="4F3A5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⑷ 算术错误修正：投标报价有算术错误的，磋商小组按以下原则对投标报价进</w:t>
      </w:r>
      <w:r>
        <w:rPr>
          <w:rFonts w:ascii="宋体" w:hAnsi="宋体" w:eastAsia="宋体" w:cs="宋体"/>
          <w:color w:val="auto"/>
          <w:spacing w:val="-3"/>
          <w:sz w:val="24"/>
          <w:szCs w:val="24"/>
          <w:highlight w:val="none"/>
        </w:rPr>
        <w:t>行修正，修正的价格经投标人书面确认后具有约束力。投标人不接受修正价格的，其</w:t>
      </w:r>
      <w:r>
        <w:rPr>
          <w:rFonts w:ascii="宋体" w:hAnsi="宋体" w:eastAsia="宋体" w:cs="宋体"/>
          <w:color w:val="auto"/>
          <w:spacing w:val="-2"/>
          <w:sz w:val="24"/>
          <w:szCs w:val="24"/>
          <w:highlight w:val="none"/>
        </w:rPr>
        <w:t>投标将被否决。</w:t>
      </w:r>
    </w:p>
    <w:p w14:paraId="583614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⑸ 磋商小组发现投标人的报价明显低于其他投标报价，使得其投标报价可能低</w:t>
      </w:r>
      <w:r>
        <w:rPr>
          <w:rFonts w:ascii="宋体" w:hAnsi="宋体" w:eastAsia="宋体" w:cs="宋体"/>
          <w:color w:val="auto"/>
          <w:spacing w:val="-3"/>
          <w:sz w:val="24"/>
          <w:szCs w:val="24"/>
          <w:highlight w:val="none"/>
        </w:rPr>
        <w:t>于其个别成本的，应当要求该投标人作出书面说明并提供相应的证明材料。投标人不能合理说明或者不能提供相应证明材料的，由磋商小组认定该投标人以低于成本报价</w:t>
      </w:r>
      <w:r>
        <w:rPr>
          <w:rFonts w:ascii="宋体" w:hAnsi="宋体" w:eastAsia="宋体" w:cs="宋体"/>
          <w:color w:val="auto"/>
          <w:spacing w:val="-2"/>
          <w:sz w:val="24"/>
          <w:szCs w:val="24"/>
          <w:highlight w:val="none"/>
        </w:rPr>
        <w:t>竞标，否决其投标。</w:t>
      </w:r>
    </w:p>
    <w:p w14:paraId="409D44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4.7</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澄清、说明和补正</w:t>
      </w:r>
    </w:p>
    <w:p w14:paraId="3D844C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在不改变投标人响应文件实质性内容的前提下，磋商小组应当对响应文件进</w:t>
      </w:r>
      <w:r>
        <w:rPr>
          <w:rFonts w:ascii="宋体" w:hAnsi="宋体" w:eastAsia="宋体" w:cs="宋体"/>
          <w:color w:val="auto"/>
          <w:spacing w:val="-1"/>
          <w:sz w:val="24"/>
          <w:szCs w:val="24"/>
          <w:highlight w:val="none"/>
        </w:rPr>
        <w:t>行基础性数据分析和整理，从而发现并提取其中可</w:t>
      </w:r>
      <w:r>
        <w:rPr>
          <w:rFonts w:ascii="宋体" w:hAnsi="宋体" w:eastAsia="宋体" w:cs="宋体"/>
          <w:color w:val="auto"/>
          <w:spacing w:val="-2"/>
          <w:sz w:val="24"/>
          <w:szCs w:val="24"/>
          <w:highlight w:val="none"/>
        </w:rPr>
        <w:t>能存在的对招标范围理解的偏差、</w:t>
      </w:r>
      <w:r>
        <w:rPr>
          <w:rFonts w:ascii="宋体" w:hAnsi="宋体" w:eastAsia="宋体" w:cs="宋体"/>
          <w:color w:val="auto"/>
          <w:spacing w:val="-3"/>
          <w:sz w:val="24"/>
          <w:szCs w:val="24"/>
          <w:highlight w:val="none"/>
        </w:rPr>
        <w:t>技术响应偏离、投标价格的算术性错误、错漏项、投标价格构成不合理、不平衡报价</w:t>
      </w:r>
      <w:r>
        <w:rPr>
          <w:rFonts w:ascii="宋体" w:hAnsi="宋体" w:eastAsia="宋体" w:cs="宋体"/>
          <w:color w:val="auto"/>
          <w:spacing w:val="-1"/>
          <w:sz w:val="24"/>
          <w:szCs w:val="24"/>
          <w:highlight w:val="none"/>
        </w:rPr>
        <w:t>等存在明显异常的问题。</w:t>
      </w:r>
    </w:p>
    <w:p w14:paraId="0B1C8A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⑵ 澄清、说明和补正内容不得改变响应文件的实质性内容（算术性错误修正的</w:t>
      </w:r>
      <w:r>
        <w:rPr>
          <w:rFonts w:ascii="宋体" w:hAnsi="宋体" w:eastAsia="宋体" w:cs="宋体"/>
          <w:color w:val="auto"/>
          <w:spacing w:val="-1"/>
          <w:sz w:val="24"/>
          <w:szCs w:val="24"/>
          <w:highlight w:val="none"/>
        </w:rPr>
        <w:t>除外）。投标人的书面澄清、说明和补正属于响应文件的组成部分。</w:t>
      </w:r>
    </w:p>
    <w:p w14:paraId="5C2CC6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磋商小组针对需要投标人对所提交响应文件中不明确的内容进行书面澄清、</w:t>
      </w:r>
      <w:r>
        <w:rPr>
          <w:rFonts w:ascii="宋体" w:hAnsi="宋体" w:eastAsia="宋体" w:cs="宋体"/>
          <w:color w:val="auto"/>
          <w:spacing w:val="-3"/>
          <w:sz w:val="24"/>
          <w:szCs w:val="24"/>
          <w:highlight w:val="none"/>
        </w:rPr>
        <w:t>说明或补正。澄清通知不得向投标人提出带有暗示性或诱导性问题，或向其明确响应文件中的遗漏和错误。投标人接到磋商小组发出的书面澄清通知后，应按磋商小组的要求提供书面澄清资料，并在规定的时间递交到指定地点。磋商小组不接受投标人主</w:t>
      </w:r>
      <w:r>
        <w:rPr>
          <w:rFonts w:ascii="宋体" w:hAnsi="宋体" w:eastAsia="宋体" w:cs="宋体"/>
          <w:color w:val="auto"/>
          <w:spacing w:val="-1"/>
          <w:sz w:val="24"/>
          <w:szCs w:val="24"/>
          <w:highlight w:val="none"/>
        </w:rPr>
        <w:t>动提出的澄清、说明或补正。</w:t>
      </w:r>
    </w:p>
    <w:p w14:paraId="55D28E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⑷ 磋商小组对投标人提交的澄清、说明或补正有疑问的，可以要求投标人进一</w:t>
      </w:r>
      <w:r>
        <w:rPr>
          <w:rFonts w:ascii="宋体" w:hAnsi="宋体" w:eastAsia="宋体" w:cs="宋体"/>
          <w:color w:val="auto"/>
          <w:spacing w:val="-1"/>
          <w:sz w:val="24"/>
          <w:szCs w:val="24"/>
          <w:highlight w:val="none"/>
        </w:rPr>
        <w:t>步澄清、说明或补正，直至满足磋商小组的要求。</w:t>
      </w:r>
    </w:p>
    <w:p w14:paraId="2A1C0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⑸ 磋商小组发现投标人的报价明显低于其他投标人投标价格，使得其投标价格</w:t>
      </w:r>
      <w:r>
        <w:rPr>
          <w:rFonts w:ascii="宋体" w:hAnsi="宋体" w:eastAsia="宋体" w:cs="宋体"/>
          <w:color w:val="auto"/>
          <w:spacing w:val="-3"/>
          <w:sz w:val="24"/>
          <w:szCs w:val="24"/>
          <w:highlight w:val="none"/>
        </w:rPr>
        <w:t>可能低于其成本的，可要求该投标人作出书面说明并提供相应的证明材料。投标人不能合理说明或者不能提供相应证明材料的，由磋商小组认定该投标人以低于成本报价</w:t>
      </w:r>
      <w:r>
        <w:rPr>
          <w:rFonts w:ascii="宋体" w:hAnsi="宋体" w:eastAsia="宋体" w:cs="宋体"/>
          <w:color w:val="auto"/>
          <w:spacing w:val="-2"/>
          <w:sz w:val="24"/>
          <w:szCs w:val="24"/>
          <w:highlight w:val="none"/>
        </w:rPr>
        <w:t>竞标，否决其投标。</w:t>
      </w:r>
    </w:p>
    <w:p w14:paraId="1CBD36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⑹ 投标报价评分：对投标报价进行投标报价得分计算，计算方法详见评标办法</w:t>
      </w:r>
      <w:r>
        <w:rPr>
          <w:rFonts w:ascii="宋体" w:hAnsi="宋体" w:eastAsia="宋体" w:cs="宋体"/>
          <w:color w:val="auto"/>
          <w:spacing w:val="-4"/>
          <w:sz w:val="24"/>
          <w:szCs w:val="24"/>
          <w:highlight w:val="none"/>
        </w:rPr>
        <w:t>前附表。</w:t>
      </w:r>
    </w:p>
    <w:p w14:paraId="4A9357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15"/>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① 汇总评分结果，评分分值计算保留小数</w:t>
      </w:r>
      <w:r>
        <w:rPr>
          <w:rFonts w:ascii="宋体" w:hAnsi="宋体" w:eastAsia="宋体" w:cs="宋体"/>
          <w:color w:val="auto"/>
          <w:spacing w:val="-1"/>
          <w:sz w:val="24"/>
          <w:szCs w:val="24"/>
          <w:highlight w:val="none"/>
        </w:rPr>
        <w:t>点后两位，小数点后第三位“</w:t>
      </w:r>
      <w:r>
        <w:rPr>
          <w:rFonts w:ascii="宋体" w:hAnsi="宋体" w:eastAsia="宋体" w:cs="宋体"/>
          <w:color w:val="auto"/>
          <w:spacing w:val="-89"/>
          <w:sz w:val="24"/>
          <w:szCs w:val="24"/>
          <w:highlight w:val="none"/>
        </w:rPr>
        <w:t xml:space="preserve"> </w:t>
      </w:r>
      <w:r>
        <w:rPr>
          <w:rFonts w:ascii="宋体" w:hAnsi="宋体" w:eastAsia="宋体" w:cs="宋体"/>
          <w:color w:val="auto"/>
          <w:spacing w:val="-1"/>
          <w:sz w:val="24"/>
          <w:szCs w:val="24"/>
          <w:highlight w:val="none"/>
        </w:rPr>
        <w:t>四舍</w:t>
      </w:r>
      <w:r>
        <w:rPr>
          <w:rFonts w:ascii="宋体" w:hAnsi="宋体" w:eastAsia="宋体" w:cs="宋体"/>
          <w:color w:val="auto"/>
          <w:spacing w:val="-4"/>
          <w:sz w:val="24"/>
          <w:szCs w:val="24"/>
          <w:highlight w:val="none"/>
        </w:rPr>
        <w:t>五入</w:t>
      </w:r>
      <w:r>
        <w:rPr>
          <w:rFonts w:ascii="宋体" w:hAnsi="宋体" w:eastAsia="宋体" w:cs="宋体"/>
          <w:color w:val="auto"/>
          <w:spacing w:val="-86"/>
          <w:sz w:val="24"/>
          <w:szCs w:val="24"/>
          <w:highlight w:val="none"/>
        </w:rPr>
        <w:t xml:space="preserve"> </w:t>
      </w:r>
      <w:r>
        <w:rPr>
          <w:rFonts w:ascii="宋体" w:hAnsi="宋体" w:eastAsia="宋体" w:cs="宋体"/>
          <w:color w:val="auto"/>
          <w:spacing w:val="-4"/>
          <w:sz w:val="24"/>
          <w:szCs w:val="24"/>
          <w:highlight w:val="none"/>
        </w:rPr>
        <w:t>”。</w:t>
      </w:r>
    </w:p>
    <w:p w14:paraId="0FADD2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17" w:type="default"/>
          <w:pgSz w:w="11906" w:h="16839"/>
          <w:pgMar w:top="1440" w:right="1800" w:bottom="1440" w:left="1800" w:header="0" w:footer="973" w:gutter="0"/>
          <w:pgNumType w:fmt="decimal"/>
          <w:cols w:space="720" w:num="1"/>
        </w:sectPr>
      </w:pPr>
    </w:p>
    <w:p w14:paraId="633C68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② 详细评审工作全部结束后，投标人总得分排序</w:t>
      </w:r>
      <w:r>
        <w:rPr>
          <w:rFonts w:ascii="宋体" w:hAnsi="宋体" w:eastAsia="宋体" w:cs="宋体"/>
          <w:color w:val="auto"/>
          <w:spacing w:val="-1"/>
          <w:sz w:val="24"/>
          <w:szCs w:val="24"/>
          <w:highlight w:val="none"/>
        </w:rPr>
        <w:t>按照以下原则进行。</w:t>
      </w:r>
    </w:p>
    <w:p w14:paraId="7146C3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 按照总得分由高到低顺序对投标人进行排序；</w:t>
      </w:r>
    </w:p>
    <w:p w14:paraId="406F3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④ 总得分相同时报价低的投标人排序靠前；</w:t>
      </w:r>
    </w:p>
    <w:p w14:paraId="310F55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⑤ 总得分相同且报价相同的投标人，采取随机抽取</w:t>
      </w:r>
      <w:r>
        <w:rPr>
          <w:rFonts w:ascii="宋体" w:hAnsi="宋体" w:eastAsia="宋体" w:cs="宋体"/>
          <w:color w:val="auto"/>
          <w:spacing w:val="-1"/>
          <w:sz w:val="24"/>
          <w:szCs w:val="24"/>
          <w:highlight w:val="none"/>
        </w:rPr>
        <w:t>方式确定排序顺序。</w:t>
      </w:r>
    </w:p>
    <w:p w14:paraId="7FDC29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4.8 推荐成交候选人及提交评标报告</w:t>
      </w:r>
    </w:p>
    <w:p w14:paraId="46F665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磋商小组推荐成交候选人，得分由高到低顺序排列排序第一的投标人将被确</w:t>
      </w:r>
      <w:r>
        <w:rPr>
          <w:rFonts w:ascii="宋体" w:hAnsi="宋体" w:eastAsia="宋体" w:cs="宋体"/>
          <w:color w:val="auto"/>
          <w:spacing w:val="-1"/>
          <w:sz w:val="24"/>
          <w:szCs w:val="24"/>
          <w:highlight w:val="none"/>
        </w:rPr>
        <w:t>定为第一成交候选人，以此类推确定出规定数量的的成交候选人。</w:t>
      </w:r>
    </w:p>
    <w:p w14:paraId="00758C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⑵ 当通过了资格审查、完备性及符合性审查后，投标人</w:t>
      </w:r>
      <w:r>
        <w:rPr>
          <w:rFonts w:ascii="宋体" w:hAnsi="宋体" w:eastAsia="宋体" w:cs="宋体"/>
          <w:color w:val="auto"/>
          <w:spacing w:val="-1"/>
          <w:sz w:val="24"/>
          <w:szCs w:val="24"/>
          <w:highlight w:val="none"/>
        </w:rPr>
        <w:t>少于</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3</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个时，采购人应</w:t>
      </w:r>
      <w:r>
        <w:rPr>
          <w:rFonts w:ascii="宋体" w:hAnsi="宋体" w:eastAsia="宋体" w:cs="宋体"/>
          <w:color w:val="auto"/>
          <w:spacing w:val="-4"/>
          <w:sz w:val="24"/>
          <w:szCs w:val="24"/>
          <w:highlight w:val="none"/>
        </w:rPr>
        <w:t>当依法重新招标。</w:t>
      </w:r>
    </w:p>
    <w:p w14:paraId="4B56B1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⑶ 磋商小组完成评标后，应当向采购人提交书面评标报告。</w:t>
      </w:r>
    </w:p>
    <w:p w14:paraId="195CAF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⑷ 特殊情况的处置程序</w:t>
      </w:r>
    </w:p>
    <w:p w14:paraId="27B5AEF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① 关于评标活动暂停。磋商小组应当执行连续评标的原则，按评标办法中规</w:t>
      </w:r>
      <w:r>
        <w:rPr>
          <w:rFonts w:ascii="宋体" w:hAnsi="宋体" w:eastAsia="宋体" w:cs="宋体"/>
          <w:color w:val="auto"/>
          <w:spacing w:val="-3"/>
          <w:sz w:val="24"/>
          <w:szCs w:val="24"/>
          <w:highlight w:val="none"/>
        </w:rPr>
        <w:t>定的程序、内容、方法、标准完成全部评标工作。只有发生不可抗力导致评标工作无法继续时，评标活动方可暂停。发生评标暂停情况时，应当封存全部响应文件和评标</w:t>
      </w:r>
      <w:r>
        <w:rPr>
          <w:rFonts w:ascii="宋体" w:hAnsi="宋体" w:eastAsia="宋体" w:cs="宋体"/>
          <w:color w:val="auto"/>
          <w:sz w:val="24"/>
          <w:szCs w:val="24"/>
          <w:highlight w:val="none"/>
        </w:rPr>
        <w:t>记录，待不可抗力的影响结束且具备继续评标的条件时，由</w:t>
      </w:r>
      <w:r>
        <w:rPr>
          <w:rFonts w:ascii="宋体" w:hAnsi="宋体" w:eastAsia="宋体" w:cs="宋体"/>
          <w:color w:val="auto"/>
          <w:spacing w:val="-1"/>
          <w:sz w:val="24"/>
          <w:szCs w:val="24"/>
          <w:highlight w:val="none"/>
        </w:rPr>
        <w:t>原磋商小组继续评标。</w:t>
      </w:r>
    </w:p>
    <w:p w14:paraId="4480B52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② 关于评标中途更换评委。除非发生下列情况之一，磋商小组成员不得在评</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标中途更换：</w:t>
      </w:r>
    </w:p>
    <w:p w14:paraId="4DB332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firstLineChars="205"/>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⒈</w:t>
      </w:r>
      <w:r>
        <w:rPr>
          <w:rFonts w:ascii="宋体" w:hAnsi="宋体" w:eastAsia="宋体" w:cs="宋体"/>
          <w:color w:val="auto"/>
          <w:spacing w:val="28"/>
          <w:sz w:val="24"/>
          <w:szCs w:val="24"/>
          <w:highlight w:val="none"/>
        </w:rPr>
        <w:t xml:space="preserve"> </w:t>
      </w:r>
      <w:r>
        <w:rPr>
          <w:rFonts w:ascii="宋体" w:hAnsi="宋体" w:eastAsia="宋体" w:cs="宋体"/>
          <w:color w:val="auto"/>
          <w:spacing w:val="-5"/>
          <w:sz w:val="24"/>
          <w:szCs w:val="24"/>
          <w:highlight w:val="none"/>
        </w:rPr>
        <w:t>因不可抗拒的客观原因，不能到场或需在评标</w:t>
      </w:r>
      <w:r>
        <w:rPr>
          <w:rFonts w:ascii="宋体" w:hAnsi="宋体" w:eastAsia="宋体" w:cs="宋体"/>
          <w:color w:val="auto"/>
          <w:spacing w:val="-6"/>
          <w:sz w:val="24"/>
          <w:szCs w:val="24"/>
          <w:highlight w:val="none"/>
        </w:rPr>
        <w:t>中途退出评标活动。</w:t>
      </w:r>
      <w:r>
        <w:rPr>
          <w:rFonts w:ascii="宋体" w:hAnsi="宋体" w:eastAsia="宋体" w:cs="宋体"/>
          <w:color w:val="auto"/>
          <w:sz w:val="24"/>
          <w:szCs w:val="24"/>
          <w:highlight w:val="none"/>
        </w:rPr>
        <w:t xml:space="preserve"> </w:t>
      </w:r>
    </w:p>
    <w:p w14:paraId="13700D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firstLineChars="20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⒉ 根据法律法规规定，某个或某几个磋商小组成员需要回避。</w:t>
      </w:r>
    </w:p>
    <w:p w14:paraId="42F521B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3" w:firstLineChars="205"/>
        <w:textAlignment w:val="baseline"/>
        <w:rPr>
          <w:rFonts w:ascii="宋体" w:hAnsi="宋体" w:eastAsia="宋体" w:cs="宋体"/>
          <w:color w:val="auto"/>
          <w:spacing w:val="-5"/>
          <w:sz w:val="24"/>
          <w:szCs w:val="24"/>
          <w:highlight w:val="none"/>
        </w:rPr>
      </w:pPr>
      <w:r>
        <w:rPr>
          <w:rFonts w:ascii="宋体" w:hAnsi="宋体" w:eastAsia="宋体" w:cs="宋体"/>
          <w:color w:val="auto"/>
          <w:spacing w:val="-2"/>
          <w:sz w:val="24"/>
          <w:szCs w:val="24"/>
          <w:highlight w:val="none"/>
        </w:rPr>
        <w:t>⒊ 退出评标的磋商小组成员，其已完成的评标行为无效，由更换的评委进</w:t>
      </w:r>
      <w:r>
        <w:rPr>
          <w:rFonts w:ascii="宋体" w:hAnsi="宋体" w:eastAsia="宋体" w:cs="宋体"/>
          <w:color w:val="auto"/>
          <w:spacing w:val="-5"/>
          <w:sz w:val="24"/>
          <w:szCs w:val="24"/>
          <w:highlight w:val="none"/>
        </w:rPr>
        <w:t>行评标。</w:t>
      </w:r>
    </w:p>
    <w:p w14:paraId="54F755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firstLineChars="205"/>
        <w:textAlignment w:val="baseline"/>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⒋ 在评标环节中，需磋商小组就某项定性的评审结论做出表决的，由磋商小组全体成员按照少数服从多数的原则确定。</w:t>
      </w:r>
    </w:p>
    <w:p w14:paraId="591FF441">
      <w:pPr>
        <w:pStyle w:val="2"/>
        <w:spacing w:line="250" w:lineRule="auto"/>
        <w:rPr>
          <w:color w:val="auto"/>
          <w:highlight w:val="none"/>
        </w:rPr>
      </w:pPr>
    </w:p>
    <w:p w14:paraId="13FFB104">
      <w:pPr>
        <w:pStyle w:val="2"/>
        <w:spacing w:line="251" w:lineRule="auto"/>
        <w:rPr>
          <w:color w:val="auto"/>
          <w:highlight w:val="none"/>
        </w:rPr>
      </w:pPr>
    </w:p>
    <w:p w14:paraId="579121D4">
      <w:pPr>
        <w:pStyle w:val="2"/>
        <w:spacing w:line="251" w:lineRule="auto"/>
        <w:rPr>
          <w:color w:val="auto"/>
          <w:highlight w:val="none"/>
        </w:rPr>
      </w:pPr>
    </w:p>
    <w:p w14:paraId="2514CDEF">
      <w:pPr>
        <w:pStyle w:val="2"/>
        <w:spacing w:line="251" w:lineRule="auto"/>
        <w:rPr>
          <w:color w:val="auto"/>
          <w:highlight w:val="none"/>
        </w:rPr>
      </w:pPr>
    </w:p>
    <w:p w14:paraId="0B20BF6D">
      <w:pPr>
        <w:pStyle w:val="2"/>
        <w:spacing w:line="251" w:lineRule="auto"/>
        <w:rPr>
          <w:color w:val="auto"/>
          <w:highlight w:val="none"/>
        </w:rPr>
      </w:pPr>
    </w:p>
    <w:p w14:paraId="55D8A4E4">
      <w:pPr>
        <w:pStyle w:val="2"/>
        <w:spacing w:line="251" w:lineRule="auto"/>
        <w:rPr>
          <w:color w:val="auto"/>
          <w:highlight w:val="none"/>
        </w:rPr>
      </w:pPr>
    </w:p>
    <w:p w14:paraId="55E3903A">
      <w:pPr>
        <w:pStyle w:val="2"/>
        <w:spacing w:line="251" w:lineRule="auto"/>
        <w:rPr>
          <w:color w:val="auto"/>
          <w:highlight w:val="none"/>
        </w:rPr>
      </w:pPr>
    </w:p>
    <w:p w14:paraId="6D63A81C">
      <w:pPr>
        <w:pStyle w:val="2"/>
        <w:spacing w:line="251" w:lineRule="auto"/>
        <w:rPr>
          <w:color w:val="auto"/>
          <w:highlight w:val="none"/>
        </w:rPr>
      </w:pPr>
    </w:p>
    <w:p w14:paraId="5C29BF26">
      <w:pPr>
        <w:pStyle w:val="2"/>
        <w:spacing w:line="251" w:lineRule="auto"/>
        <w:rPr>
          <w:color w:val="auto"/>
          <w:highlight w:val="none"/>
        </w:rPr>
      </w:pPr>
    </w:p>
    <w:p w14:paraId="6C6932C2">
      <w:pPr>
        <w:pStyle w:val="2"/>
        <w:spacing w:line="251" w:lineRule="auto"/>
        <w:rPr>
          <w:color w:val="auto"/>
          <w:highlight w:val="none"/>
        </w:rPr>
      </w:pPr>
    </w:p>
    <w:p w14:paraId="3A5CE01F">
      <w:pPr>
        <w:pStyle w:val="2"/>
        <w:spacing w:line="251" w:lineRule="auto"/>
        <w:rPr>
          <w:color w:val="auto"/>
          <w:highlight w:val="none"/>
        </w:rPr>
      </w:pPr>
    </w:p>
    <w:p w14:paraId="430D6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五、问题澄清通知和问题的澄清、说明或补正</w:t>
      </w:r>
    </w:p>
    <w:p w14:paraId="49C7B98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59719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问题澄清通知</w:t>
      </w:r>
    </w:p>
    <w:p w14:paraId="61271B6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D9194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（投标人名称</w:t>
      </w:r>
      <w:r>
        <w:rPr>
          <w:rFonts w:ascii="宋体" w:hAnsi="宋体" w:eastAsia="宋体" w:cs="宋体"/>
          <w:color w:val="auto"/>
          <w:spacing w:val="1"/>
          <w:sz w:val="24"/>
          <w:szCs w:val="24"/>
          <w:highlight w:val="none"/>
        </w:rPr>
        <w:t>）：</w:t>
      </w:r>
    </w:p>
    <w:p w14:paraId="23B93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（招标项目名称）招标的磋商小组，对你方的响应文件</w:t>
      </w:r>
      <w:r>
        <w:rPr>
          <w:rFonts w:ascii="宋体" w:hAnsi="宋体" w:eastAsia="宋体" w:cs="宋体"/>
          <w:color w:val="auto"/>
          <w:spacing w:val="-4"/>
          <w:sz w:val="24"/>
          <w:szCs w:val="24"/>
          <w:highlight w:val="none"/>
        </w:rPr>
        <w:t>进行了仔细的审查，现需</w:t>
      </w:r>
    </w:p>
    <w:p w14:paraId="23201D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你方对本通知所附质疑问卷中的问题以书面形式予以澄清、说明或者补正。</w:t>
      </w:r>
      <w:r>
        <w:rPr>
          <w:rFonts w:ascii="宋体" w:hAnsi="宋体" w:eastAsia="宋体" w:cs="宋体"/>
          <w:color w:val="auto"/>
          <w:spacing w:val="14"/>
          <w:sz w:val="24"/>
          <w:szCs w:val="24"/>
          <w:highlight w:val="none"/>
        </w:rPr>
        <w:t xml:space="preserve"> </w:t>
      </w:r>
      <w:r>
        <w:rPr>
          <w:rFonts w:ascii="宋体" w:hAnsi="宋体" w:eastAsia="宋体" w:cs="宋体"/>
          <w:color w:val="auto"/>
          <w:spacing w:val="-3"/>
          <w:sz w:val="24"/>
          <w:szCs w:val="24"/>
          <w:highlight w:val="none"/>
        </w:rPr>
        <w:t>质疑问题：</w:t>
      </w:r>
    </w:p>
    <w:p w14:paraId="49EAC3E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D1F0A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7795AE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磋商小组员（签字</w:t>
      </w:r>
      <w:r>
        <w:rPr>
          <w:rFonts w:ascii="宋体" w:hAnsi="宋体" w:eastAsia="宋体" w:cs="宋体"/>
          <w:color w:val="auto"/>
          <w:spacing w:val="3"/>
          <w:sz w:val="24"/>
          <w:szCs w:val="24"/>
          <w:highlight w:val="none"/>
        </w:rPr>
        <w:t>）：</w:t>
      </w:r>
    </w:p>
    <w:p w14:paraId="168044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6397C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13"/>
          <w:sz w:val="24"/>
          <w:szCs w:val="24"/>
          <w:highlight w:val="none"/>
        </w:rPr>
        <w:t>日</w:t>
      </w:r>
    </w:p>
    <w:p w14:paraId="12D19A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EE5CF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问题的澄清、说明或补正</w:t>
      </w:r>
    </w:p>
    <w:p w14:paraId="37A602C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154203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磋商小组：</w:t>
      </w:r>
    </w:p>
    <w:p w14:paraId="5B656C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（招标项目名称）的问题澄清通知已收悉，现澄清、说明或者补正如下：</w:t>
      </w:r>
    </w:p>
    <w:p w14:paraId="3D62FAF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399ABE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5B0FBE5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B53EF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法定代表人或其授权委托人（签字</w:t>
      </w:r>
      <w:r>
        <w:rPr>
          <w:rFonts w:ascii="宋体" w:hAnsi="宋体" w:eastAsia="宋体" w:cs="宋体"/>
          <w:color w:val="auto"/>
          <w:spacing w:val="-29"/>
          <w:sz w:val="24"/>
          <w:szCs w:val="24"/>
          <w:highlight w:val="none"/>
        </w:rPr>
        <w:t>）：</w:t>
      </w:r>
      <w:r>
        <w:rPr>
          <w:rFonts w:ascii="宋体" w:hAnsi="宋体" w:eastAsia="宋体" w:cs="宋体"/>
          <w:color w:val="auto"/>
          <w:spacing w:val="1"/>
          <w:sz w:val="24"/>
          <w:szCs w:val="24"/>
          <w:highlight w:val="none"/>
        </w:rPr>
        <w:t xml:space="preserve"> </w:t>
      </w:r>
    </w:p>
    <w:p w14:paraId="4C2E19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pacing w:val="1"/>
          <w:sz w:val="24"/>
          <w:szCs w:val="24"/>
          <w:highlight w:val="none"/>
        </w:rPr>
      </w:pPr>
    </w:p>
    <w:p w14:paraId="652431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3"/>
          <w:sz w:val="24"/>
          <w:szCs w:val="24"/>
          <w:highlight w:val="none"/>
        </w:rPr>
        <w:t xml:space="preserve">    </w:t>
      </w:r>
      <w:r>
        <w:rPr>
          <w:rFonts w:ascii="宋体" w:hAnsi="宋体" w:eastAsia="宋体" w:cs="宋体"/>
          <w:color w:val="auto"/>
          <w:spacing w:val="-13"/>
          <w:sz w:val="24"/>
          <w:szCs w:val="24"/>
          <w:highlight w:val="none"/>
        </w:rPr>
        <w:t>日</w:t>
      </w:r>
    </w:p>
    <w:p w14:paraId="46BDCD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18" w:type="default"/>
          <w:pgSz w:w="11906" w:h="16839"/>
          <w:pgMar w:top="1440" w:right="1800" w:bottom="1440" w:left="1800" w:header="0" w:footer="973" w:gutter="0"/>
          <w:pgNumType w:fmt="decimal"/>
          <w:cols w:space="720" w:num="1"/>
        </w:sectPr>
      </w:pPr>
    </w:p>
    <w:p w14:paraId="7E88AE7E">
      <w:pPr>
        <w:pStyle w:val="2"/>
        <w:spacing w:line="270" w:lineRule="auto"/>
        <w:rPr>
          <w:color w:val="auto"/>
          <w:highlight w:val="none"/>
        </w:rPr>
      </w:pPr>
    </w:p>
    <w:p w14:paraId="67AA7063">
      <w:pPr>
        <w:spacing w:before="100" w:line="225"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评标办法（综合评分法）</w:t>
      </w:r>
    </w:p>
    <w:p w14:paraId="53A87F5B">
      <w:pPr>
        <w:spacing w:before="129" w:line="211" w:lineRule="auto"/>
        <w:ind w:left="37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评标办法前附表</w:t>
      </w:r>
    </w:p>
    <w:p w14:paraId="45E47FA7">
      <w:pPr>
        <w:pStyle w:val="2"/>
        <w:spacing w:line="9370" w:lineRule="exact"/>
        <w:rPr>
          <w:color w:val="auto"/>
          <w:highlight w:val="none"/>
        </w:rPr>
      </w:pPr>
      <w:r>
        <w:rPr>
          <w:color w:val="auto"/>
          <w:position w:val="-187"/>
          <w:highlight w:val="none"/>
        </w:rPr>
        <w:pict>
          <v:group id="_x0000_s1026" o:spid="_x0000_s1026" o:spt="203" style="height:468.55pt;width:462.9pt;" coordsize="9257,9370">
            <o:lock v:ext="edit"/>
            <v:group id="_x0000_s1027" o:spid="_x0000_s1027" o:spt="203" style="position:absolute;left:0;top:0;height:9370;width:9257;" coordsize="9257,9370">
              <o:lock v:ext="edit"/>
              <v:shape id="_x0000_s1028" o:spid="_x0000_s1028" style="position:absolute;left:0;top:0;height:9370;width:9257;" filled="f" stroked="t" coordsize="9257,9370" path="m0,9l9257,9m0,376l9257,376m0,1494l9257,1494m0,2511l9257,2511m0,3399l9257,3399m0,4272l9257,4272m3030,9360l9257,9360e">
                <v:fill on="f" focussize="0,0"/>
                <v:stroke weight="0.96pt" color="#000000" miterlimit="2" joinstyle="bevel"/>
                <v:imagedata o:title=""/>
                <o:lock v:ext="edit"/>
              </v:shape>
              <v:shape id="_x0000_s1029" o:spid="_x0000_s1029" style="position:absolute;left:19;top:9350;height:10;width:3011;" filled="f" stroked="t" coordsize="3011,10" path="m0,4l3010,4e">
                <v:fill on="f" focussize="0,0"/>
                <v:stroke weight="0.48pt" color="#000000" miterlimit="2" joinstyle="bevel"/>
                <v:imagedata o:title=""/>
                <o:lock v:ext="edit"/>
              </v:shape>
              <v:shape id="_x0000_s1030" o:spid="_x0000_s1030" style="position:absolute;left:0;top:0;height:9370;width:9257;" filled="f" stroked="t" coordsize="9257,9370" path="m9,0l9,9360m626,0l626,9351m3039,0l3039,9370m9247,19l9247,9370e">
                <v:fill on="f" focussize="0,0"/>
                <v:stroke weight="0.96pt" color="#000000" miterlimit="2" joinstyle="bevel"/>
                <v:imagedata o:title=""/>
                <o:lock v:ext="edit"/>
              </v:shape>
            </v:group>
            <v:shape id="_x0000_s1031" o:spid="_x0000_s1031" o:spt="202" type="#_x0000_t202" style="position:absolute;left:3055;top:53;height:9244;width:6182;" filled="f" stroked="f" coordsize="21600,21600">
              <v:path/>
              <v:fill on="f" focussize="0,0"/>
              <v:stroke on="f"/>
              <v:imagedata o:title=""/>
              <o:lock v:ext="edit" aspectratio="f"/>
              <v:textbox inset="0mm,0mm,0mm,0mm">
                <w:txbxContent>
                  <w:p w14:paraId="1604A172">
                    <w:pPr>
                      <w:spacing w:before="20" w:line="219" w:lineRule="auto"/>
                      <w:ind w:left="2619"/>
                      <w:rPr>
                        <w:rFonts w:ascii="宋体" w:hAnsi="宋体" w:eastAsia="宋体" w:cs="宋体"/>
                        <w:sz w:val="24"/>
                        <w:szCs w:val="24"/>
                      </w:rPr>
                    </w:pPr>
                    <w:r>
                      <w:rPr>
                        <w:rFonts w:ascii="宋体" w:hAnsi="宋体" w:eastAsia="宋体" w:cs="宋体"/>
                        <w:spacing w:val="-3"/>
                        <w:sz w:val="24"/>
                        <w:szCs w:val="24"/>
                      </w:rPr>
                      <w:t>编列内容</w:t>
                    </w:r>
                  </w:p>
                  <w:p w14:paraId="79B61C00">
                    <w:pPr>
                      <w:spacing w:before="302" w:line="230" w:lineRule="auto"/>
                      <w:ind w:left="23" w:right="2232" w:firstLine="14"/>
                      <w:rPr>
                        <w:rFonts w:ascii="宋体" w:hAnsi="宋体" w:eastAsia="宋体" w:cs="宋体"/>
                        <w:sz w:val="24"/>
                        <w:szCs w:val="24"/>
                      </w:rPr>
                    </w:pPr>
                    <w:r>
                      <w:rPr>
                        <w:rFonts w:ascii="宋体" w:hAnsi="宋体" w:eastAsia="宋体" w:cs="宋体"/>
                        <w:spacing w:val="-4"/>
                        <w:sz w:val="24"/>
                        <w:szCs w:val="24"/>
                      </w:rPr>
                      <w:t>1.商务技术部分权重</w:t>
                    </w:r>
                    <w:r>
                      <w:rPr>
                        <w:rFonts w:ascii="宋体" w:hAnsi="宋体" w:eastAsia="宋体" w:cs="宋体"/>
                        <w:spacing w:val="-38"/>
                        <w:sz w:val="24"/>
                        <w:szCs w:val="24"/>
                      </w:rPr>
                      <w:t xml:space="preserve"> </w:t>
                    </w:r>
                    <w:r>
                      <w:rPr>
                        <w:rFonts w:ascii="宋体" w:hAnsi="宋体" w:eastAsia="宋体" w:cs="宋体"/>
                        <w:spacing w:val="-4"/>
                        <w:sz w:val="24"/>
                        <w:szCs w:val="24"/>
                      </w:rPr>
                      <w:t>Q2=70%（70</w:t>
                    </w:r>
                    <w:r>
                      <w:rPr>
                        <w:rFonts w:ascii="宋体" w:hAnsi="宋体" w:eastAsia="宋体" w:cs="宋体"/>
                        <w:spacing w:val="-47"/>
                        <w:sz w:val="24"/>
                        <w:szCs w:val="24"/>
                      </w:rPr>
                      <w:t xml:space="preserve"> </w:t>
                    </w:r>
                    <w:r>
                      <w:rPr>
                        <w:rFonts w:ascii="宋体" w:hAnsi="宋体" w:eastAsia="宋体" w:cs="宋体"/>
                        <w:spacing w:val="-4"/>
                        <w:sz w:val="24"/>
                        <w:szCs w:val="24"/>
                      </w:rPr>
                      <w:t>分）</w:t>
                    </w:r>
                    <w:r>
                      <w:rPr>
                        <w:rFonts w:ascii="宋体" w:hAnsi="宋体" w:eastAsia="宋体" w:cs="宋体"/>
                        <w:sz w:val="24"/>
                        <w:szCs w:val="24"/>
                      </w:rPr>
                      <w:t xml:space="preserve"> </w:t>
                    </w:r>
                    <w:r>
                      <w:rPr>
                        <w:rFonts w:ascii="宋体" w:hAnsi="宋体" w:eastAsia="宋体" w:cs="宋体"/>
                        <w:spacing w:val="-2"/>
                        <w:sz w:val="24"/>
                        <w:szCs w:val="24"/>
                      </w:rPr>
                      <w:t>2.经济部分权重</w:t>
                    </w:r>
                    <w:r>
                      <w:rPr>
                        <w:rFonts w:ascii="宋体" w:hAnsi="宋体" w:eastAsia="宋体" w:cs="宋体"/>
                        <w:spacing w:val="-48"/>
                        <w:sz w:val="24"/>
                        <w:szCs w:val="24"/>
                      </w:rPr>
                      <w:t xml:space="preserve"> </w:t>
                    </w:r>
                    <w:r>
                      <w:rPr>
                        <w:rFonts w:ascii="宋体" w:hAnsi="宋体" w:eastAsia="宋体" w:cs="宋体"/>
                        <w:spacing w:val="-2"/>
                        <w:sz w:val="24"/>
                        <w:szCs w:val="24"/>
                      </w:rPr>
                      <w:t>Q3=30%（30</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46C470D3">
                    <w:pPr>
                      <w:spacing w:line="271" w:lineRule="auto"/>
                      <w:rPr>
                        <w:rFonts w:ascii="Arial"/>
                        <w:sz w:val="21"/>
                      </w:rPr>
                    </w:pPr>
                  </w:p>
                  <w:p w14:paraId="4C0683EE">
                    <w:pPr>
                      <w:spacing w:line="272" w:lineRule="auto"/>
                      <w:rPr>
                        <w:rFonts w:ascii="Arial"/>
                        <w:sz w:val="21"/>
                      </w:rPr>
                    </w:pPr>
                  </w:p>
                  <w:p w14:paraId="4B7AA0E0">
                    <w:pPr>
                      <w:spacing w:before="78" w:line="219" w:lineRule="auto"/>
                      <w:ind w:left="23"/>
                      <w:rPr>
                        <w:rFonts w:ascii="宋体" w:hAnsi="宋体" w:eastAsia="宋体" w:cs="宋体"/>
                        <w:sz w:val="24"/>
                        <w:szCs w:val="24"/>
                      </w:rPr>
                    </w:pPr>
                    <w:r>
                      <w:rPr>
                        <w:rFonts w:ascii="宋体" w:hAnsi="宋体" w:eastAsia="宋体" w:cs="宋体"/>
                        <w:spacing w:val="-2"/>
                        <w:sz w:val="24"/>
                        <w:szCs w:val="24"/>
                      </w:rPr>
                      <w:t>详见资格审查评审标准</w:t>
                    </w:r>
                  </w:p>
                  <w:p w14:paraId="2D58F975">
                    <w:pPr>
                      <w:spacing w:line="293" w:lineRule="auto"/>
                      <w:rPr>
                        <w:rFonts w:ascii="Arial"/>
                        <w:sz w:val="21"/>
                      </w:rPr>
                    </w:pPr>
                  </w:p>
                  <w:p w14:paraId="3C6E846A">
                    <w:pPr>
                      <w:spacing w:line="293" w:lineRule="auto"/>
                      <w:rPr>
                        <w:rFonts w:ascii="Arial"/>
                        <w:sz w:val="21"/>
                      </w:rPr>
                    </w:pPr>
                  </w:p>
                  <w:p w14:paraId="76B2D7CE">
                    <w:pPr>
                      <w:spacing w:before="78" w:line="219" w:lineRule="auto"/>
                      <w:ind w:left="23"/>
                      <w:rPr>
                        <w:rFonts w:ascii="宋体" w:hAnsi="宋体" w:eastAsia="宋体" w:cs="宋体"/>
                        <w:sz w:val="24"/>
                        <w:szCs w:val="24"/>
                      </w:rPr>
                    </w:pPr>
                    <w:r>
                      <w:rPr>
                        <w:rFonts w:ascii="宋体" w:hAnsi="宋体" w:eastAsia="宋体" w:cs="宋体"/>
                        <w:spacing w:val="-2"/>
                        <w:sz w:val="24"/>
                        <w:szCs w:val="24"/>
                      </w:rPr>
                      <w:t>详见符合性审查标准</w:t>
                    </w:r>
                  </w:p>
                  <w:p w14:paraId="681B9832">
                    <w:pPr>
                      <w:spacing w:line="257" w:lineRule="auto"/>
                      <w:rPr>
                        <w:rFonts w:ascii="Arial"/>
                        <w:sz w:val="21"/>
                      </w:rPr>
                    </w:pPr>
                  </w:p>
                  <w:p w14:paraId="385D6FC1">
                    <w:pPr>
                      <w:spacing w:line="257" w:lineRule="auto"/>
                      <w:rPr>
                        <w:rFonts w:ascii="Arial"/>
                        <w:sz w:val="21"/>
                      </w:rPr>
                    </w:pPr>
                  </w:p>
                  <w:p w14:paraId="018741ED">
                    <w:pPr>
                      <w:spacing w:before="78" w:line="219" w:lineRule="auto"/>
                      <w:ind w:left="23"/>
                      <w:rPr>
                        <w:rFonts w:ascii="宋体" w:hAnsi="宋体" w:eastAsia="宋体" w:cs="宋体"/>
                        <w:sz w:val="24"/>
                        <w:szCs w:val="24"/>
                      </w:rPr>
                    </w:pPr>
                    <w:r>
                      <w:rPr>
                        <w:rFonts w:ascii="宋体" w:hAnsi="宋体" w:eastAsia="宋体" w:cs="宋体"/>
                        <w:spacing w:val="-2"/>
                        <w:sz w:val="24"/>
                        <w:szCs w:val="24"/>
                      </w:rPr>
                      <w:t>详见详细评审标准</w:t>
                    </w:r>
                  </w:p>
                  <w:p w14:paraId="395DBB0F">
                    <w:pPr>
                      <w:spacing w:line="275" w:lineRule="auto"/>
                      <w:rPr>
                        <w:rFonts w:ascii="Arial"/>
                        <w:sz w:val="21"/>
                      </w:rPr>
                    </w:pPr>
                  </w:p>
                  <w:p w14:paraId="68D1E197">
                    <w:pPr>
                      <w:spacing w:before="79" w:line="218" w:lineRule="auto"/>
                      <w:ind w:left="38"/>
                      <w:rPr>
                        <w:rFonts w:ascii="宋体" w:hAnsi="宋体" w:eastAsia="宋体" w:cs="宋体"/>
                        <w:sz w:val="24"/>
                        <w:szCs w:val="24"/>
                      </w:rPr>
                    </w:pPr>
                    <w:r>
                      <w:rPr>
                        <w:rFonts w:ascii="宋体" w:hAnsi="宋体" w:eastAsia="宋体" w:cs="宋体"/>
                        <w:spacing w:val="-4"/>
                        <w:sz w:val="24"/>
                        <w:szCs w:val="24"/>
                      </w:rPr>
                      <w:t>1.投标报价的确定</w:t>
                    </w:r>
                  </w:p>
                  <w:p w14:paraId="333E0DCF">
                    <w:pPr>
                      <w:spacing w:before="28" w:line="229" w:lineRule="auto"/>
                      <w:ind w:left="23" w:right="2811"/>
                      <w:rPr>
                        <w:rFonts w:ascii="宋体" w:hAnsi="宋体" w:eastAsia="宋体" w:cs="宋体"/>
                        <w:sz w:val="24"/>
                        <w:szCs w:val="24"/>
                      </w:rPr>
                    </w:pPr>
                    <w:r>
                      <w:rPr>
                        <w:rFonts w:ascii="宋体" w:hAnsi="宋体" w:eastAsia="宋体" w:cs="宋体"/>
                        <w:spacing w:val="-1"/>
                        <w:sz w:val="24"/>
                        <w:szCs w:val="24"/>
                      </w:rPr>
                      <w:t>投标报价＝经评审后的投标报价</w:t>
                    </w:r>
                    <w:r>
                      <w:rPr>
                        <w:rFonts w:ascii="宋体" w:hAnsi="宋体" w:eastAsia="宋体" w:cs="宋体"/>
                        <w:sz w:val="24"/>
                        <w:szCs w:val="24"/>
                      </w:rPr>
                      <w:t xml:space="preserve"> </w:t>
                    </w:r>
                    <w:r>
                      <w:rPr>
                        <w:rFonts w:ascii="宋体" w:hAnsi="宋体" w:eastAsia="宋体" w:cs="宋体"/>
                        <w:spacing w:val="-2"/>
                        <w:sz w:val="24"/>
                        <w:szCs w:val="24"/>
                      </w:rPr>
                      <w:t>2.有效投标报价</w:t>
                    </w:r>
                  </w:p>
                  <w:p w14:paraId="3D3B7182">
                    <w:pPr>
                      <w:spacing w:before="29" w:line="229" w:lineRule="auto"/>
                      <w:ind w:left="21" w:right="20"/>
                      <w:rPr>
                        <w:rFonts w:ascii="宋体" w:hAnsi="宋体" w:eastAsia="宋体" w:cs="宋体"/>
                        <w:sz w:val="24"/>
                        <w:szCs w:val="24"/>
                      </w:rPr>
                    </w:pPr>
                    <w:r>
                      <w:rPr>
                        <w:rFonts w:ascii="宋体" w:hAnsi="宋体" w:eastAsia="宋体" w:cs="宋体"/>
                        <w:spacing w:val="-4"/>
                        <w:sz w:val="24"/>
                        <w:szCs w:val="24"/>
                      </w:rPr>
                      <w:t>有效投标报价是指通过有效性审查、资格审查、商务标、技</w:t>
                    </w:r>
                    <w:r>
                      <w:rPr>
                        <w:rFonts w:ascii="宋体" w:hAnsi="宋体" w:eastAsia="宋体" w:cs="宋体"/>
                        <w:spacing w:val="3"/>
                        <w:sz w:val="24"/>
                        <w:szCs w:val="24"/>
                      </w:rPr>
                      <w:t xml:space="preserve"> </w:t>
                    </w:r>
                    <w:r>
                      <w:rPr>
                        <w:rFonts w:ascii="宋体" w:hAnsi="宋体" w:eastAsia="宋体" w:cs="宋体"/>
                        <w:spacing w:val="-1"/>
                        <w:sz w:val="24"/>
                        <w:szCs w:val="24"/>
                      </w:rPr>
                      <w:t>术标评审合格后的投标人的投标报价。</w:t>
                    </w:r>
                  </w:p>
                  <w:p w14:paraId="4FA4C9AE">
                    <w:pPr>
                      <w:spacing w:before="29" w:line="218" w:lineRule="auto"/>
                      <w:ind w:left="25"/>
                      <w:rPr>
                        <w:rFonts w:ascii="宋体" w:hAnsi="宋体" w:eastAsia="宋体" w:cs="宋体"/>
                        <w:sz w:val="24"/>
                        <w:szCs w:val="24"/>
                      </w:rPr>
                    </w:pPr>
                    <w:r>
                      <w:rPr>
                        <w:rFonts w:ascii="宋体" w:hAnsi="宋体" w:eastAsia="宋体" w:cs="宋体"/>
                        <w:spacing w:val="-1"/>
                        <w:sz w:val="24"/>
                        <w:szCs w:val="24"/>
                      </w:rPr>
                      <w:t>3.报价得分=(评标基准价/投标报价)×Q3×100</w:t>
                    </w:r>
                  </w:p>
                  <w:p w14:paraId="21CD6B9D">
                    <w:pPr>
                      <w:spacing w:before="30" w:line="235" w:lineRule="auto"/>
                      <w:ind w:left="20" w:right="20"/>
                      <w:rPr>
                        <w:rFonts w:ascii="宋体" w:hAnsi="宋体" w:eastAsia="宋体" w:cs="宋体"/>
                        <w:sz w:val="24"/>
                        <w:szCs w:val="24"/>
                      </w:rPr>
                    </w:pPr>
                    <w:r>
                      <w:rPr>
                        <w:rFonts w:ascii="宋体" w:hAnsi="宋体" w:eastAsia="宋体" w:cs="宋体"/>
                        <w:spacing w:val="-4"/>
                        <w:sz w:val="24"/>
                        <w:szCs w:val="24"/>
                      </w:rPr>
                      <w:t>4.采用低价优先法计算，即满足磋商文件要求且投标价格最</w:t>
                    </w:r>
                    <w:r>
                      <w:rPr>
                        <w:rFonts w:ascii="宋体" w:hAnsi="宋体" w:eastAsia="宋体" w:cs="宋体"/>
                        <w:spacing w:val="9"/>
                        <w:sz w:val="24"/>
                        <w:szCs w:val="24"/>
                      </w:rPr>
                      <w:t xml:space="preserve"> </w:t>
                    </w:r>
                    <w:r>
                      <w:rPr>
                        <w:rFonts w:ascii="宋体" w:hAnsi="宋体" w:eastAsia="宋体" w:cs="宋体"/>
                        <w:spacing w:val="-4"/>
                        <w:sz w:val="24"/>
                        <w:szCs w:val="24"/>
                      </w:rPr>
                      <w:t>低的投标报价为评标基准价，其价格为满分（保留小数点后</w:t>
                    </w:r>
                    <w:r>
                      <w:rPr>
                        <w:rFonts w:ascii="宋体" w:hAnsi="宋体" w:eastAsia="宋体" w:cs="宋体"/>
                        <w:spacing w:val="5"/>
                        <w:sz w:val="24"/>
                        <w:szCs w:val="24"/>
                      </w:rPr>
                      <w:t xml:space="preserve"> </w:t>
                    </w:r>
                    <w:r>
                      <w:rPr>
                        <w:rFonts w:ascii="宋体" w:hAnsi="宋体" w:eastAsia="宋体" w:cs="宋体"/>
                        <w:spacing w:val="-5"/>
                        <w:sz w:val="24"/>
                        <w:szCs w:val="24"/>
                      </w:rPr>
                      <w:t>两位）评分分值计算保留小数点后两位，小数点后三位“</w:t>
                    </w:r>
                    <w:r>
                      <w:rPr>
                        <w:rFonts w:ascii="宋体" w:hAnsi="宋体" w:eastAsia="宋体" w:cs="宋体"/>
                        <w:spacing w:val="-89"/>
                        <w:sz w:val="24"/>
                        <w:szCs w:val="24"/>
                      </w:rPr>
                      <w:t xml:space="preserve"> </w:t>
                    </w:r>
                    <w:r>
                      <w:rPr>
                        <w:rFonts w:ascii="宋体" w:hAnsi="宋体" w:eastAsia="宋体" w:cs="宋体"/>
                        <w:spacing w:val="-5"/>
                        <w:sz w:val="24"/>
                        <w:szCs w:val="24"/>
                      </w:rPr>
                      <w:t>四</w:t>
                    </w:r>
                    <w:r>
                      <w:rPr>
                        <w:rFonts w:ascii="宋体" w:hAnsi="宋体" w:eastAsia="宋体" w:cs="宋体"/>
                        <w:sz w:val="24"/>
                        <w:szCs w:val="24"/>
                      </w:rPr>
                      <w:t xml:space="preserve"> </w:t>
                    </w:r>
                    <w:r>
                      <w:rPr>
                        <w:rFonts w:ascii="宋体" w:hAnsi="宋体" w:eastAsia="宋体" w:cs="宋体"/>
                        <w:spacing w:val="-2"/>
                        <w:sz w:val="24"/>
                        <w:szCs w:val="24"/>
                      </w:rPr>
                      <w:t>舍五入</w:t>
                    </w:r>
                    <w:r>
                      <w:rPr>
                        <w:rFonts w:ascii="宋体" w:hAnsi="宋体" w:eastAsia="宋体" w:cs="宋体"/>
                        <w:spacing w:val="-87"/>
                        <w:sz w:val="24"/>
                        <w:szCs w:val="24"/>
                      </w:rPr>
                      <w:t xml:space="preserve"> </w:t>
                    </w:r>
                    <w:r>
                      <w:rPr>
                        <w:rFonts w:ascii="宋体" w:hAnsi="宋体" w:eastAsia="宋体" w:cs="宋体"/>
                        <w:spacing w:val="-2"/>
                        <w:sz w:val="24"/>
                        <w:szCs w:val="24"/>
                      </w:rPr>
                      <w:t>”。</w:t>
                    </w:r>
                  </w:p>
                  <w:p w14:paraId="3E196C10">
                    <w:pPr>
                      <w:spacing w:before="27" w:line="236" w:lineRule="auto"/>
                      <w:ind w:left="21" w:right="20" w:firstLine="3"/>
                      <w:jc w:val="both"/>
                      <w:rPr>
                        <w:rFonts w:ascii="宋体" w:hAnsi="宋体" w:eastAsia="宋体" w:cs="宋体"/>
                        <w:sz w:val="24"/>
                        <w:szCs w:val="24"/>
                      </w:rPr>
                    </w:pPr>
                    <w:r>
                      <w:rPr>
                        <w:rFonts w:ascii="宋体" w:hAnsi="宋体" w:eastAsia="宋体" w:cs="宋体"/>
                        <w:spacing w:val="13"/>
                        <w:sz w:val="24"/>
                        <w:szCs w:val="24"/>
                      </w:rPr>
                      <w:t>5.符合《政府采购促进中小企业发展管理办法》</w:t>
                    </w:r>
                    <w:r>
                      <w:rPr>
                        <w:rFonts w:ascii="宋体" w:hAnsi="宋体" w:eastAsia="宋体" w:cs="宋体"/>
                        <w:spacing w:val="-70"/>
                        <w:sz w:val="24"/>
                        <w:szCs w:val="24"/>
                      </w:rPr>
                      <w:t xml:space="preserve"> </w:t>
                    </w:r>
                    <w:r>
                      <w:rPr>
                        <w:rFonts w:ascii="宋体" w:hAnsi="宋体" w:eastAsia="宋体" w:cs="宋体"/>
                        <w:spacing w:val="13"/>
                        <w:sz w:val="24"/>
                        <w:szCs w:val="24"/>
                      </w:rPr>
                      <w:t>（财库</w:t>
                    </w:r>
                    <w:r>
                      <w:rPr>
                        <w:rFonts w:ascii="宋体" w:hAnsi="宋体" w:eastAsia="宋体" w:cs="宋体"/>
                        <w:sz w:val="24"/>
                        <w:szCs w:val="24"/>
                      </w:rPr>
                      <w:t xml:space="preserve"> </w:t>
                    </w:r>
                    <w:r>
                      <w:rPr>
                        <w:rFonts w:ascii="宋体" w:hAnsi="宋体" w:eastAsia="宋体" w:cs="宋体"/>
                        <w:spacing w:val="1"/>
                        <w:sz w:val="24"/>
                        <w:szCs w:val="24"/>
                      </w:rPr>
                      <w:t>﹝2020﹞46 号）规定情形且按该办</w:t>
                    </w:r>
                    <w:r>
                      <w:rPr>
                        <w:rFonts w:ascii="宋体" w:hAnsi="宋体" w:eastAsia="宋体" w:cs="宋体"/>
                        <w:sz w:val="24"/>
                        <w:szCs w:val="24"/>
                      </w:rPr>
                      <w:t xml:space="preserve">法中规定的格式提供了 </w:t>
                    </w:r>
                    <w:r>
                      <w:rPr>
                        <w:rFonts w:ascii="宋体" w:hAnsi="宋体" w:eastAsia="宋体" w:cs="宋体"/>
                        <w:spacing w:val="-4"/>
                        <w:sz w:val="24"/>
                        <w:szCs w:val="24"/>
                      </w:rPr>
                      <w:t>《中小企业声明函》的，对符合本办法规定的小微企业报价</w:t>
                    </w:r>
                    <w:r>
                      <w:rPr>
                        <w:rFonts w:ascii="宋体" w:hAnsi="宋体" w:eastAsia="宋体" w:cs="宋体"/>
                        <w:spacing w:val="3"/>
                        <w:sz w:val="24"/>
                        <w:szCs w:val="24"/>
                      </w:rPr>
                      <w:t xml:space="preserve"> 给予</w:t>
                    </w:r>
                    <w:r>
                      <w:rPr>
                        <w:rFonts w:ascii="宋体" w:hAnsi="宋体" w:eastAsia="宋体" w:cs="宋体"/>
                        <w:spacing w:val="-42"/>
                        <w:sz w:val="24"/>
                        <w:szCs w:val="24"/>
                      </w:rPr>
                      <w:t xml:space="preserve"> </w:t>
                    </w:r>
                    <w:r>
                      <w:rPr>
                        <w:rFonts w:ascii="宋体" w:hAnsi="宋体" w:eastAsia="宋体" w:cs="宋体"/>
                        <w:spacing w:val="3"/>
                        <w:sz w:val="24"/>
                        <w:szCs w:val="24"/>
                      </w:rPr>
                      <w:t>6%—10%（工程项目为</w:t>
                    </w:r>
                    <w:r>
                      <w:rPr>
                        <w:rFonts w:ascii="宋体" w:hAnsi="宋体" w:eastAsia="宋体" w:cs="宋体"/>
                        <w:spacing w:val="-41"/>
                        <w:sz w:val="24"/>
                        <w:szCs w:val="24"/>
                      </w:rPr>
                      <w:t xml:space="preserve"> </w:t>
                    </w:r>
                    <w:r>
                      <w:rPr>
                        <w:rFonts w:ascii="宋体" w:hAnsi="宋体" w:eastAsia="宋体" w:cs="宋体"/>
                        <w:spacing w:val="3"/>
                        <w:sz w:val="24"/>
                        <w:szCs w:val="24"/>
                      </w:rPr>
                      <w:t>3%—5%</w:t>
                    </w:r>
                    <w:r>
                      <w:rPr>
                        <w:rFonts w:ascii="宋体" w:hAnsi="宋体" w:eastAsia="宋体" w:cs="宋体"/>
                        <w:spacing w:val="14"/>
                        <w:sz w:val="24"/>
                        <w:szCs w:val="24"/>
                      </w:rPr>
                      <w:t>），</w:t>
                    </w:r>
                    <w:r>
                      <w:rPr>
                        <w:rFonts w:ascii="宋体" w:hAnsi="宋体" w:eastAsia="宋体" w:cs="宋体"/>
                        <w:spacing w:val="3"/>
                        <w:sz w:val="24"/>
                        <w:szCs w:val="24"/>
                      </w:rPr>
                      <w:t>对</w:t>
                    </w:r>
                    <w:r>
                      <w:rPr>
                        <w:rFonts w:ascii="宋体" w:hAnsi="宋体" w:eastAsia="宋体" w:cs="宋体"/>
                        <w:spacing w:val="2"/>
                        <w:sz w:val="24"/>
                        <w:szCs w:val="24"/>
                      </w:rPr>
                      <w:t>其最后报价给予</w:t>
                    </w:r>
                    <w:r>
                      <w:rPr>
                        <w:rFonts w:ascii="宋体" w:hAnsi="宋体" w:eastAsia="宋体" w:cs="宋体"/>
                        <w:sz w:val="24"/>
                        <w:szCs w:val="24"/>
                      </w:rPr>
                      <w:t xml:space="preserve"> </w:t>
                    </w:r>
                    <w:r>
                      <w:rPr>
                        <w:rFonts w:ascii="宋体" w:hAnsi="宋体" w:eastAsia="宋体" w:cs="宋体"/>
                        <w:spacing w:val="1"/>
                        <w:sz w:val="24"/>
                        <w:szCs w:val="24"/>
                      </w:rPr>
                      <w:t>3%的扣除，扣除后的价格为评标报价，即</w:t>
                    </w:r>
                    <w:r>
                      <w:rPr>
                        <w:rFonts w:ascii="宋体" w:hAnsi="宋体" w:eastAsia="宋体" w:cs="宋体"/>
                        <w:sz w:val="24"/>
                        <w:szCs w:val="24"/>
                      </w:rPr>
                      <w:t xml:space="preserve">评标报价=最后报 </w:t>
                    </w:r>
                    <w:r>
                      <w:rPr>
                        <w:rFonts w:ascii="宋体" w:hAnsi="宋体" w:eastAsia="宋体" w:cs="宋体"/>
                        <w:spacing w:val="-2"/>
                        <w:sz w:val="24"/>
                        <w:szCs w:val="24"/>
                      </w:rPr>
                      <w:t>价×（1-3%</w:t>
                    </w:r>
                    <w:r>
                      <w:rPr>
                        <w:rFonts w:ascii="宋体" w:hAnsi="宋体" w:eastAsia="宋体" w:cs="宋体"/>
                        <w:spacing w:val="18"/>
                        <w:sz w:val="24"/>
                        <w:szCs w:val="24"/>
                      </w:rPr>
                      <w:t>）；</w:t>
                    </w:r>
                    <w:r>
                      <w:rPr>
                        <w:rFonts w:ascii="宋体" w:hAnsi="宋体" w:eastAsia="宋体" w:cs="宋体"/>
                        <w:spacing w:val="-2"/>
                        <w:sz w:val="24"/>
                        <w:szCs w:val="24"/>
                      </w:rPr>
                      <w:t>除上述情况外，评标报价=最后报价。</w:t>
                    </w:r>
                  </w:p>
                </w:txbxContent>
              </v:textbox>
            </v:shape>
            <v:shape id="_x0000_s1032" o:spid="_x0000_s1032" o:spt="202" type="#_x0000_t202" style="position:absolute;left:985;top:53;height:3922;width:1708;" filled="f" stroked="f" coordsize="21600,21600">
              <v:path/>
              <v:fill on="f" focussize="0,0"/>
              <v:stroke on="f"/>
              <v:imagedata o:title=""/>
              <o:lock v:ext="edit" aspectratio="f"/>
              <v:textbox inset="0mm,0mm,0mm,0mm">
                <w:txbxContent>
                  <w:p w14:paraId="3B0BBFD9">
                    <w:pPr>
                      <w:spacing w:before="20" w:line="219" w:lineRule="auto"/>
                      <w:ind w:left="379"/>
                      <w:rPr>
                        <w:rFonts w:ascii="宋体" w:hAnsi="宋体" w:eastAsia="宋体" w:cs="宋体"/>
                        <w:sz w:val="24"/>
                        <w:szCs w:val="24"/>
                      </w:rPr>
                    </w:pPr>
                    <w:r>
                      <w:rPr>
                        <w:rFonts w:ascii="宋体" w:hAnsi="宋体" w:eastAsia="宋体" w:cs="宋体"/>
                        <w:spacing w:val="-3"/>
                        <w:sz w:val="24"/>
                        <w:szCs w:val="24"/>
                      </w:rPr>
                      <w:t>条款内容</w:t>
                    </w:r>
                  </w:p>
                  <w:p w14:paraId="06A02141">
                    <w:pPr>
                      <w:spacing w:before="302" w:line="230" w:lineRule="auto"/>
                      <w:ind w:left="178" w:right="20" w:hanging="159"/>
                      <w:rPr>
                        <w:rFonts w:ascii="宋体" w:hAnsi="宋体" w:eastAsia="宋体" w:cs="宋体"/>
                        <w:sz w:val="24"/>
                        <w:szCs w:val="24"/>
                      </w:rPr>
                    </w:pPr>
                    <w:r>
                      <w:rPr>
                        <w:rFonts w:ascii="宋体" w:hAnsi="宋体" w:eastAsia="宋体" w:cs="宋体"/>
                        <w:spacing w:val="-2"/>
                        <w:sz w:val="24"/>
                        <w:szCs w:val="24"/>
                      </w:rPr>
                      <w:t>分值构成及权重</w:t>
                    </w:r>
                    <w:r>
                      <w:rPr>
                        <w:rFonts w:ascii="宋体" w:hAnsi="宋体" w:eastAsia="宋体" w:cs="宋体"/>
                        <w:sz w:val="24"/>
                        <w:szCs w:val="24"/>
                      </w:rPr>
                      <w:t xml:space="preserve"> </w:t>
                    </w:r>
                    <w:r>
                      <w:rPr>
                        <w:rFonts w:ascii="宋体" w:hAnsi="宋体" w:eastAsia="宋体" w:cs="宋体"/>
                        <w:spacing w:val="-12"/>
                        <w:sz w:val="24"/>
                        <w:szCs w:val="24"/>
                      </w:rPr>
                      <w:t>(总分</w:t>
                    </w:r>
                    <w:r>
                      <w:rPr>
                        <w:rFonts w:ascii="宋体" w:hAnsi="宋体" w:eastAsia="宋体" w:cs="宋体"/>
                        <w:spacing w:val="-29"/>
                        <w:sz w:val="24"/>
                        <w:szCs w:val="24"/>
                      </w:rPr>
                      <w:t xml:space="preserve"> </w:t>
                    </w:r>
                    <w:r>
                      <w:rPr>
                        <w:rFonts w:ascii="宋体" w:hAnsi="宋体" w:eastAsia="宋体" w:cs="宋体"/>
                        <w:spacing w:val="-12"/>
                        <w:sz w:val="24"/>
                        <w:szCs w:val="24"/>
                      </w:rPr>
                      <w:t>100</w:t>
                    </w:r>
                    <w:r>
                      <w:rPr>
                        <w:rFonts w:ascii="宋体" w:hAnsi="宋体" w:eastAsia="宋体" w:cs="宋体"/>
                        <w:spacing w:val="-48"/>
                        <w:sz w:val="24"/>
                        <w:szCs w:val="24"/>
                      </w:rPr>
                      <w:t xml:space="preserve"> </w:t>
                    </w:r>
                    <w:r>
                      <w:rPr>
                        <w:rFonts w:ascii="宋体" w:hAnsi="宋体" w:eastAsia="宋体" w:cs="宋体"/>
                        <w:spacing w:val="-12"/>
                        <w:sz w:val="24"/>
                        <w:szCs w:val="24"/>
                      </w:rPr>
                      <w:t>分)</w:t>
                    </w:r>
                  </w:p>
                  <w:p w14:paraId="18BC7C84">
                    <w:pPr>
                      <w:spacing w:line="271" w:lineRule="auto"/>
                      <w:rPr>
                        <w:rFonts w:ascii="Arial"/>
                        <w:sz w:val="21"/>
                      </w:rPr>
                    </w:pPr>
                  </w:p>
                  <w:p w14:paraId="6647C96B">
                    <w:pPr>
                      <w:spacing w:line="271" w:lineRule="auto"/>
                      <w:rPr>
                        <w:rFonts w:ascii="Arial"/>
                        <w:sz w:val="21"/>
                      </w:rPr>
                    </w:pPr>
                  </w:p>
                  <w:p w14:paraId="2E525ED7">
                    <w:pPr>
                      <w:spacing w:before="78" w:line="219" w:lineRule="auto"/>
                      <w:ind w:left="387"/>
                      <w:rPr>
                        <w:rFonts w:ascii="宋体" w:hAnsi="宋体" w:eastAsia="宋体" w:cs="宋体"/>
                        <w:sz w:val="24"/>
                        <w:szCs w:val="24"/>
                      </w:rPr>
                    </w:pPr>
                    <w:r>
                      <w:rPr>
                        <w:rFonts w:ascii="宋体" w:hAnsi="宋体" w:eastAsia="宋体" w:cs="宋体"/>
                        <w:spacing w:val="-5"/>
                        <w:sz w:val="24"/>
                        <w:szCs w:val="24"/>
                      </w:rPr>
                      <w:t>资格审查</w:t>
                    </w:r>
                  </w:p>
                  <w:p w14:paraId="0FA1D084">
                    <w:pPr>
                      <w:spacing w:line="293" w:lineRule="auto"/>
                      <w:rPr>
                        <w:rFonts w:ascii="Arial"/>
                        <w:sz w:val="21"/>
                      </w:rPr>
                    </w:pPr>
                  </w:p>
                  <w:p w14:paraId="2867B839">
                    <w:pPr>
                      <w:spacing w:line="293" w:lineRule="auto"/>
                      <w:rPr>
                        <w:rFonts w:ascii="Arial"/>
                        <w:sz w:val="21"/>
                      </w:rPr>
                    </w:pPr>
                  </w:p>
                  <w:p w14:paraId="16937803">
                    <w:pPr>
                      <w:spacing w:before="78" w:line="219" w:lineRule="auto"/>
                      <w:ind w:left="259"/>
                      <w:rPr>
                        <w:rFonts w:ascii="宋体" w:hAnsi="宋体" w:eastAsia="宋体" w:cs="宋体"/>
                        <w:sz w:val="24"/>
                        <w:szCs w:val="24"/>
                      </w:rPr>
                    </w:pPr>
                    <w:r>
                      <w:rPr>
                        <w:rFonts w:ascii="宋体" w:hAnsi="宋体" w:eastAsia="宋体" w:cs="宋体"/>
                        <w:spacing w:val="-3"/>
                        <w:sz w:val="24"/>
                        <w:szCs w:val="24"/>
                      </w:rPr>
                      <w:t>符合性审查</w:t>
                    </w:r>
                  </w:p>
                  <w:p w14:paraId="3396CFF9">
                    <w:pPr>
                      <w:spacing w:line="257" w:lineRule="auto"/>
                      <w:rPr>
                        <w:rFonts w:ascii="Arial"/>
                        <w:sz w:val="21"/>
                      </w:rPr>
                    </w:pPr>
                  </w:p>
                  <w:p w14:paraId="0D39A476">
                    <w:pPr>
                      <w:spacing w:line="257" w:lineRule="auto"/>
                      <w:rPr>
                        <w:rFonts w:ascii="Arial"/>
                        <w:sz w:val="21"/>
                      </w:rPr>
                    </w:pPr>
                  </w:p>
                  <w:p w14:paraId="26F149F9">
                    <w:pPr>
                      <w:spacing w:before="79" w:line="220" w:lineRule="auto"/>
                      <w:ind w:left="380"/>
                      <w:rPr>
                        <w:rFonts w:ascii="宋体" w:hAnsi="宋体" w:eastAsia="宋体" w:cs="宋体"/>
                        <w:sz w:val="24"/>
                        <w:szCs w:val="24"/>
                      </w:rPr>
                    </w:pPr>
                    <w:r>
                      <w:rPr>
                        <w:rFonts w:ascii="宋体" w:hAnsi="宋体" w:eastAsia="宋体" w:cs="宋体"/>
                        <w:spacing w:val="-4"/>
                        <w:sz w:val="24"/>
                        <w:szCs w:val="24"/>
                      </w:rPr>
                      <w:t>详细评审</w:t>
                    </w:r>
                  </w:p>
                </w:txbxContent>
              </v:textbox>
            </v:shape>
            <v:shape id="_x0000_s1033" o:spid="_x0000_s1033" o:spt="202" type="#_x0000_t202" style="position:absolute;left:1103;top:6521;height:592;width:1470;" filled="f" stroked="f" coordsize="21600,21600">
              <v:path/>
              <v:fill on="f" focussize="0,0"/>
              <v:stroke on="f"/>
              <v:imagedata o:title=""/>
              <o:lock v:ext="edit" aspectratio="f"/>
              <v:textbox inset="0mm,0mm,0mm,0mm">
                <w:txbxContent>
                  <w:p w14:paraId="6A096F2C">
                    <w:pPr>
                      <w:spacing w:before="19" w:line="218" w:lineRule="auto"/>
                      <w:ind w:left="261"/>
                      <w:rPr>
                        <w:rFonts w:ascii="宋体" w:hAnsi="宋体" w:eastAsia="宋体" w:cs="宋体"/>
                        <w:sz w:val="24"/>
                        <w:szCs w:val="24"/>
                      </w:rPr>
                    </w:pPr>
                    <w:r>
                      <w:rPr>
                        <w:rFonts w:ascii="宋体" w:hAnsi="宋体" w:eastAsia="宋体" w:cs="宋体"/>
                        <w:spacing w:val="-4"/>
                        <w:sz w:val="24"/>
                        <w:szCs w:val="24"/>
                      </w:rPr>
                      <w:t>投标报价</w:t>
                    </w:r>
                  </w:p>
                  <w:p w14:paraId="53B61A13">
                    <w:pPr>
                      <w:spacing w:before="29" w:line="219" w:lineRule="auto"/>
                      <w:ind w:left="20"/>
                      <w:rPr>
                        <w:rFonts w:ascii="宋体" w:hAnsi="宋体" w:eastAsia="宋体" w:cs="宋体"/>
                        <w:sz w:val="24"/>
                        <w:szCs w:val="24"/>
                      </w:rPr>
                    </w:pPr>
                    <w:r>
                      <w:rPr>
                        <w:rFonts w:ascii="宋体" w:hAnsi="宋体" w:eastAsia="宋体" w:cs="宋体"/>
                        <w:spacing w:val="-2"/>
                        <w:sz w:val="24"/>
                        <w:szCs w:val="24"/>
                      </w:rPr>
                      <w:t>得分计算方法</w:t>
                    </w:r>
                  </w:p>
                </w:txbxContent>
              </v:textbox>
            </v:shape>
            <v:shape id="_x0000_s1034" o:spid="_x0000_s1034" o:spt="202" type="#_x0000_t202" style="position:absolute;left:65;top:53;height:280;width:512;" filled="f" stroked="f" coordsize="21600,21600">
              <v:path/>
              <v:fill on="f" focussize="0,0"/>
              <v:stroke on="f"/>
              <v:imagedata o:title=""/>
              <o:lock v:ext="edit" aspectratio="f"/>
              <v:textbox inset="0mm,0mm,0mm,0mm">
                <w:txbxContent>
                  <w:p w14:paraId="55FD9615">
                    <w:pPr>
                      <w:spacing w:before="19" w:line="221" w:lineRule="auto"/>
                      <w:ind w:left="20"/>
                      <w:rPr>
                        <w:rFonts w:ascii="宋体" w:hAnsi="宋体" w:eastAsia="宋体" w:cs="宋体"/>
                        <w:sz w:val="24"/>
                        <w:szCs w:val="24"/>
                      </w:rPr>
                    </w:pPr>
                    <w:r>
                      <w:rPr>
                        <w:rFonts w:ascii="宋体" w:hAnsi="宋体" w:eastAsia="宋体" w:cs="宋体"/>
                        <w:spacing w:val="-5"/>
                        <w:sz w:val="24"/>
                        <w:szCs w:val="24"/>
                      </w:rPr>
                      <w:t>序号</w:t>
                    </w:r>
                  </w:p>
                </w:txbxContent>
              </v:textbox>
            </v:shape>
            <v:shape id="_x0000_s1035" o:spid="_x0000_s1035" o:spt="202" type="#_x0000_t202" style="position:absolute;left:245;top:2854;height:205;width:151;" filled="f" stroked="f" coordsize="21600,21600">
              <v:path/>
              <v:fill on="f" focussize="0,0"/>
              <v:stroke on="f"/>
              <v:imagedata o:title=""/>
              <o:lock v:ext="edit" aspectratio="f"/>
              <v:textbox inset="0mm,0mm,0mm,0mm">
                <w:txbxContent>
                  <w:p w14:paraId="69397660">
                    <w:pPr>
                      <w:spacing w:before="19" w:line="183" w:lineRule="auto"/>
                      <w:ind w:left="20"/>
                      <w:rPr>
                        <w:rFonts w:ascii="宋体" w:hAnsi="宋体" w:eastAsia="宋体" w:cs="宋体"/>
                        <w:sz w:val="24"/>
                        <w:szCs w:val="24"/>
                      </w:rPr>
                    </w:pPr>
                    <w:r>
                      <w:rPr>
                        <w:rFonts w:ascii="宋体" w:hAnsi="宋体" w:eastAsia="宋体" w:cs="宋体"/>
                        <w:sz w:val="24"/>
                        <w:szCs w:val="24"/>
                      </w:rPr>
                      <w:t>4</w:t>
                    </w:r>
                  </w:p>
                </w:txbxContent>
              </v:textbox>
            </v:shape>
            <v:shape id="_x0000_s1036" o:spid="_x0000_s1036" o:spt="202" type="#_x0000_t202" style="position:absolute;left:248;top:6715;height:207;width:148;" filled="f" stroked="f" coordsize="21600,21600">
              <v:path/>
              <v:fill on="f" focussize="0,0"/>
              <v:stroke on="f"/>
              <v:imagedata o:title=""/>
              <o:lock v:ext="edit" aspectratio="f"/>
              <v:textbox inset="0mm,0mm,0mm,0mm">
                <w:txbxContent>
                  <w:p w14:paraId="0E24716C">
                    <w:pPr>
                      <w:spacing w:before="20" w:line="183" w:lineRule="auto"/>
                      <w:ind w:left="20"/>
                      <w:rPr>
                        <w:rFonts w:ascii="宋体" w:hAnsi="宋体" w:eastAsia="宋体" w:cs="宋体"/>
                        <w:sz w:val="24"/>
                        <w:szCs w:val="24"/>
                      </w:rPr>
                    </w:pPr>
                    <w:r>
                      <w:rPr>
                        <w:rFonts w:ascii="宋体" w:hAnsi="宋体" w:eastAsia="宋体" w:cs="宋体"/>
                        <w:sz w:val="24"/>
                        <w:szCs w:val="24"/>
                      </w:rPr>
                      <w:t>6</w:t>
                    </w:r>
                  </w:p>
                </w:txbxContent>
              </v:textbox>
            </v:shape>
            <v:shape id="_x0000_s1037" o:spid="_x0000_s1037" o:spt="202" type="#_x0000_t202" style="position:absolute;left:250;top:1901;height:207;width:146;" filled="f" stroked="f" coordsize="21600,21600">
              <v:path/>
              <v:fill on="f" focussize="0,0"/>
              <v:stroke on="f"/>
              <v:imagedata o:title=""/>
              <o:lock v:ext="edit" aspectratio="f"/>
              <v:textbox inset="0mm,0mm,0mm,0mm">
                <w:txbxContent>
                  <w:p w14:paraId="057BD45E">
                    <w:pPr>
                      <w:spacing w:before="20" w:line="183" w:lineRule="auto"/>
                      <w:ind w:left="20"/>
                      <w:rPr>
                        <w:rFonts w:ascii="宋体" w:hAnsi="宋体" w:eastAsia="宋体" w:cs="宋体"/>
                        <w:sz w:val="24"/>
                        <w:szCs w:val="24"/>
                      </w:rPr>
                    </w:pPr>
                    <w:r>
                      <w:rPr>
                        <w:rFonts w:ascii="宋体" w:hAnsi="宋体" w:eastAsia="宋体" w:cs="宋体"/>
                        <w:sz w:val="24"/>
                        <w:szCs w:val="24"/>
                      </w:rPr>
                      <w:t>3</w:t>
                    </w:r>
                  </w:p>
                </w:txbxContent>
              </v:textbox>
            </v:shape>
            <v:shape id="_x0000_s1038" o:spid="_x0000_s1038" o:spt="202" type="#_x0000_t202" style="position:absolute;left:250;top:3736;height:205;width:146;" filled="f" stroked="f" coordsize="21600,21600">
              <v:path/>
              <v:fill on="f" focussize="0,0"/>
              <v:stroke on="f"/>
              <v:imagedata o:title=""/>
              <o:lock v:ext="edit" aspectratio="f"/>
              <v:textbox inset="0mm,0mm,0mm,0mm">
                <w:txbxContent>
                  <w:p w14:paraId="3A2D06EA">
                    <w:pPr>
                      <w:spacing w:before="19" w:line="182" w:lineRule="auto"/>
                      <w:ind w:left="20"/>
                      <w:rPr>
                        <w:rFonts w:ascii="宋体" w:hAnsi="宋体" w:eastAsia="宋体" w:cs="宋体"/>
                        <w:sz w:val="24"/>
                        <w:szCs w:val="24"/>
                      </w:rPr>
                    </w:pPr>
                    <w:r>
                      <w:rPr>
                        <w:rFonts w:ascii="宋体" w:hAnsi="宋体" w:eastAsia="宋体" w:cs="宋体"/>
                        <w:sz w:val="24"/>
                        <w:szCs w:val="24"/>
                      </w:rPr>
                      <w:t>5</w:t>
                    </w:r>
                  </w:p>
                </w:txbxContent>
              </v:textbox>
            </v:shape>
            <v:shape id="_x0000_s1039" o:spid="_x0000_s1039" o:spt="202" type="#_x0000_t202" style="position:absolute;left:263;top:834;height:206;width:133;" filled="f" stroked="f" coordsize="21600,21600">
              <v:path/>
              <v:fill on="f" focussize="0,0"/>
              <v:stroke on="f"/>
              <v:imagedata o:title=""/>
              <o:lock v:ext="edit" aspectratio="f"/>
              <v:textbox inset="0mm,0mm,0mm,0mm">
                <w:txbxContent>
                  <w:p w14:paraId="7D945411">
                    <w:pPr>
                      <w:spacing w:before="19" w:line="184" w:lineRule="auto"/>
                      <w:jc w:val="right"/>
                      <w:rPr>
                        <w:rFonts w:ascii="宋体" w:hAnsi="宋体" w:eastAsia="宋体" w:cs="宋体"/>
                        <w:sz w:val="24"/>
                        <w:szCs w:val="24"/>
                      </w:rPr>
                    </w:pPr>
                    <w:r>
                      <w:rPr>
                        <w:rFonts w:ascii="宋体" w:hAnsi="宋体" w:eastAsia="宋体" w:cs="宋体"/>
                        <w:spacing w:val="-28"/>
                        <w:sz w:val="24"/>
                        <w:szCs w:val="24"/>
                      </w:rPr>
                      <w:t>1</w:t>
                    </w:r>
                  </w:p>
                </w:txbxContent>
              </v:textbox>
            </v:shape>
            <w10:wrap type="none"/>
            <w10:anchorlock/>
          </v:group>
        </w:pict>
      </w:r>
    </w:p>
    <w:p w14:paraId="5AEA8F5C">
      <w:pPr>
        <w:spacing w:line="9370" w:lineRule="exact"/>
        <w:rPr>
          <w:color w:val="auto"/>
          <w:highlight w:val="none"/>
        </w:rPr>
        <w:sectPr>
          <w:footerReference r:id="rId19" w:type="default"/>
          <w:pgSz w:w="11906" w:h="16839"/>
          <w:pgMar w:top="1440" w:right="1800" w:bottom="1440" w:left="1800" w:header="0" w:footer="973" w:gutter="0"/>
          <w:pgNumType w:fmt="decimal"/>
          <w:cols w:space="720" w:num="1"/>
        </w:sectPr>
      </w:pPr>
    </w:p>
    <w:p w14:paraId="114381FB">
      <w:pPr>
        <w:spacing w:before="18"/>
        <w:rPr>
          <w:color w:val="auto"/>
          <w:highlight w:val="none"/>
        </w:rPr>
      </w:pPr>
    </w:p>
    <w:tbl>
      <w:tblPr>
        <w:tblStyle w:val="13"/>
        <w:tblW w:w="8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575"/>
        <w:gridCol w:w="6474"/>
        <w:gridCol w:w="834"/>
      </w:tblGrid>
      <w:tr w14:paraId="090A6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5" w:type="dxa"/>
            <w:vAlign w:val="top"/>
          </w:tcPr>
          <w:p w14:paraId="561E6EF8">
            <w:pPr>
              <w:pStyle w:val="14"/>
              <w:spacing w:before="260" w:line="221" w:lineRule="auto"/>
              <w:ind w:left="180"/>
              <w:rPr>
                <w:color w:val="auto"/>
                <w:sz w:val="22"/>
                <w:szCs w:val="22"/>
                <w:highlight w:val="none"/>
              </w:rPr>
            </w:pPr>
            <w:r>
              <w:rPr>
                <w:b/>
                <w:bCs/>
                <w:color w:val="auto"/>
                <w:spacing w:val="-8"/>
                <w:sz w:val="22"/>
                <w:szCs w:val="22"/>
                <w:highlight w:val="none"/>
              </w:rPr>
              <w:t>项目</w:t>
            </w:r>
          </w:p>
        </w:tc>
        <w:tc>
          <w:tcPr>
            <w:tcW w:w="7049" w:type="dxa"/>
            <w:gridSpan w:val="2"/>
            <w:vAlign w:val="top"/>
          </w:tcPr>
          <w:p w14:paraId="05FA753C">
            <w:pPr>
              <w:pStyle w:val="14"/>
              <w:spacing w:before="260" w:line="220" w:lineRule="auto"/>
              <w:ind w:left="2756"/>
              <w:rPr>
                <w:color w:val="auto"/>
                <w:sz w:val="22"/>
                <w:szCs w:val="22"/>
                <w:highlight w:val="none"/>
              </w:rPr>
            </w:pPr>
            <w:r>
              <w:rPr>
                <w:b/>
                <w:bCs/>
                <w:color w:val="auto"/>
                <w:spacing w:val="-18"/>
                <w:sz w:val="22"/>
                <w:szCs w:val="22"/>
                <w:highlight w:val="none"/>
              </w:rPr>
              <w:t>评</w:t>
            </w:r>
            <w:r>
              <w:rPr>
                <w:color w:val="auto"/>
                <w:spacing w:val="11"/>
                <w:sz w:val="22"/>
                <w:szCs w:val="22"/>
                <w:highlight w:val="none"/>
              </w:rPr>
              <w:t xml:space="preserve">  </w:t>
            </w:r>
            <w:r>
              <w:rPr>
                <w:b/>
                <w:bCs/>
                <w:color w:val="auto"/>
                <w:spacing w:val="-18"/>
                <w:sz w:val="22"/>
                <w:szCs w:val="22"/>
                <w:highlight w:val="none"/>
              </w:rPr>
              <w:t>审</w:t>
            </w:r>
            <w:r>
              <w:rPr>
                <w:color w:val="auto"/>
                <w:spacing w:val="18"/>
                <w:sz w:val="22"/>
                <w:szCs w:val="22"/>
                <w:highlight w:val="none"/>
              </w:rPr>
              <w:t xml:space="preserve">  </w:t>
            </w:r>
            <w:r>
              <w:rPr>
                <w:b/>
                <w:bCs/>
                <w:color w:val="auto"/>
                <w:spacing w:val="-18"/>
                <w:sz w:val="22"/>
                <w:szCs w:val="22"/>
                <w:highlight w:val="none"/>
              </w:rPr>
              <w:t>内</w:t>
            </w:r>
            <w:r>
              <w:rPr>
                <w:color w:val="auto"/>
                <w:spacing w:val="6"/>
                <w:sz w:val="22"/>
                <w:szCs w:val="22"/>
                <w:highlight w:val="none"/>
              </w:rPr>
              <w:t xml:space="preserve">  </w:t>
            </w:r>
            <w:r>
              <w:rPr>
                <w:b/>
                <w:bCs/>
                <w:color w:val="auto"/>
                <w:spacing w:val="-18"/>
                <w:sz w:val="22"/>
                <w:szCs w:val="22"/>
                <w:highlight w:val="none"/>
              </w:rPr>
              <w:t>容</w:t>
            </w:r>
          </w:p>
        </w:tc>
        <w:tc>
          <w:tcPr>
            <w:tcW w:w="834" w:type="dxa"/>
            <w:vAlign w:val="top"/>
          </w:tcPr>
          <w:p w14:paraId="2ED4D03E">
            <w:pPr>
              <w:pStyle w:val="14"/>
              <w:spacing w:before="51"/>
              <w:ind w:left="205" w:right="192" w:firstLine="1"/>
              <w:rPr>
                <w:color w:val="auto"/>
                <w:sz w:val="22"/>
                <w:szCs w:val="22"/>
                <w:highlight w:val="none"/>
              </w:rPr>
            </w:pPr>
            <w:r>
              <w:rPr>
                <w:color w:val="auto"/>
                <w:spacing w:val="-6"/>
                <w:sz w:val="22"/>
                <w:szCs w:val="22"/>
                <w:highlight w:val="none"/>
              </w:rPr>
              <w:t>是否</w:t>
            </w:r>
            <w:r>
              <w:rPr>
                <w:color w:val="auto"/>
                <w:sz w:val="22"/>
                <w:szCs w:val="22"/>
                <w:highlight w:val="none"/>
              </w:rPr>
              <w:t xml:space="preserve"> </w:t>
            </w:r>
            <w:r>
              <w:rPr>
                <w:color w:val="auto"/>
                <w:spacing w:val="-5"/>
                <w:sz w:val="22"/>
                <w:szCs w:val="22"/>
                <w:highlight w:val="none"/>
              </w:rPr>
              <w:t>符合</w:t>
            </w:r>
          </w:p>
        </w:tc>
      </w:tr>
      <w:tr w14:paraId="0E35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85" w:type="dxa"/>
            <w:vMerge w:val="restart"/>
            <w:tcBorders>
              <w:bottom w:val="nil"/>
            </w:tcBorders>
            <w:vAlign w:val="top"/>
          </w:tcPr>
          <w:p w14:paraId="45A8E041">
            <w:pPr>
              <w:spacing w:line="249" w:lineRule="auto"/>
              <w:rPr>
                <w:rFonts w:ascii="Arial"/>
                <w:color w:val="auto"/>
                <w:sz w:val="21"/>
                <w:highlight w:val="none"/>
              </w:rPr>
            </w:pPr>
          </w:p>
          <w:p w14:paraId="2780A4A1">
            <w:pPr>
              <w:spacing w:line="249" w:lineRule="auto"/>
              <w:rPr>
                <w:rFonts w:ascii="Arial"/>
                <w:color w:val="auto"/>
                <w:sz w:val="21"/>
                <w:highlight w:val="none"/>
              </w:rPr>
            </w:pPr>
          </w:p>
          <w:p w14:paraId="6AD926D7">
            <w:pPr>
              <w:spacing w:line="249" w:lineRule="auto"/>
              <w:rPr>
                <w:rFonts w:ascii="Arial"/>
                <w:color w:val="auto"/>
                <w:sz w:val="21"/>
                <w:highlight w:val="none"/>
              </w:rPr>
            </w:pPr>
          </w:p>
          <w:p w14:paraId="595CE13B">
            <w:pPr>
              <w:spacing w:line="249" w:lineRule="auto"/>
              <w:rPr>
                <w:rFonts w:ascii="Arial"/>
                <w:color w:val="auto"/>
                <w:sz w:val="21"/>
                <w:highlight w:val="none"/>
              </w:rPr>
            </w:pPr>
          </w:p>
          <w:p w14:paraId="0407ACF6">
            <w:pPr>
              <w:spacing w:line="249" w:lineRule="auto"/>
              <w:rPr>
                <w:rFonts w:ascii="Arial"/>
                <w:color w:val="auto"/>
                <w:sz w:val="21"/>
                <w:highlight w:val="none"/>
              </w:rPr>
            </w:pPr>
          </w:p>
          <w:p w14:paraId="27D30601">
            <w:pPr>
              <w:spacing w:line="249" w:lineRule="auto"/>
              <w:rPr>
                <w:rFonts w:ascii="Arial"/>
                <w:color w:val="auto"/>
                <w:sz w:val="21"/>
                <w:highlight w:val="none"/>
              </w:rPr>
            </w:pPr>
          </w:p>
          <w:p w14:paraId="7AEDB645">
            <w:pPr>
              <w:spacing w:line="249" w:lineRule="auto"/>
              <w:rPr>
                <w:rFonts w:ascii="Arial"/>
                <w:color w:val="auto"/>
                <w:sz w:val="21"/>
                <w:highlight w:val="none"/>
              </w:rPr>
            </w:pPr>
          </w:p>
          <w:p w14:paraId="6EA1FDE5">
            <w:pPr>
              <w:spacing w:line="249" w:lineRule="auto"/>
              <w:rPr>
                <w:rFonts w:ascii="Arial"/>
                <w:color w:val="auto"/>
                <w:sz w:val="21"/>
                <w:highlight w:val="none"/>
              </w:rPr>
            </w:pPr>
          </w:p>
          <w:p w14:paraId="5AE32481">
            <w:pPr>
              <w:spacing w:line="249" w:lineRule="auto"/>
              <w:rPr>
                <w:rFonts w:ascii="Arial"/>
                <w:color w:val="auto"/>
                <w:sz w:val="21"/>
                <w:highlight w:val="none"/>
              </w:rPr>
            </w:pPr>
          </w:p>
          <w:p w14:paraId="179DE930">
            <w:pPr>
              <w:spacing w:line="250" w:lineRule="auto"/>
              <w:rPr>
                <w:rFonts w:ascii="Arial"/>
                <w:color w:val="auto"/>
                <w:sz w:val="21"/>
                <w:highlight w:val="none"/>
              </w:rPr>
            </w:pPr>
          </w:p>
          <w:p w14:paraId="7C816A46">
            <w:pPr>
              <w:spacing w:line="250" w:lineRule="auto"/>
              <w:rPr>
                <w:rFonts w:ascii="Arial"/>
                <w:color w:val="auto"/>
                <w:sz w:val="21"/>
                <w:highlight w:val="none"/>
              </w:rPr>
            </w:pPr>
          </w:p>
          <w:p w14:paraId="3BC7DCEB">
            <w:pPr>
              <w:spacing w:line="250" w:lineRule="auto"/>
              <w:rPr>
                <w:rFonts w:ascii="Arial"/>
                <w:color w:val="auto"/>
                <w:sz w:val="21"/>
                <w:highlight w:val="none"/>
              </w:rPr>
            </w:pPr>
          </w:p>
          <w:p w14:paraId="1E9E2E8D">
            <w:pPr>
              <w:spacing w:line="250" w:lineRule="auto"/>
              <w:rPr>
                <w:rFonts w:ascii="Arial"/>
                <w:color w:val="auto"/>
                <w:sz w:val="21"/>
                <w:highlight w:val="none"/>
              </w:rPr>
            </w:pPr>
          </w:p>
          <w:p w14:paraId="57A27CF3">
            <w:pPr>
              <w:spacing w:line="250" w:lineRule="auto"/>
              <w:rPr>
                <w:rFonts w:ascii="Arial"/>
                <w:color w:val="auto"/>
                <w:sz w:val="21"/>
                <w:highlight w:val="none"/>
              </w:rPr>
            </w:pPr>
          </w:p>
          <w:p w14:paraId="7C913778">
            <w:pPr>
              <w:spacing w:line="250" w:lineRule="auto"/>
              <w:rPr>
                <w:rFonts w:ascii="Arial"/>
                <w:color w:val="auto"/>
                <w:sz w:val="21"/>
                <w:highlight w:val="none"/>
              </w:rPr>
            </w:pPr>
          </w:p>
          <w:p w14:paraId="733286E1">
            <w:pPr>
              <w:spacing w:line="250" w:lineRule="auto"/>
              <w:rPr>
                <w:rFonts w:ascii="Arial"/>
                <w:color w:val="auto"/>
                <w:sz w:val="21"/>
                <w:highlight w:val="none"/>
              </w:rPr>
            </w:pPr>
          </w:p>
          <w:p w14:paraId="096D7D32">
            <w:pPr>
              <w:spacing w:line="250" w:lineRule="auto"/>
              <w:rPr>
                <w:rFonts w:ascii="Arial"/>
                <w:color w:val="auto"/>
                <w:sz w:val="21"/>
                <w:highlight w:val="none"/>
              </w:rPr>
            </w:pPr>
          </w:p>
          <w:p w14:paraId="424F79A7">
            <w:pPr>
              <w:spacing w:line="250" w:lineRule="auto"/>
              <w:rPr>
                <w:rFonts w:ascii="Arial"/>
                <w:color w:val="auto"/>
                <w:sz w:val="21"/>
                <w:highlight w:val="none"/>
              </w:rPr>
            </w:pPr>
          </w:p>
          <w:p w14:paraId="5865DA43">
            <w:pPr>
              <w:spacing w:line="250" w:lineRule="auto"/>
              <w:rPr>
                <w:rFonts w:ascii="Arial"/>
                <w:color w:val="auto"/>
                <w:sz w:val="21"/>
                <w:highlight w:val="none"/>
              </w:rPr>
            </w:pPr>
          </w:p>
          <w:p w14:paraId="25803584">
            <w:pPr>
              <w:spacing w:line="250" w:lineRule="auto"/>
              <w:rPr>
                <w:rFonts w:ascii="Arial"/>
                <w:color w:val="auto"/>
                <w:sz w:val="21"/>
                <w:highlight w:val="none"/>
              </w:rPr>
            </w:pPr>
          </w:p>
          <w:p w14:paraId="3B902113">
            <w:pPr>
              <w:spacing w:line="250" w:lineRule="auto"/>
              <w:rPr>
                <w:rFonts w:ascii="Arial"/>
                <w:color w:val="auto"/>
                <w:sz w:val="21"/>
                <w:highlight w:val="none"/>
              </w:rPr>
            </w:pPr>
          </w:p>
          <w:p w14:paraId="23600E5F">
            <w:pPr>
              <w:spacing w:line="250" w:lineRule="auto"/>
              <w:rPr>
                <w:rFonts w:ascii="Arial"/>
                <w:color w:val="auto"/>
                <w:sz w:val="21"/>
                <w:highlight w:val="none"/>
              </w:rPr>
            </w:pPr>
          </w:p>
          <w:p w14:paraId="4DF87E23">
            <w:pPr>
              <w:spacing w:line="250" w:lineRule="auto"/>
              <w:rPr>
                <w:rFonts w:ascii="Arial"/>
                <w:color w:val="auto"/>
                <w:sz w:val="21"/>
                <w:highlight w:val="none"/>
              </w:rPr>
            </w:pPr>
          </w:p>
          <w:p w14:paraId="464F2C17">
            <w:pPr>
              <w:pStyle w:val="14"/>
              <w:spacing w:before="71" w:line="220" w:lineRule="auto"/>
              <w:ind w:left="186"/>
              <w:rPr>
                <w:color w:val="auto"/>
                <w:sz w:val="22"/>
                <w:szCs w:val="22"/>
                <w:highlight w:val="none"/>
              </w:rPr>
            </w:pPr>
            <w:r>
              <w:rPr>
                <w:b/>
                <w:bCs/>
                <w:color w:val="auto"/>
                <w:spacing w:val="-11"/>
                <w:sz w:val="22"/>
                <w:szCs w:val="22"/>
                <w:highlight w:val="none"/>
              </w:rPr>
              <w:t>资格</w:t>
            </w:r>
          </w:p>
          <w:p w14:paraId="3A13CDC8">
            <w:pPr>
              <w:pStyle w:val="14"/>
              <w:spacing w:before="176" w:line="221" w:lineRule="auto"/>
              <w:ind w:left="180"/>
              <w:rPr>
                <w:color w:val="auto"/>
                <w:sz w:val="22"/>
                <w:szCs w:val="22"/>
                <w:highlight w:val="none"/>
              </w:rPr>
            </w:pPr>
            <w:r>
              <w:rPr>
                <w:b/>
                <w:bCs/>
                <w:color w:val="auto"/>
                <w:spacing w:val="-8"/>
                <w:sz w:val="22"/>
                <w:szCs w:val="22"/>
                <w:highlight w:val="none"/>
              </w:rPr>
              <w:t>性审</w:t>
            </w:r>
          </w:p>
          <w:p w14:paraId="3B7C1634">
            <w:pPr>
              <w:pStyle w:val="14"/>
              <w:spacing w:before="176" w:line="227" w:lineRule="auto"/>
              <w:ind w:left="290"/>
              <w:rPr>
                <w:color w:val="auto"/>
                <w:sz w:val="22"/>
                <w:szCs w:val="22"/>
                <w:highlight w:val="none"/>
              </w:rPr>
            </w:pPr>
            <w:r>
              <w:rPr>
                <w:b/>
                <w:bCs/>
                <w:color w:val="auto"/>
                <w:spacing w:val="-3"/>
                <w:sz w:val="22"/>
                <w:szCs w:val="22"/>
                <w:highlight w:val="none"/>
              </w:rPr>
              <w:t>查</w:t>
            </w:r>
          </w:p>
        </w:tc>
        <w:tc>
          <w:tcPr>
            <w:tcW w:w="575" w:type="dxa"/>
            <w:vAlign w:val="top"/>
          </w:tcPr>
          <w:p w14:paraId="60E9C728">
            <w:pPr>
              <w:spacing w:line="269" w:lineRule="auto"/>
              <w:rPr>
                <w:rFonts w:ascii="Arial"/>
                <w:color w:val="auto"/>
                <w:sz w:val="21"/>
                <w:highlight w:val="none"/>
              </w:rPr>
            </w:pPr>
          </w:p>
          <w:p w14:paraId="617F3B15">
            <w:pPr>
              <w:spacing w:line="269" w:lineRule="auto"/>
              <w:rPr>
                <w:rFonts w:ascii="Arial"/>
                <w:color w:val="auto"/>
                <w:sz w:val="21"/>
                <w:highlight w:val="none"/>
              </w:rPr>
            </w:pPr>
          </w:p>
          <w:p w14:paraId="30BD0E2F">
            <w:pPr>
              <w:pStyle w:val="14"/>
              <w:spacing w:before="78" w:line="184" w:lineRule="auto"/>
              <w:ind w:left="250"/>
              <w:rPr>
                <w:color w:val="auto"/>
                <w:highlight w:val="none"/>
              </w:rPr>
            </w:pPr>
            <w:r>
              <w:rPr>
                <w:color w:val="auto"/>
                <w:highlight w:val="none"/>
              </w:rPr>
              <w:t>1</w:t>
            </w:r>
          </w:p>
        </w:tc>
        <w:tc>
          <w:tcPr>
            <w:tcW w:w="6474" w:type="dxa"/>
            <w:vAlign w:val="top"/>
          </w:tcPr>
          <w:p w14:paraId="51D2247F">
            <w:pPr>
              <w:pStyle w:val="14"/>
              <w:spacing w:before="114" w:line="329" w:lineRule="auto"/>
              <w:ind w:left="117" w:right="102"/>
              <w:jc w:val="both"/>
              <w:rPr>
                <w:color w:val="auto"/>
                <w:highlight w:val="none"/>
              </w:rPr>
            </w:pPr>
            <w:r>
              <w:rPr>
                <w:color w:val="auto"/>
                <w:highlight w:val="none"/>
              </w:rPr>
              <w:t>是否具备有效在中华人民共和国境内注册的法人或其他组织</w:t>
            </w:r>
            <w:r>
              <w:rPr>
                <w:color w:val="auto"/>
                <w:spacing w:val="7"/>
                <w:highlight w:val="none"/>
              </w:rPr>
              <w:t xml:space="preserve"> </w:t>
            </w:r>
            <w:r>
              <w:rPr>
                <w:color w:val="auto"/>
                <w:highlight w:val="none"/>
              </w:rPr>
              <w:t>或自然人的营业执照副本或事业法人登记证或执业许可证或</w:t>
            </w:r>
            <w:r>
              <w:rPr>
                <w:color w:val="auto"/>
                <w:spacing w:val="8"/>
                <w:highlight w:val="none"/>
              </w:rPr>
              <w:t xml:space="preserve"> </w:t>
            </w:r>
            <w:r>
              <w:rPr>
                <w:color w:val="auto"/>
                <w:spacing w:val="-1"/>
                <w:highlight w:val="none"/>
              </w:rPr>
              <w:t>身份证等相关证明原件扫描件</w:t>
            </w:r>
          </w:p>
        </w:tc>
        <w:tc>
          <w:tcPr>
            <w:tcW w:w="834" w:type="dxa"/>
            <w:vAlign w:val="top"/>
          </w:tcPr>
          <w:p w14:paraId="49F1972B">
            <w:pPr>
              <w:rPr>
                <w:rFonts w:ascii="Arial"/>
                <w:color w:val="auto"/>
                <w:sz w:val="21"/>
                <w:highlight w:val="none"/>
              </w:rPr>
            </w:pPr>
          </w:p>
        </w:tc>
      </w:tr>
      <w:tr w14:paraId="34FE3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785" w:type="dxa"/>
            <w:vMerge w:val="continue"/>
            <w:tcBorders>
              <w:top w:val="nil"/>
              <w:bottom w:val="nil"/>
            </w:tcBorders>
            <w:vAlign w:val="top"/>
          </w:tcPr>
          <w:p w14:paraId="10B6A5D3">
            <w:pPr>
              <w:rPr>
                <w:rFonts w:ascii="Arial"/>
                <w:color w:val="auto"/>
                <w:sz w:val="21"/>
                <w:highlight w:val="none"/>
              </w:rPr>
            </w:pPr>
          </w:p>
        </w:tc>
        <w:tc>
          <w:tcPr>
            <w:tcW w:w="575" w:type="dxa"/>
            <w:vAlign w:val="top"/>
          </w:tcPr>
          <w:p w14:paraId="2F23FA6A">
            <w:pPr>
              <w:spacing w:line="245" w:lineRule="auto"/>
              <w:rPr>
                <w:rFonts w:ascii="Arial"/>
                <w:color w:val="auto"/>
                <w:sz w:val="21"/>
                <w:highlight w:val="none"/>
              </w:rPr>
            </w:pPr>
          </w:p>
          <w:p w14:paraId="73933CC7">
            <w:pPr>
              <w:spacing w:line="245" w:lineRule="auto"/>
              <w:rPr>
                <w:rFonts w:ascii="Arial"/>
                <w:color w:val="auto"/>
                <w:sz w:val="21"/>
                <w:highlight w:val="none"/>
              </w:rPr>
            </w:pPr>
          </w:p>
          <w:p w14:paraId="742DF13A">
            <w:pPr>
              <w:spacing w:line="245" w:lineRule="auto"/>
              <w:rPr>
                <w:rFonts w:ascii="Arial"/>
                <w:color w:val="auto"/>
                <w:sz w:val="21"/>
                <w:highlight w:val="none"/>
              </w:rPr>
            </w:pPr>
          </w:p>
          <w:p w14:paraId="038BDF86">
            <w:pPr>
              <w:spacing w:line="245" w:lineRule="auto"/>
              <w:rPr>
                <w:rFonts w:ascii="Arial"/>
                <w:color w:val="auto"/>
                <w:sz w:val="21"/>
                <w:highlight w:val="none"/>
              </w:rPr>
            </w:pPr>
          </w:p>
          <w:p w14:paraId="5CEF02BB">
            <w:pPr>
              <w:spacing w:line="246" w:lineRule="auto"/>
              <w:rPr>
                <w:rFonts w:ascii="Arial"/>
                <w:color w:val="auto"/>
                <w:sz w:val="21"/>
                <w:highlight w:val="none"/>
              </w:rPr>
            </w:pPr>
          </w:p>
          <w:p w14:paraId="0C65E5BB">
            <w:pPr>
              <w:spacing w:line="246" w:lineRule="auto"/>
              <w:rPr>
                <w:rFonts w:ascii="Arial"/>
                <w:color w:val="auto"/>
                <w:sz w:val="21"/>
                <w:highlight w:val="none"/>
              </w:rPr>
            </w:pPr>
          </w:p>
          <w:p w14:paraId="7DACFC99">
            <w:pPr>
              <w:pStyle w:val="14"/>
              <w:spacing w:before="78" w:line="183" w:lineRule="auto"/>
              <w:ind w:left="236"/>
              <w:rPr>
                <w:color w:val="auto"/>
                <w:highlight w:val="none"/>
              </w:rPr>
            </w:pPr>
            <w:r>
              <w:rPr>
                <w:color w:val="auto"/>
                <w:highlight w:val="none"/>
              </w:rPr>
              <w:t>2</w:t>
            </w:r>
          </w:p>
        </w:tc>
        <w:tc>
          <w:tcPr>
            <w:tcW w:w="6474" w:type="dxa"/>
            <w:vAlign w:val="top"/>
          </w:tcPr>
          <w:p w14:paraId="1BF6F8CF">
            <w:pPr>
              <w:pStyle w:val="14"/>
              <w:spacing w:before="121" w:line="346" w:lineRule="auto"/>
              <w:ind w:left="114" w:right="102"/>
              <w:jc w:val="both"/>
              <w:rPr>
                <w:color w:val="auto"/>
                <w:highlight w:val="none"/>
              </w:rPr>
            </w:pPr>
            <w:r>
              <w:rPr>
                <w:color w:val="auto"/>
                <w:highlight w:val="none"/>
              </w:rPr>
              <w:t>提供上年度备案过的审计报告，具有良好的商业信誉和健全</w:t>
            </w:r>
            <w:r>
              <w:rPr>
                <w:color w:val="auto"/>
                <w:spacing w:val="10"/>
                <w:highlight w:val="none"/>
              </w:rPr>
              <w:t xml:space="preserve"> </w:t>
            </w:r>
            <w:r>
              <w:rPr>
                <w:color w:val="auto"/>
                <w:highlight w:val="none"/>
              </w:rPr>
              <w:t>的财务会计制度（审计报告须包括资产负债表、利润表、现</w:t>
            </w:r>
            <w:r>
              <w:rPr>
                <w:color w:val="auto"/>
                <w:spacing w:val="11"/>
                <w:highlight w:val="none"/>
              </w:rPr>
              <w:t xml:space="preserve"> </w:t>
            </w:r>
            <w:r>
              <w:rPr>
                <w:color w:val="auto"/>
                <w:highlight w:val="none"/>
              </w:rPr>
              <w:t>金流量表、所有者权益变动（如有）及其附注（扫描件并加</w:t>
            </w:r>
            <w:r>
              <w:rPr>
                <w:color w:val="auto"/>
                <w:spacing w:val="11"/>
                <w:highlight w:val="none"/>
              </w:rPr>
              <w:t xml:space="preserve"> </w:t>
            </w:r>
            <w:r>
              <w:rPr>
                <w:color w:val="auto"/>
                <w:highlight w:val="none"/>
              </w:rPr>
              <w:t>盖公章）。如投标人无法提供上年度审计报告，则需提供开</w:t>
            </w:r>
            <w:r>
              <w:rPr>
                <w:color w:val="auto"/>
                <w:spacing w:val="11"/>
                <w:highlight w:val="none"/>
              </w:rPr>
              <w:t xml:space="preserve"> </w:t>
            </w:r>
            <w:r>
              <w:rPr>
                <w:color w:val="auto"/>
                <w:highlight w:val="none"/>
              </w:rPr>
              <w:t>标日前三个月内银行出具的资信证明和上年度财务报表（须</w:t>
            </w:r>
            <w:r>
              <w:rPr>
                <w:color w:val="auto"/>
                <w:spacing w:val="8"/>
                <w:highlight w:val="none"/>
              </w:rPr>
              <w:t xml:space="preserve"> </w:t>
            </w:r>
            <w:r>
              <w:rPr>
                <w:color w:val="auto"/>
                <w:highlight w:val="none"/>
              </w:rPr>
              <w:t>包括资产负债表、利润表、现金流量表）。银行资信证明可</w:t>
            </w:r>
            <w:r>
              <w:rPr>
                <w:color w:val="auto"/>
                <w:spacing w:val="11"/>
                <w:highlight w:val="none"/>
              </w:rPr>
              <w:t xml:space="preserve"> </w:t>
            </w:r>
            <w:r>
              <w:rPr>
                <w:color w:val="auto"/>
                <w:spacing w:val="-1"/>
                <w:highlight w:val="none"/>
              </w:rPr>
              <w:t>提供原件扫描件加盖公章）。</w:t>
            </w:r>
          </w:p>
        </w:tc>
        <w:tc>
          <w:tcPr>
            <w:tcW w:w="834" w:type="dxa"/>
            <w:vAlign w:val="top"/>
          </w:tcPr>
          <w:p w14:paraId="49885834">
            <w:pPr>
              <w:rPr>
                <w:rFonts w:ascii="Arial"/>
                <w:color w:val="auto"/>
                <w:sz w:val="21"/>
                <w:highlight w:val="none"/>
              </w:rPr>
            </w:pPr>
          </w:p>
        </w:tc>
      </w:tr>
      <w:tr w14:paraId="50429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5" w:type="dxa"/>
            <w:vMerge w:val="continue"/>
            <w:tcBorders>
              <w:top w:val="nil"/>
              <w:bottom w:val="nil"/>
            </w:tcBorders>
            <w:vAlign w:val="top"/>
          </w:tcPr>
          <w:p w14:paraId="6101EB6E">
            <w:pPr>
              <w:rPr>
                <w:rFonts w:ascii="Arial"/>
                <w:color w:val="auto"/>
                <w:sz w:val="21"/>
                <w:highlight w:val="none"/>
              </w:rPr>
            </w:pPr>
          </w:p>
        </w:tc>
        <w:tc>
          <w:tcPr>
            <w:tcW w:w="575" w:type="dxa"/>
            <w:vAlign w:val="top"/>
          </w:tcPr>
          <w:p w14:paraId="202CA53D">
            <w:pPr>
              <w:spacing w:line="258" w:lineRule="auto"/>
              <w:rPr>
                <w:rFonts w:ascii="Arial"/>
                <w:color w:val="auto"/>
                <w:sz w:val="21"/>
                <w:highlight w:val="none"/>
              </w:rPr>
            </w:pPr>
          </w:p>
          <w:p w14:paraId="3893FDB0">
            <w:pPr>
              <w:spacing w:line="258" w:lineRule="auto"/>
              <w:rPr>
                <w:rFonts w:ascii="Arial"/>
                <w:color w:val="auto"/>
                <w:sz w:val="21"/>
                <w:highlight w:val="none"/>
              </w:rPr>
            </w:pPr>
          </w:p>
          <w:p w14:paraId="0FEB56E4">
            <w:pPr>
              <w:spacing w:line="258" w:lineRule="auto"/>
              <w:rPr>
                <w:rFonts w:ascii="Arial"/>
                <w:color w:val="auto"/>
                <w:sz w:val="21"/>
                <w:highlight w:val="none"/>
              </w:rPr>
            </w:pPr>
          </w:p>
          <w:p w14:paraId="1D481F59">
            <w:pPr>
              <w:pStyle w:val="14"/>
              <w:spacing w:before="78" w:line="183" w:lineRule="auto"/>
              <w:ind w:left="237"/>
              <w:rPr>
                <w:color w:val="auto"/>
                <w:highlight w:val="none"/>
              </w:rPr>
            </w:pPr>
            <w:r>
              <w:rPr>
                <w:color w:val="auto"/>
                <w:highlight w:val="none"/>
              </w:rPr>
              <w:t>3</w:t>
            </w:r>
          </w:p>
        </w:tc>
        <w:tc>
          <w:tcPr>
            <w:tcW w:w="6474" w:type="dxa"/>
            <w:vAlign w:val="top"/>
          </w:tcPr>
          <w:p w14:paraId="513A4320">
            <w:pPr>
              <w:pStyle w:val="14"/>
              <w:spacing w:before="118" w:line="336" w:lineRule="auto"/>
              <w:ind w:left="115" w:right="102"/>
              <w:jc w:val="both"/>
              <w:rPr>
                <w:color w:val="auto"/>
                <w:highlight w:val="none"/>
              </w:rPr>
            </w:pPr>
            <w:r>
              <w:rPr>
                <w:color w:val="auto"/>
                <w:highlight w:val="none"/>
              </w:rPr>
              <w:t>提供近半年内任意一月依法缴纳税收证明，当月新成立公司</w:t>
            </w:r>
            <w:r>
              <w:rPr>
                <w:color w:val="auto"/>
                <w:spacing w:val="10"/>
                <w:highlight w:val="none"/>
              </w:rPr>
              <w:t xml:space="preserve"> </w:t>
            </w:r>
            <w:r>
              <w:rPr>
                <w:color w:val="auto"/>
                <w:highlight w:val="none"/>
              </w:rPr>
              <w:t>不需提供；无需纳税或免税的也需提供相应证明材料；提供</w:t>
            </w:r>
            <w:r>
              <w:rPr>
                <w:color w:val="auto"/>
                <w:spacing w:val="9"/>
                <w:highlight w:val="none"/>
              </w:rPr>
              <w:t xml:space="preserve"> </w:t>
            </w:r>
            <w:r>
              <w:rPr>
                <w:color w:val="auto"/>
                <w:highlight w:val="none"/>
              </w:rPr>
              <w:t>依法缴纳社会保障资金证明（近半年内任意一月缴纳社会保</w:t>
            </w:r>
            <w:r>
              <w:rPr>
                <w:color w:val="auto"/>
                <w:spacing w:val="9"/>
                <w:highlight w:val="none"/>
              </w:rPr>
              <w:t xml:space="preserve"> </w:t>
            </w:r>
            <w:r>
              <w:rPr>
                <w:color w:val="auto"/>
                <w:spacing w:val="-1"/>
                <w:highlight w:val="none"/>
              </w:rPr>
              <w:t>障资金证明，当月新成立公司不需提供）</w:t>
            </w:r>
          </w:p>
        </w:tc>
        <w:tc>
          <w:tcPr>
            <w:tcW w:w="834" w:type="dxa"/>
            <w:vAlign w:val="top"/>
          </w:tcPr>
          <w:p w14:paraId="252D215E">
            <w:pPr>
              <w:rPr>
                <w:rFonts w:ascii="Arial"/>
                <w:color w:val="auto"/>
                <w:sz w:val="21"/>
                <w:highlight w:val="none"/>
              </w:rPr>
            </w:pPr>
          </w:p>
        </w:tc>
      </w:tr>
      <w:tr w14:paraId="3646F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5" w:type="dxa"/>
            <w:vMerge w:val="continue"/>
            <w:tcBorders>
              <w:top w:val="nil"/>
              <w:bottom w:val="nil"/>
            </w:tcBorders>
            <w:vAlign w:val="top"/>
          </w:tcPr>
          <w:p w14:paraId="5F3E2F94">
            <w:pPr>
              <w:rPr>
                <w:rFonts w:ascii="Arial"/>
                <w:color w:val="auto"/>
                <w:sz w:val="21"/>
                <w:highlight w:val="none"/>
              </w:rPr>
            </w:pPr>
          </w:p>
        </w:tc>
        <w:tc>
          <w:tcPr>
            <w:tcW w:w="575" w:type="dxa"/>
            <w:vAlign w:val="top"/>
          </w:tcPr>
          <w:p w14:paraId="729D7526">
            <w:pPr>
              <w:spacing w:line="309" w:lineRule="auto"/>
              <w:rPr>
                <w:rFonts w:ascii="Arial"/>
                <w:color w:val="auto"/>
                <w:sz w:val="21"/>
                <w:highlight w:val="none"/>
              </w:rPr>
            </w:pPr>
          </w:p>
          <w:p w14:paraId="6A0D4464">
            <w:pPr>
              <w:pStyle w:val="14"/>
              <w:spacing w:before="78" w:line="183" w:lineRule="auto"/>
              <w:ind w:left="232"/>
              <w:rPr>
                <w:color w:val="auto"/>
                <w:highlight w:val="none"/>
              </w:rPr>
            </w:pPr>
            <w:r>
              <w:rPr>
                <w:color w:val="auto"/>
                <w:highlight w:val="none"/>
              </w:rPr>
              <w:t>4</w:t>
            </w:r>
          </w:p>
        </w:tc>
        <w:tc>
          <w:tcPr>
            <w:tcW w:w="6474" w:type="dxa"/>
            <w:vAlign w:val="top"/>
          </w:tcPr>
          <w:p w14:paraId="52F671D1">
            <w:pPr>
              <w:pStyle w:val="14"/>
              <w:spacing w:before="119" w:line="312" w:lineRule="auto"/>
              <w:ind w:left="116" w:right="163"/>
              <w:rPr>
                <w:color w:val="auto"/>
                <w:highlight w:val="none"/>
              </w:rPr>
            </w:pPr>
            <w:r>
              <w:rPr>
                <w:color w:val="auto"/>
                <w:spacing w:val="-2"/>
                <w:highlight w:val="none"/>
              </w:rPr>
              <w:t>参加采购活动前三年内，在经营活动中没有重大违法记录，</w:t>
            </w:r>
            <w:r>
              <w:rPr>
                <w:color w:val="auto"/>
                <w:highlight w:val="none"/>
              </w:rPr>
              <w:t xml:space="preserve"> </w:t>
            </w:r>
            <w:r>
              <w:rPr>
                <w:color w:val="auto"/>
                <w:spacing w:val="-1"/>
                <w:highlight w:val="none"/>
              </w:rPr>
              <w:t>投标人提供《无重大违法记录声明函》；</w:t>
            </w:r>
          </w:p>
        </w:tc>
        <w:tc>
          <w:tcPr>
            <w:tcW w:w="834" w:type="dxa"/>
            <w:vAlign w:val="top"/>
          </w:tcPr>
          <w:p w14:paraId="2740A99D">
            <w:pPr>
              <w:rPr>
                <w:rFonts w:ascii="Arial"/>
                <w:color w:val="auto"/>
                <w:sz w:val="21"/>
                <w:highlight w:val="none"/>
              </w:rPr>
            </w:pPr>
          </w:p>
        </w:tc>
      </w:tr>
      <w:tr w14:paraId="46913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85" w:type="dxa"/>
            <w:vMerge w:val="continue"/>
            <w:tcBorders>
              <w:top w:val="nil"/>
              <w:bottom w:val="nil"/>
            </w:tcBorders>
            <w:vAlign w:val="top"/>
          </w:tcPr>
          <w:p w14:paraId="1AA76D49">
            <w:pPr>
              <w:rPr>
                <w:rFonts w:ascii="Arial"/>
                <w:color w:val="auto"/>
                <w:sz w:val="21"/>
                <w:highlight w:val="none"/>
              </w:rPr>
            </w:pPr>
          </w:p>
        </w:tc>
        <w:tc>
          <w:tcPr>
            <w:tcW w:w="575" w:type="dxa"/>
            <w:vAlign w:val="top"/>
          </w:tcPr>
          <w:p w14:paraId="0FD48479">
            <w:pPr>
              <w:spacing w:line="252" w:lineRule="auto"/>
              <w:rPr>
                <w:rFonts w:ascii="Arial"/>
                <w:color w:val="auto"/>
                <w:sz w:val="21"/>
                <w:highlight w:val="none"/>
              </w:rPr>
            </w:pPr>
          </w:p>
          <w:p w14:paraId="48E715F4">
            <w:pPr>
              <w:spacing w:line="252" w:lineRule="auto"/>
              <w:rPr>
                <w:rFonts w:ascii="Arial"/>
                <w:color w:val="auto"/>
                <w:sz w:val="21"/>
                <w:highlight w:val="none"/>
              </w:rPr>
            </w:pPr>
          </w:p>
          <w:p w14:paraId="532A7A36">
            <w:pPr>
              <w:spacing w:line="252" w:lineRule="auto"/>
              <w:rPr>
                <w:rFonts w:ascii="Arial"/>
                <w:color w:val="auto"/>
                <w:sz w:val="21"/>
                <w:highlight w:val="none"/>
              </w:rPr>
            </w:pPr>
          </w:p>
          <w:p w14:paraId="1CCDEE7B">
            <w:pPr>
              <w:spacing w:line="253" w:lineRule="auto"/>
              <w:rPr>
                <w:rFonts w:ascii="Arial"/>
                <w:color w:val="auto"/>
                <w:sz w:val="21"/>
                <w:highlight w:val="none"/>
              </w:rPr>
            </w:pPr>
          </w:p>
          <w:p w14:paraId="0DB29E60">
            <w:pPr>
              <w:pStyle w:val="14"/>
              <w:spacing w:before="78" w:line="182" w:lineRule="auto"/>
              <w:ind w:left="237"/>
              <w:rPr>
                <w:color w:val="auto"/>
                <w:highlight w:val="none"/>
              </w:rPr>
            </w:pPr>
            <w:r>
              <w:rPr>
                <w:color w:val="auto"/>
                <w:highlight w:val="none"/>
              </w:rPr>
              <w:t>5</w:t>
            </w:r>
          </w:p>
        </w:tc>
        <w:tc>
          <w:tcPr>
            <w:tcW w:w="6474" w:type="dxa"/>
            <w:vAlign w:val="top"/>
          </w:tcPr>
          <w:p w14:paraId="23B97273">
            <w:pPr>
              <w:pStyle w:val="14"/>
              <w:spacing w:before="117" w:line="341" w:lineRule="auto"/>
              <w:ind w:left="117" w:right="41"/>
              <w:jc w:val="both"/>
              <w:rPr>
                <w:color w:val="auto"/>
                <w:highlight w:val="none"/>
              </w:rPr>
            </w:pPr>
            <w:r>
              <w:rPr>
                <w:color w:val="auto"/>
                <w:highlight w:val="none"/>
              </w:rPr>
              <w:t>投标人须具备水利水电工程施工总承包叁级及以上资质；并</w:t>
            </w:r>
            <w:r>
              <w:rPr>
                <w:color w:val="auto"/>
                <w:spacing w:val="5"/>
                <w:highlight w:val="none"/>
              </w:rPr>
              <w:t xml:space="preserve"> </w:t>
            </w:r>
            <w:r>
              <w:rPr>
                <w:color w:val="auto"/>
                <w:highlight w:val="none"/>
              </w:rPr>
              <w:t>具备有效的安全生产许可证。项目负责人须具有有效的水利</w:t>
            </w:r>
            <w:r>
              <w:rPr>
                <w:color w:val="auto"/>
                <w:spacing w:val="5"/>
                <w:highlight w:val="none"/>
              </w:rPr>
              <w:t xml:space="preserve"> </w:t>
            </w:r>
            <w:r>
              <w:rPr>
                <w:color w:val="auto"/>
                <w:spacing w:val="-7"/>
                <w:highlight w:val="none"/>
              </w:rPr>
              <w:t>水电工程专业二级及以上注册建造师执业资格，本单位注册，</w:t>
            </w:r>
            <w:r>
              <w:rPr>
                <w:color w:val="auto"/>
                <w:spacing w:val="18"/>
                <w:highlight w:val="none"/>
              </w:rPr>
              <w:t xml:space="preserve"> </w:t>
            </w:r>
            <w:r>
              <w:rPr>
                <w:color w:val="auto"/>
                <w:highlight w:val="none"/>
              </w:rPr>
              <w:t>不接受临时建造师证书，且具备有效的安全生产考核合格证</w:t>
            </w:r>
            <w:r>
              <w:rPr>
                <w:color w:val="auto"/>
                <w:spacing w:val="5"/>
                <w:highlight w:val="none"/>
              </w:rPr>
              <w:t xml:space="preserve"> </w:t>
            </w:r>
            <w:r>
              <w:rPr>
                <w:color w:val="auto"/>
                <w:spacing w:val="-4"/>
                <w:highlight w:val="none"/>
              </w:rPr>
              <w:t>书（B</w:t>
            </w:r>
            <w:r>
              <w:rPr>
                <w:color w:val="auto"/>
                <w:spacing w:val="-50"/>
                <w:highlight w:val="none"/>
              </w:rPr>
              <w:t xml:space="preserve"> </w:t>
            </w:r>
            <w:r>
              <w:rPr>
                <w:color w:val="auto"/>
                <w:spacing w:val="-4"/>
                <w:highlight w:val="none"/>
              </w:rPr>
              <w:t>类）。</w:t>
            </w:r>
          </w:p>
        </w:tc>
        <w:tc>
          <w:tcPr>
            <w:tcW w:w="834" w:type="dxa"/>
            <w:vAlign w:val="top"/>
          </w:tcPr>
          <w:p w14:paraId="260763D0">
            <w:pPr>
              <w:rPr>
                <w:rFonts w:ascii="Arial"/>
                <w:color w:val="auto"/>
                <w:sz w:val="21"/>
                <w:highlight w:val="none"/>
              </w:rPr>
            </w:pPr>
          </w:p>
        </w:tc>
      </w:tr>
      <w:tr w14:paraId="4E322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785" w:type="dxa"/>
            <w:vMerge w:val="continue"/>
            <w:tcBorders>
              <w:top w:val="nil"/>
            </w:tcBorders>
            <w:vAlign w:val="top"/>
          </w:tcPr>
          <w:p w14:paraId="3BEC4800">
            <w:pPr>
              <w:rPr>
                <w:rFonts w:ascii="Arial"/>
                <w:color w:val="auto"/>
                <w:sz w:val="21"/>
                <w:highlight w:val="none"/>
              </w:rPr>
            </w:pPr>
          </w:p>
        </w:tc>
        <w:tc>
          <w:tcPr>
            <w:tcW w:w="575" w:type="dxa"/>
            <w:vAlign w:val="top"/>
          </w:tcPr>
          <w:p w14:paraId="3331288D">
            <w:pPr>
              <w:spacing w:line="248" w:lineRule="auto"/>
              <w:rPr>
                <w:rFonts w:ascii="Arial"/>
                <w:color w:val="auto"/>
                <w:sz w:val="21"/>
                <w:highlight w:val="none"/>
              </w:rPr>
            </w:pPr>
          </w:p>
          <w:p w14:paraId="63F9CD5A">
            <w:pPr>
              <w:spacing w:line="248" w:lineRule="auto"/>
              <w:rPr>
                <w:rFonts w:ascii="Arial"/>
                <w:color w:val="auto"/>
                <w:sz w:val="21"/>
                <w:highlight w:val="none"/>
              </w:rPr>
            </w:pPr>
          </w:p>
          <w:p w14:paraId="020830CC">
            <w:pPr>
              <w:spacing w:line="248" w:lineRule="auto"/>
              <w:rPr>
                <w:rFonts w:ascii="Arial"/>
                <w:color w:val="auto"/>
                <w:sz w:val="21"/>
                <w:highlight w:val="none"/>
              </w:rPr>
            </w:pPr>
          </w:p>
          <w:p w14:paraId="09891C9A">
            <w:pPr>
              <w:spacing w:line="249" w:lineRule="auto"/>
              <w:rPr>
                <w:rFonts w:ascii="Arial"/>
                <w:color w:val="auto"/>
                <w:sz w:val="21"/>
                <w:highlight w:val="none"/>
              </w:rPr>
            </w:pPr>
          </w:p>
          <w:p w14:paraId="6D4EF66D">
            <w:pPr>
              <w:spacing w:line="249" w:lineRule="auto"/>
              <w:rPr>
                <w:rFonts w:ascii="Arial"/>
                <w:color w:val="auto"/>
                <w:sz w:val="21"/>
                <w:highlight w:val="none"/>
              </w:rPr>
            </w:pPr>
          </w:p>
          <w:p w14:paraId="3A1F5123">
            <w:pPr>
              <w:pStyle w:val="14"/>
              <w:spacing w:before="78" w:line="183" w:lineRule="auto"/>
              <w:ind w:left="235"/>
              <w:rPr>
                <w:color w:val="auto"/>
                <w:highlight w:val="none"/>
              </w:rPr>
            </w:pPr>
            <w:r>
              <w:rPr>
                <w:color w:val="auto"/>
                <w:highlight w:val="none"/>
              </w:rPr>
              <w:t>6</w:t>
            </w:r>
          </w:p>
        </w:tc>
        <w:tc>
          <w:tcPr>
            <w:tcW w:w="6474" w:type="dxa"/>
            <w:vAlign w:val="top"/>
          </w:tcPr>
          <w:p w14:paraId="34B57A1F">
            <w:pPr>
              <w:pStyle w:val="14"/>
              <w:spacing w:before="121" w:line="344" w:lineRule="auto"/>
              <w:ind w:left="114" w:right="102" w:firstLine="4"/>
              <w:jc w:val="both"/>
              <w:rPr>
                <w:color w:val="auto"/>
                <w:highlight w:val="none"/>
              </w:rPr>
            </w:pPr>
            <w:r>
              <w:rPr>
                <w:color w:val="auto"/>
                <w:spacing w:val="-9"/>
                <w:highlight w:val="none"/>
              </w:rPr>
              <w:t>凡拟参加本次招标项目的供应商须具有良好的信誉，未在“信</w:t>
            </w:r>
            <w:r>
              <w:rPr>
                <w:color w:val="auto"/>
                <w:spacing w:val="9"/>
                <w:highlight w:val="none"/>
              </w:rPr>
              <w:t xml:space="preserve"> </w:t>
            </w:r>
            <w:r>
              <w:rPr>
                <w:color w:val="auto"/>
                <w:spacing w:val="-1"/>
                <w:highlight w:val="none"/>
              </w:rPr>
              <w:t>用中国</w:t>
            </w:r>
            <w:r>
              <w:rPr>
                <w:color w:val="auto"/>
                <w:spacing w:val="-75"/>
                <w:highlight w:val="none"/>
              </w:rPr>
              <w:t xml:space="preserve"> </w:t>
            </w:r>
            <w:r>
              <w:rPr>
                <w:color w:val="auto"/>
                <w:spacing w:val="-1"/>
                <w:highlight w:val="none"/>
              </w:rPr>
              <w:t>”网站（www.creditchina.gov.cn）被列入失信被执</w:t>
            </w:r>
            <w:r>
              <w:rPr>
                <w:color w:val="auto"/>
                <w:highlight w:val="none"/>
              </w:rPr>
              <w:t xml:space="preserve"> 行人、重大税收违法案件当事人名单、政府采购严重违法失</w:t>
            </w:r>
            <w:r>
              <w:rPr>
                <w:color w:val="auto"/>
                <w:spacing w:val="11"/>
                <w:highlight w:val="none"/>
              </w:rPr>
              <w:t xml:space="preserve"> </w:t>
            </w:r>
            <w:r>
              <w:rPr>
                <w:color w:val="auto"/>
                <w:spacing w:val="34"/>
                <w:highlight w:val="none"/>
              </w:rPr>
              <w:t>信名单的</w:t>
            </w:r>
            <w:r>
              <w:rPr>
                <w:color w:val="auto"/>
                <w:spacing w:val="-53"/>
                <w:highlight w:val="none"/>
              </w:rPr>
              <w:t xml:space="preserve"> </w:t>
            </w:r>
            <w:r>
              <w:rPr>
                <w:color w:val="auto"/>
                <w:spacing w:val="34"/>
                <w:highlight w:val="none"/>
              </w:rPr>
              <w:t>（ 尚在处罚期内的</w:t>
            </w:r>
            <w:r>
              <w:rPr>
                <w:color w:val="auto"/>
                <w:spacing w:val="-25"/>
                <w:highlight w:val="none"/>
              </w:rPr>
              <w:t xml:space="preserve"> </w:t>
            </w:r>
            <w:r>
              <w:rPr>
                <w:color w:val="auto"/>
                <w:spacing w:val="34"/>
                <w:highlight w:val="none"/>
              </w:rPr>
              <w:t>）</w:t>
            </w:r>
            <w:r>
              <w:rPr>
                <w:color w:val="auto"/>
                <w:spacing w:val="-31"/>
                <w:highlight w:val="none"/>
              </w:rPr>
              <w:t xml:space="preserve"> </w:t>
            </w:r>
            <w:r>
              <w:rPr>
                <w:color w:val="auto"/>
                <w:spacing w:val="34"/>
                <w:highlight w:val="none"/>
              </w:rPr>
              <w:t>、</w:t>
            </w:r>
            <w:r>
              <w:rPr>
                <w:color w:val="auto"/>
                <w:spacing w:val="-28"/>
                <w:highlight w:val="none"/>
              </w:rPr>
              <w:t xml:space="preserve"> </w:t>
            </w:r>
            <w:r>
              <w:rPr>
                <w:color w:val="auto"/>
                <w:spacing w:val="34"/>
                <w:highlight w:val="none"/>
              </w:rPr>
              <w:t>中国政府采购网</w:t>
            </w:r>
            <w:r>
              <w:rPr>
                <w:color w:val="auto"/>
                <w:highlight w:val="none"/>
              </w:rPr>
              <w:t xml:space="preserve"> </w:t>
            </w:r>
            <w:r>
              <w:rPr>
                <w:color w:val="auto"/>
                <w:spacing w:val="-3"/>
                <w:highlight w:val="none"/>
              </w:rPr>
              <w:t>（www.ccgp.gov.cn）被列入政府采购严重违</w:t>
            </w:r>
            <w:r>
              <w:rPr>
                <w:color w:val="auto"/>
                <w:spacing w:val="-4"/>
                <w:highlight w:val="none"/>
              </w:rPr>
              <w:t>法失信行为记录</w:t>
            </w:r>
            <w:r>
              <w:rPr>
                <w:color w:val="auto"/>
                <w:highlight w:val="none"/>
              </w:rPr>
              <w:t xml:space="preserve"> 名单（尚在处罚期内的）的信用截图（采购公告发布之日起</w:t>
            </w:r>
          </w:p>
        </w:tc>
        <w:tc>
          <w:tcPr>
            <w:tcW w:w="834" w:type="dxa"/>
            <w:vAlign w:val="top"/>
          </w:tcPr>
          <w:p w14:paraId="0FBE0925">
            <w:pPr>
              <w:rPr>
                <w:rFonts w:ascii="Arial"/>
                <w:color w:val="auto"/>
                <w:sz w:val="21"/>
                <w:highlight w:val="none"/>
              </w:rPr>
            </w:pPr>
          </w:p>
        </w:tc>
      </w:tr>
    </w:tbl>
    <w:p w14:paraId="6348EA8E">
      <w:pPr>
        <w:pStyle w:val="2"/>
        <w:rPr>
          <w:color w:val="auto"/>
          <w:highlight w:val="none"/>
        </w:rPr>
      </w:pPr>
    </w:p>
    <w:p w14:paraId="0144295D">
      <w:pPr>
        <w:rPr>
          <w:color w:val="auto"/>
          <w:highlight w:val="none"/>
        </w:rPr>
        <w:sectPr>
          <w:footerReference r:id="rId20" w:type="default"/>
          <w:pgSz w:w="11906" w:h="16839"/>
          <w:pgMar w:top="1440" w:right="1800" w:bottom="1440" w:left="1800" w:header="0" w:footer="973" w:gutter="0"/>
          <w:pgNumType w:fmt="decimal"/>
          <w:cols w:space="720" w:num="1"/>
        </w:sectPr>
      </w:pPr>
    </w:p>
    <w:p w14:paraId="7F95A5DB">
      <w:pPr>
        <w:spacing w:before="19"/>
        <w:rPr>
          <w:color w:val="auto"/>
          <w:highlight w:val="none"/>
        </w:rPr>
      </w:pPr>
    </w:p>
    <w:p w14:paraId="04D3E076">
      <w:pPr>
        <w:spacing w:before="18"/>
        <w:rPr>
          <w:color w:val="auto"/>
          <w:highlight w:val="none"/>
        </w:rPr>
      </w:pPr>
    </w:p>
    <w:tbl>
      <w:tblPr>
        <w:tblStyle w:val="13"/>
        <w:tblW w:w="8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575"/>
        <w:gridCol w:w="6474"/>
        <w:gridCol w:w="834"/>
      </w:tblGrid>
      <w:tr w14:paraId="230E1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85" w:type="dxa"/>
            <w:vMerge w:val="restart"/>
            <w:tcBorders>
              <w:bottom w:val="nil"/>
            </w:tcBorders>
            <w:vAlign w:val="top"/>
          </w:tcPr>
          <w:p w14:paraId="6B94DE80">
            <w:pPr>
              <w:rPr>
                <w:rFonts w:ascii="Arial"/>
                <w:color w:val="auto"/>
                <w:sz w:val="21"/>
                <w:highlight w:val="none"/>
              </w:rPr>
            </w:pPr>
          </w:p>
        </w:tc>
        <w:tc>
          <w:tcPr>
            <w:tcW w:w="575" w:type="dxa"/>
            <w:vAlign w:val="top"/>
          </w:tcPr>
          <w:p w14:paraId="4C3FF131">
            <w:pPr>
              <w:rPr>
                <w:rFonts w:ascii="Arial"/>
                <w:color w:val="auto"/>
                <w:sz w:val="21"/>
                <w:highlight w:val="none"/>
              </w:rPr>
            </w:pPr>
          </w:p>
        </w:tc>
        <w:tc>
          <w:tcPr>
            <w:tcW w:w="6474" w:type="dxa"/>
            <w:vAlign w:val="top"/>
          </w:tcPr>
          <w:p w14:paraId="1816726C">
            <w:pPr>
              <w:pStyle w:val="14"/>
              <w:spacing w:before="118" w:line="219" w:lineRule="auto"/>
              <w:ind w:left="116"/>
              <w:rPr>
                <w:color w:val="auto"/>
                <w:highlight w:val="none"/>
              </w:rPr>
            </w:pPr>
            <w:r>
              <w:rPr>
                <w:color w:val="auto"/>
                <w:spacing w:val="-1"/>
                <w:highlight w:val="none"/>
              </w:rPr>
              <w:t>至投标截止时间内从上述网站中打印并加盖企业公章</w:t>
            </w:r>
            <w:r>
              <w:rPr>
                <w:color w:val="auto"/>
                <w:spacing w:val="5"/>
                <w:highlight w:val="none"/>
              </w:rPr>
              <w:t>）；</w:t>
            </w:r>
          </w:p>
        </w:tc>
        <w:tc>
          <w:tcPr>
            <w:tcW w:w="834" w:type="dxa"/>
            <w:vAlign w:val="top"/>
          </w:tcPr>
          <w:p w14:paraId="5C905016">
            <w:pPr>
              <w:rPr>
                <w:rFonts w:ascii="Arial"/>
                <w:color w:val="auto"/>
                <w:sz w:val="21"/>
                <w:highlight w:val="none"/>
              </w:rPr>
            </w:pPr>
          </w:p>
        </w:tc>
      </w:tr>
      <w:tr w14:paraId="4628A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5" w:type="dxa"/>
            <w:vMerge w:val="continue"/>
            <w:tcBorders>
              <w:top w:val="nil"/>
              <w:bottom w:val="nil"/>
            </w:tcBorders>
            <w:vAlign w:val="top"/>
          </w:tcPr>
          <w:p w14:paraId="21B99A4C">
            <w:pPr>
              <w:rPr>
                <w:rFonts w:ascii="Arial"/>
                <w:color w:val="auto"/>
                <w:sz w:val="21"/>
                <w:highlight w:val="none"/>
              </w:rPr>
            </w:pPr>
          </w:p>
        </w:tc>
        <w:tc>
          <w:tcPr>
            <w:tcW w:w="575" w:type="dxa"/>
            <w:vAlign w:val="top"/>
          </w:tcPr>
          <w:p w14:paraId="68971A0F">
            <w:pPr>
              <w:spacing w:line="309" w:lineRule="auto"/>
              <w:rPr>
                <w:rFonts w:ascii="Arial"/>
                <w:color w:val="auto"/>
                <w:sz w:val="21"/>
                <w:highlight w:val="none"/>
              </w:rPr>
            </w:pPr>
          </w:p>
          <w:p w14:paraId="3A1C53EB">
            <w:pPr>
              <w:pStyle w:val="14"/>
              <w:spacing w:before="78" w:line="182" w:lineRule="auto"/>
              <w:ind w:left="238"/>
              <w:rPr>
                <w:color w:val="auto"/>
                <w:highlight w:val="none"/>
              </w:rPr>
            </w:pPr>
            <w:r>
              <w:rPr>
                <w:color w:val="auto"/>
                <w:highlight w:val="none"/>
              </w:rPr>
              <w:t>7</w:t>
            </w:r>
          </w:p>
        </w:tc>
        <w:tc>
          <w:tcPr>
            <w:tcW w:w="6474" w:type="dxa"/>
            <w:vAlign w:val="top"/>
          </w:tcPr>
          <w:p w14:paraId="4E0EC61F">
            <w:pPr>
              <w:pStyle w:val="14"/>
              <w:spacing w:before="113" w:line="314" w:lineRule="auto"/>
              <w:ind w:left="114" w:right="102" w:hanging="2"/>
              <w:rPr>
                <w:color w:val="auto"/>
                <w:highlight w:val="none"/>
              </w:rPr>
            </w:pPr>
            <w:r>
              <w:rPr>
                <w:color w:val="auto"/>
                <w:highlight w:val="none"/>
              </w:rPr>
              <w:t>请根据要求单独上传《中小企业声明函》。格式以采购文件</w:t>
            </w:r>
            <w:r>
              <w:rPr>
                <w:color w:val="auto"/>
                <w:spacing w:val="13"/>
                <w:highlight w:val="none"/>
              </w:rPr>
              <w:t xml:space="preserve"> </w:t>
            </w:r>
            <w:r>
              <w:rPr>
                <w:color w:val="auto"/>
                <w:spacing w:val="-3"/>
                <w:highlight w:val="none"/>
              </w:rPr>
              <w:t>要求为准。</w:t>
            </w:r>
          </w:p>
        </w:tc>
        <w:tc>
          <w:tcPr>
            <w:tcW w:w="834" w:type="dxa"/>
            <w:vAlign w:val="top"/>
          </w:tcPr>
          <w:p w14:paraId="284F413B">
            <w:pPr>
              <w:rPr>
                <w:rFonts w:ascii="Arial"/>
                <w:color w:val="auto"/>
                <w:sz w:val="21"/>
                <w:highlight w:val="none"/>
              </w:rPr>
            </w:pPr>
          </w:p>
        </w:tc>
      </w:tr>
      <w:tr w14:paraId="7EFEC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5" w:type="dxa"/>
            <w:vMerge w:val="continue"/>
            <w:tcBorders>
              <w:top w:val="nil"/>
              <w:bottom w:val="nil"/>
            </w:tcBorders>
            <w:vAlign w:val="top"/>
          </w:tcPr>
          <w:p w14:paraId="226875DB">
            <w:pPr>
              <w:rPr>
                <w:rFonts w:ascii="Arial"/>
                <w:color w:val="auto"/>
                <w:sz w:val="21"/>
                <w:highlight w:val="none"/>
              </w:rPr>
            </w:pPr>
          </w:p>
        </w:tc>
        <w:tc>
          <w:tcPr>
            <w:tcW w:w="575" w:type="dxa"/>
            <w:vAlign w:val="top"/>
          </w:tcPr>
          <w:p w14:paraId="534FFD90">
            <w:pPr>
              <w:spacing w:line="308" w:lineRule="auto"/>
              <w:rPr>
                <w:rFonts w:ascii="Arial"/>
                <w:color w:val="auto"/>
                <w:sz w:val="21"/>
                <w:highlight w:val="none"/>
              </w:rPr>
            </w:pPr>
          </w:p>
          <w:p w14:paraId="1A1BE3AC">
            <w:pPr>
              <w:pStyle w:val="14"/>
              <w:spacing w:before="78" w:line="183" w:lineRule="auto"/>
              <w:ind w:left="234"/>
              <w:rPr>
                <w:color w:val="auto"/>
                <w:highlight w:val="none"/>
              </w:rPr>
            </w:pPr>
            <w:r>
              <w:rPr>
                <w:color w:val="auto"/>
                <w:highlight w:val="none"/>
              </w:rPr>
              <w:t>8</w:t>
            </w:r>
          </w:p>
        </w:tc>
        <w:tc>
          <w:tcPr>
            <w:tcW w:w="6474" w:type="dxa"/>
            <w:vAlign w:val="top"/>
          </w:tcPr>
          <w:p w14:paraId="58FD51B5">
            <w:pPr>
              <w:pStyle w:val="14"/>
              <w:spacing w:before="117" w:line="313" w:lineRule="auto"/>
              <w:ind w:left="115" w:right="102" w:firstLine="2"/>
              <w:rPr>
                <w:color w:val="auto"/>
                <w:highlight w:val="none"/>
              </w:rPr>
            </w:pPr>
            <w:r>
              <w:rPr>
                <w:color w:val="auto"/>
                <w:highlight w:val="none"/>
              </w:rPr>
              <w:t>是否按照投标须知要求金额递交了投标保证金，并提供了投</w:t>
            </w:r>
            <w:r>
              <w:rPr>
                <w:color w:val="auto"/>
                <w:spacing w:val="7"/>
                <w:highlight w:val="none"/>
              </w:rPr>
              <w:t xml:space="preserve"> </w:t>
            </w:r>
            <w:r>
              <w:rPr>
                <w:color w:val="auto"/>
                <w:spacing w:val="-2"/>
                <w:highlight w:val="none"/>
              </w:rPr>
              <w:t>标保证金缴纳凭证</w:t>
            </w:r>
          </w:p>
        </w:tc>
        <w:tc>
          <w:tcPr>
            <w:tcW w:w="834" w:type="dxa"/>
            <w:vAlign w:val="top"/>
          </w:tcPr>
          <w:p w14:paraId="4EE07A5C">
            <w:pPr>
              <w:rPr>
                <w:rFonts w:ascii="Arial"/>
                <w:color w:val="auto"/>
                <w:sz w:val="21"/>
                <w:highlight w:val="none"/>
              </w:rPr>
            </w:pPr>
          </w:p>
        </w:tc>
      </w:tr>
      <w:tr w14:paraId="1490E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5" w:type="dxa"/>
            <w:vMerge w:val="continue"/>
            <w:tcBorders>
              <w:top w:val="nil"/>
            </w:tcBorders>
            <w:vAlign w:val="top"/>
          </w:tcPr>
          <w:p w14:paraId="4F6AA37A">
            <w:pPr>
              <w:rPr>
                <w:rFonts w:ascii="Arial"/>
                <w:color w:val="auto"/>
                <w:sz w:val="21"/>
                <w:highlight w:val="none"/>
              </w:rPr>
            </w:pPr>
          </w:p>
        </w:tc>
        <w:tc>
          <w:tcPr>
            <w:tcW w:w="575" w:type="dxa"/>
            <w:vAlign w:val="top"/>
          </w:tcPr>
          <w:p w14:paraId="618AAE69">
            <w:pPr>
              <w:spacing w:line="308" w:lineRule="auto"/>
              <w:rPr>
                <w:rFonts w:ascii="Arial"/>
                <w:color w:val="auto"/>
                <w:sz w:val="21"/>
                <w:highlight w:val="none"/>
              </w:rPr>
            </w:pPr>
          </w:p>
          <w:p w14:paraId="79F9B461">
            <w:pPr>
              <w:pStyle w:val="14"/>
              <w:spacing w:before="78" w:line="183" w:lineRule="auto"/>
              <w:ind w:left="234"/>
              <w:rPr>
                <w:color w:val="auto"/>
                <w:highlight w:val="none"/>
              </w:rPr>
            </w:pPr>
            <w:r>
              <w:rPr>
                <w:color w:val="auto"/>
                <w:highlight w:val="none"/>
              </w:rPr>
              <w:t>9</w:t>
            </w:r>
          </w:p>
        </w:tc>
        <w:tc>
          <w:tcPr>
            <w:tcW w:w="6474" w:type="dxa"/>
            <w:vAlign w:val="top"/>
          </w:tcPr>
          <w:p w14:paraId="7FBF5AEE">
            <w:pPr>
              <w:pStyle w:val="14"/>
              <w:spacing w:before="116" w:line="313" w:lineRule="auto"/>
              <w:ind w:left="114" w:right="102"/>
              <w:rPr>
                <w:color w:val="auto"/>
                <w:highlight w:val="none"/>
              </w:rPr>
            </w:pPr>
            <w:r>
              <w:rPr>
                <w:color w:val="auto"/>
                <w:highlight w:val="none"/>
              </w:rPr>
              <w:t>根据项目需求提供履行合同所必需的设备和专业技术能力的</w:t>
            </w:r>
            <w:r>
              <w:rPr>
                <w:color w:val="auto"/>
                <w:spacing w:val="11"/>
                <w:highlight w:val="none"/>
              </w:rPr>
              <w:t xml:space="preserve"> </w:t>
            </w:r>
            <w:r>
              <w:rPr>
                <w:color w:val="auto"/>
                <w:spacing w:val="-1"/>
                <w:highlight w:val="none"/>
              </w:rPr>
              <w:t>证明材料或加盖单位公章的书面承诺函</w:t>
            </w:r>
          </w:p>
        </w:tc>
        <w:tc>
          <w:tcPr>
            <w:tcW w:w="834" w:type="dxa"/>
            <w:vAlign w:val="top"/>
          </w:tcPr>
          <w:p w14:paraId="3E32FA40">
            <w:pPr>
              <w:rPr>
                <w:rFonts w:ascii="Arial"/>
                <w:color w:val="auto"/>
                <w:sz w:val="21"/>
                <w:highlight w:val="none"/>
              </w:rPr>
            </w:pPr>
          </w:p>
        </w:tc>
      </w:tr>
      <w:tr w14:paraId="28E1D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85" w:type="dxa"/>
            <w:vMerge w:val="restart"/>
            <w:tcBorders>
              <w:bottom w:val="nil"/>
            </w:tcBorders>
            <w:vAlign w:val="top"/>
          </w:tcPr>
          <w:p w14:paraId="1E181F88">
            <w:pPr>
              <w:rPr>
                <w:rFonts w:ascii="Arial"/>
                <w:color w:val="auto"/>
                <w:sz w:val="21"/>
                <w:highlight w:val="none"/>
              </w:rPr>
            </w:pPr>
          </w:p>
          <w:p w14:paraId="3B9DF7E2">
            <w:pPr>
              <w:rPr>
                <w:rFonts w:ascii="Arial"/>
                <w:color w:val="auto"/>
                <w:sz w:val="21"/>
                <w:highlight w:val="none"/>
              </w:rPr>
            </w:pPr>
          </w:p>
          <w:p w14:paraId="1C343D9F">
            <w:pPr>
              <w:rPr>
                <w:rFonts w:ascii="Arial"/>
                <w:color w:val="auto"/>
                <w:sz w:val="21"/>
                <w:highlight w:val="none"/>
              </w:rPr>
            </w:pPr>
          </w:p>
          <w:p w14:paraId="70E54352">
            <w:pPr>
              <w:rPr>
                <w:rFonts w:ascii="Arial"/>
                <w:color w:val="auto"/>
                <w:sz w:val="21"/>
                <w:highlight w:val="none"/>
              </w:rPr>
            </w:pPr>
          </w:p>
          <w:p w14:paraId="3DAB3D1C">
            <w:pPr>
              <w:rPr>
                <w:rFonts w:ascii="Arial"/>
                <w:color w:val="auto"/>
                <w:sz w:val="21"/>
                <w:highlight w:val="none"/>
              </w:rPr>
            </w:pPr>
          </w:p>
          <w:p w14:paraId="6B4E75AE">
            <w:pPr>
              <w:rPr>
                <w:rFonts w:ascii="Arial"/>
                <w:color w:val="auto"/>
                <w:sz w:val="21"/>
                <w:highlight w:val="none"/>
              </w:rPr>
            </w:pPr>
          </w:p>
          <w:p w14:paraId="4FE7EE8D">
            <w:pPr>
              <w:rPr>
                <w:rFonts w:ascii="Arial"/>
                <w:color w:val="auto"/>
                <w:sz w:val="21"/>
                <w:highlight w:val="none"/>
              </w:rPr>
            </w:pPr>
          </w:p>
          <w:p w14:paraId="12E02D78">
            <w:pPr>
              <w:rPr>
                <w:rFonts w:ascii="Arial"/>
                <w:color w:val="auto"/>
                <w:sz w:val="21"/>
                <w:highlight w:val="none"/>
              </w:rPr>
            </w:pPr>
          </w:p>
          <w:p w14:paraId="400B8E03">
            <w:pPr>
              <w:rPr>
                <w:rFonts w:ascii="Arial"/>
                <w:color w:val="auto"/>
                <w:sz w:val="21"/>
                <w:highlight w:val="none"/>
              </w:rPr>
            </w:pPr>
          </w:p>
          <w:p w14:paraId="78AF55EF">
            <w:pPr>
              <w:spacing w:line="241" w:lineRule="auto"/>
              <w:rPr>
                <w:rFonts w:ascii="Arial"/>
                <w:color w:val="auto"/>
                <w:sz w:val="21"/>
                <w:highlight w:val="none"/>
              </w:rPr>
            </w:pPr>
          </w:p>
          <w:p w14:paraId="2C90D34F">
            <w:pPr>
              <w:spacing w:line="241" w:lineRule="auto"/>
              <w:rPr>
                <w:rFonts w:ascii="Arial"/>
                <w:color w:val="auto"/>
                <w:sz w:val="21"/>
                <w:highlight w:val="none"/>
              </w:rPr>
            </w:pPr>
          </w:p>
          <w:p w14:paraId="6493BA42">
            <w:pPr>
              <w:spacing w:line="241" w:lineRule="auto"/>
              <w:rPr>
                <w:rFonts w:ascii="Arial"/>
                <w:color w:val="auto"/>
                <w:sz w:val="21"/>
                <w:highlight w:val="none"/>
              </w:rPr>
            </w:pPr>
          </w:p>
          <w:p w14:paraId="57748420">
            <w:pPr>
              <w:spacing w:line="241" w:lineRule="auto"/>
              <w:rPr>
                <w:rFonts w:ascii="Arial"/>
                <w:color w:val="auto"/>
                <w:sz w:val="21"/>
                <w:highlight w:val="none"/>
              </w:rPr>
            </w:pPr>
          </w:p>
          <w:p w14:paraId="601D8437">
            <w:pPr>
              <w:spacing w:line="241" w:lineRule="auto"/>
              <w:rPr>
                <w:rFonts w:ascii="Arial"/>
                <w:color w:val="auto"/>
                <w:sz w:val="21"/>
                <w:highlight w:val="none"/>
              </w:rPr>
            </w:pPr>
          </w:p>
          <w:p w14:paraId="58C5C2A6">
            <w:pPr>
              <w:spacing w:line="241" w:lineRule="auto"/>
              <w:rPr>
                <w:rFonts w:ascii="Arial"/>
                <w:color w:val="auto"/>
                <w:sz w:val="21"/>
                <w:highlight w:val="none"/>
              </w:rPr>
            </w:pPr>
          </w:p>
          <w:p w14:paraId="446C6E42">
            <w:pPr>
              <w:spacing w:line="241" w:lineRule="auto"/>
              <w:rPr>
                <w:rFonts w:ascii="Arial"/>
                <w:color w:val="auto"/>
                <w:sz w:val="21"/>
                <w:highlight w:val="none"/>
              </w:rPr>
            </w:pPr>
          </w:p>
          <w:p w14:paraId="68066859">
            <w:pPr>
              <w:spacing w:line="241" w:lineRule="auto"/>
              <w:rPr>
                <w:rFonts w:ascii="Arial"/>
                <w:color w:val="auto"/>
                <w:sz w:val="21"/>
                <w:highlight w:val="none"/>
              </w:rPr>
            </w:pPr>
          </w:p>
          <w:p w14:paraId="2479855D">
            <w:pPr>
              <w:spacing w:line="241" w:lineRule="auto"/>
              <w:rPr>
                <w:rFonts w:ascii="Arial"/>
                <w:color w:val="auto"/>
                <w:sz w:val="21"/>
                <w:highlight w:val="none"/>
              </w:rPr>
            </w:pPr>
          </w:p>
          <w:p w14:paraId="04DC5C2F">
            <w:pPr>
              <w:pStyle w:val="14"/>
              <w:spacing w:before="72" w:line="220" w:lineRule="auto"/>
              <w:ind w:left="179"/>
              <w:rPr>
                <w:color w:val="auto"/>
                <w:sz w:val="22"/>
                <w:szCs w:val="22"/>
                <w:highlight w:val="none"/>
              </w:rPr>
            </w:pPr>
            <w:r>
              <w:rPr>
                <w:b/>
                <w:bCs/>
                <w:color w:val="auto"/>
                <w:spacing w:val="-7"/>
                <w:sz w:val="22"/>
                <w:szCs w:val="22"/>
                <w:highlight w:val="none"/>
              </w:rPr>
              <w:t>符合</w:t>
            </w:r>
          </w:p>
          <w:p w14:paraId="5C7FCC86">
            <w:pPr>
              <w:pStyle w:val="14"/>
              <w:spacing w:before="176" w:line="221" w:lineRule="auto"/>
              <w:ind w:left="180"/>
              <w:rPr>
                <w:color w:val="auto"/>
                <w:sz w:val="22"/>
                <w:szCs w:val="22"/>
                <w:highlight w:val="none"/>
              </w:rPr>
            </w:pPr>
            <w:r>
              <w:rPr>
                <w:b/>
                <w:bCs/>
                <w:color w:val="auto"/>
                <w:spacing w:val="-8"/>
                <w:sz w:val="22"/>
                <w:szCs w:val="22"/>
                <w:highlight w:val="none"/>
              </w:rPr>
              <w:t>性审</w:t>
            </w:r>
          </w:p>
          <w:p w14:paraId="6447810E">
            <w:pPr>
              <w:pStyle w:val="14"/>
              <w:spacing w:before="176" w:line="227" w:lineRule="auto"/>
              <w:ind w:left="290"/>
              <w:rPr>
                <w:color w:val="auto"/>
                <w:sz w:val="22"/>
                <w:szCs w:val="22"/>
                <w:highlight w:val="none"/>
              </w:rPr>
            </w:pPr>
            <w:r>
              <w:rPr>
                <w:b/>
                <w:bCs/>
                <w:color w:val="auto"/>
                <w:spacing w:val="-3"/>
                <w:sz w:val="22"/>
                <w:szCs w:val="22"/>
                <w:highlight w:val="none"/>
              </w:rPr>
              <w:t>查</w:t>
            </w:r>
          </w:p>
        </w:tc>
        <w:tc>
          <w:tcPr>
            <w:tcW w:w="575" w:type="dxa"/>
            <w:vAlign w:val="top"/>
          </w:tcPr>
          <w:p w14:paraId="114B87CA">
            <w:pPr>
              <w:spacing w:line="247" w:lineRule="auto"/>
              <w:rPr>
                <w:rFonts w:ascii="Arial"/>
                <w:color w:val="auto"/>
                <w:sz w:val="21"/>
                <w:highlight w:val="none"/>
              </w:rPr>
            </w:pPr>
          </w:p>
          <w:p w14:paraId="0E303378">
            <w:pPr>
              <w:pStyle w:val="14"/>
              <w:spacing w:before="78" w:line="184" w:lineRule="auto"/>
              <w:ind w:left="250"/>
              <w:rPr>
                <w:color w:val="auto"/>
                <w:highlight w:val="none"/>
              </w:rPr>
            </w:pPr>
            <w:r>
              <w:rPr>
                <w:color w:val="auto"/>
                <w:highlight w:val="none"/>
              </w:rPr>
              <w:t>1</w:t>
            </w:r>
          </w:p>
        </w:tc>
        <w:tc>
          <w:tcPr>
            <w:tcW w:w="6474" w:type="dxa"/>
            <w:vAlign w:val="top"/>
          </w:tcPr>
          <w:p w14:paraId="48A00A39">
            <w:pPr>
              <w:pStyle w:val="14"/>
              <w:spacing w:before="291" w:line="219" w:lineRule="auto"/>
              <w:ind w:left="116"/>
              <w:rPr>
                <w:color w:val="auto"/>
                <w:highlight w:val="none"/>
              </w:rPr>
            </w:pPr>
            <w:r>
              <w:rPr>
                <w:color w:val="auto"/>
                <w:spacing w:val="-1"/>
                <w:highlight w:val="none"/>
              </w:rPr>
              <w:t>按照磋商文件规定的内容、格式填写，字迹清晰可辨。</w:t>
            </w:r>
          </w:p>
        </w:tc>
        <w:tc>
          <w:tcPr>
            <w:tcW w:w="834" w:type="dxa"/>
            <w:vAlign w:val="top"/>
          </w:tcPr>
          <w:p w14:paraId="55B10209">
            <w:pPr>
              <w:rPr>
                <w:rFonts w:ascii="Arial"/>
                <w:color w:val="auto"/>
                <w:sz w:val="21"/>
                <w:highlight w:val="none"/>
              </w:rPr>
            </w:pPr>
          </w:p>
        </w:tc>
      </w:tr>
      <w:tr w14:paraId="14A64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5" w:type="dxa"/>
            <w:vMerge w:val="continue"/>
            <w:tcBorders>
              <w:top w:val="nil"/>
              <w:bottom w:val="nil"/>
            </w:tcBorders>
            <w:vAlign w:val="top"/>
          </w:tcPr>
          <w:p w14:paraId="4D2E0D68">
            <w:pPr>
              <w:rPr>
                <w:rFonts w:ascii="Arial"/>
                <w:color w:val="auto"/>
                <w:sz w:val="21"/>
                <w:highlight w:val="none"/>
              </w:rPr>
            </w:pPr>
          </w:p>
        </w:tc>
        <w:tc>
          <w:tcPr>
            <w:tcW w:w="575" w:type="dxa"/>
            <w:vAlign w:val="top"/>
          </w:tcPr>
          <w:p w14:paraId="4C3B54DE">
            <w:pPr>
              <w:spacing w:line="309" w:lineRule="auto"/>
              <w:rPr>
                <w:rFonts w:ascii="Arial"/>
                <w:color w:val="auto"/>
                <w:sz w:val="21"/>
                <w:highlight w:val="none"/>
              </w:rPr>
            </w:pPr>
          </w:p>
          <w:p w14:paraId="260CED03">
            <w:pPr>
              <w:pStyle w:val="14"/>
              <w:spacing w:before="78" w:line="183" w:lineRule="auto"/>
              <w:ind w:left="236"/>
              <w:rPr>
                <w:color w:val="auto"/>
                <w:highlight w:val="none"/>
              </w:rPr>
            </w:pPr>
            <w:r>
              <w:rPr>
                <w:color w:val="auto"/>
                <w:highlight w:val="none"/>
              </w:rPr>
              <w:t>2</w:t>
            </w:r>
          </w:p>
        </w:tc>
        <w:tc>
          <w:tcPr>
            <w:tcW w:w="6474" w:type="dxa"/>
            <w:vAlign w:val="top"/>
          </w:tcPr>
          <w:p w14:paraId="2DEF4B95">
            <w:pPr>
              <w:pStyle w:val="14"/>
              <w:spacing w:before="117" w:line="313" w:lineRule="auto"/>
              <w:ind w:left="115" w:right="164" w:firstLine="11"/>
              <w:rPr>
                <w:color w:val="auto"/>
                <w:highlight w:val="none"/>
              </w:rPr>
            </w:pPr>
            <w:r>
              <w:rPr>
                <w:color w:val="auto"/>
                <w:spacing w:val="-3"/>
                <w:highlight w:val="none"/>
              </w:rPr>
              <w:t>响应文件的格式按照磋商文件规定的内容要求编制、签署、</w:t>
            </w:r>
            <w:r>
              <w:rPr>
                <w:color w:val="auto"/>
                <w:spacing w:val="15"/>
                <w:highlight w:val="none"/>
              </w:rPr>
              <w:t xml:space="preserve"> </w:t>
            </w:r>
            <w:r>
              <w:rPr>
                <w:color w:val="auto"/>
                <w:spacing w:val="-4"/>
                <w:highlight w:val="none"/>
              </w:rPr>
              <w:t>盖章。</w:t>
            </w:r>
          </w:p>
        </w:tc>
        <w:tc>
          <w:tcPr>
            <w:tcW w:w="834" w:type="dxa"/>
            <w:vAlign w:val="top"/>
          </w:tcPr>
          <w:p w14:paraId="5D7731DA">
            <w:pPr>
              <w:rPr>
                <w:rFonts w:ascii="Arial"/>
                <w:color w:val="auto"/>
                <w:sz w:val="21"/>
                <w:highlight w:val="none"/>
              </w:rPr>
            </w:pPr>
          </w:p>
        </w:tc>
      </w:tr>
      <w:tr w14:paraId="069FB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5" w:type="dxa"/>
            <w:vMerge w:val="continue"/>
            <w:tcBorders>
              <w:top w:val="nil"/>
              <w:bottom w:val="nil"/>
            </w:tcBorders>
            <w:vAlign w:val="top"/>
          </w:tcPr>
          <w:p w14:paraId="2A48AB2B">
            <w:pPr>
              <w:rPr>
                <w:rFonts w:ascii="Arial"/>
                <w:color w:val="auto"/>
                <w:sz w:val="21"/>
                <w:highlight w:val="none"/>
              </w:rPr>
            </w:pPr>
          </w:p>
        </w:tc>
        <w:tc>
          <w:tcPr>
            <w:tcW w:w="575" w:type="dxa"/>
            <w:vAlign w:val="top"/>
          </w:tcPr>
          <w:p w14:paraId="236FD7EC">
            <w:pPr>
              <w:spacing w:line="309" w:lineRule="auto"/>
              <w:rPr>
                <w:rFonts w:ascii="Arial"/>
                <w:color w:val="auto"/>
                <w:sz w:val="21"/>
                <w:highlight w:val="none"/>
              </w:rPr>
            </w:pPr>
          </w:p>
          <w:p w14:paraId="2A30DE49">
            <w:pPr>
              <w:pStyle w:val="14"/>
              <w:spacing w:before="78" w:line="183" w:lineRule="auto"/>
              <w:ind w:left="237"/>
              <w:rPr>
                <w:color w:val="auto"/>
                <w:highlight w:val="none"/>
              </w:rPr>
            </w:pPr>
            <w:r>
              <w:rPr>
                <w:color w:val="auto"/>
                <w:highlight w:val="none"/>
              </w:rPr>
              <w:t>3</w:t>
            </w:r>
          </w:p>
        </w:tc>
        <w:tc>
          <w:tcPr>
            <w:tcW w:w="6474" w:type="dxa"/>
            <w:vAlign w:val="top"/>
          </w:tcPr>
          <w:p w14:paraId="0A3B7C4A">
            <w:pPr>
              <w:pStyle w:val="14"/>
              <w:spacing w:before="118" w:line="312" w:lineRule="auto"/>
              <w:ind w:left="118" w:right="364" w:firstLine="7"/>
              <w:rPr>
                <w:color w:val="auto"/>
                <w:highlight w:val="none"/>
              </w:rPr>
            </w:pPr>
            <w:r>
              <w:rPr>
                <w:color w:val="auto"/>
                <w:spacing w:val="-1"/>
                <w:highlight w:val="none"/>
              </w:rPr>
              <w:t>响应文件提供法定代表人身份证明和法定代表人授权委托</w:t>
            </w:r>
            <w:r>
              <w:rPr>
                <w:color w:val="auto"/>
                <w:spacing w:val="2"/>
                <w:highlight w:val="none"/>
              </w:rPr>
              <w:t xml:space="preserve"> </w:t>
            </w:r>
            <w:r>
              <w:rPr>
                <w:color w:val="auto"/>
                <w:spacing w:val="-8"/>
                <w:highlight w:val="none"/>
              </w:rPr>
              <w:t>书。</w:t>
            </w:r>
          </w:p>
        </w:tc>
        <w:tc>
          <w:tcPr>
            <w:tcW w:w="834" w:type="dxa"/>
            <w:vAlign w:val="top"/>
          </w:tcPr>
          <w:p w14:paraId="6C9E2103">
            <w:pPr>
              <w:rPr>
                <w:rFonts w:ascii="Arial"/>
                <w:color w:val="auto"/>
                <w:sz w:val="21"/>
                <w:highlight w:val="none"/>
              </w:rPr>
            </w:pPr>
          </w:p>
        </w:tc>
      </w:tr>
      <w:tr w14:paraId="4CA83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5" w:type="dxa"/>
            <w:vMerge w:val="continue"/>
            <w:tcBorders>
              <w:top w:val="nil"/>
              <w:bottom w:val="nil"/>
            </w:tcBorders>
            <w:vAlign w:val="top"/>
          </w:tcPr>
          <w:p w14:paraId="42B44A4C">
            <w:pPr>
              <w:rPr>
                <w:rFonts w:ascii="Arial"/>
                <w:color w:val="auto"/>
                <w:sz w:val="21"/>
                <w:highlight w:val="none"/>
              </w:rPr>
            </w:pPr>
          </w:p>
        </w:tc>
        <w:tc>
          <w:tcPr>
            <w:tcW w:w="575" w:type="dxa"/>
            <w:vAlign w:val="top"/>
          </w:tcPr>
          <w:p w14:paraId="4640C669">
            <w:pPr>
              <w:spacing w:line="310" w:lineRule="auto"/>
              <w:rPr>
                <w:rFonts w:ascii="Arial"/>
                <w:color w:val="auto"/>
                <w:sz w:val="21"/>
                <w:highlight w:val="none"/>
              </w:rPr>
            </w:pPr>
          </w:p>
          <w:p w14:paraId="40EB995D">
            <w:pPr>
              <w:pStyle w:val="14"/>
              <w:spacing w:before="78" w:line="183" w:lineRule="auto"/>
              <w:ind w:left="232"/>
              <w:rPr>
                <w:color w:val="auto"/>
                <w:highlight w:val="none"/>
              </w:rPr>
            </w:pPr>
            <w:r>
              <w:rPr>
                <w:color w:val="auto"/>
                <w:highlight w:val="none"/>
              </w:rPr>
              <w:t>4</w:t>
            </w:r>
          </w:p>
        </w:tc>
        <w:tc>
          <w:tcPr>
            <w:tcW w:w="6474" w:type="dxa"/>
            <w:vAlign w:val="top"/>
          </w:tcPr>
          <w:p w14:paraId="49A85636">
            <w:pPr>
              <w:pStyle w:val="14"/>
              <w:spacing w:before="118" w:line="312" w:lineRule="auto"/>
              <w:ind w:left="114" w:right="124" w:firstLine="12"/>
              <w:rPr>
                <w:color w:val="auto"/>
                <w:highlight w:val="none"/>
              </w:rPr>
            </w:pPr>
            <w:r>
              <w:rPr>
                <w:color w:val="auto"/>
                <w:spacing w:val="-1"/>
                <w:highlight w:val="none"/>
              </w:rPr>
              <w:t>响应文件上法定代表人或其授权代理人的签字、供应商的单</w:t>
            </w:r>
            <w:r>
              <w:rPr>
                <w:color w:val="auto"/>
                <w:spacing w:val="3"/>
                <w:highlight w:val="none"/>
              </w:rPr>
              <w:t xml:space="preserve"> </w:t>
            </w:r>
            <w:r>
              <w:rPr>
                <w:color w:val="auto"/>
                <w:spacing w:val="-1"/>
                <w:highlight w:val="none"/>
              </w:rPr>
              <w:t>位章齐全符合磋商文件规定</w:t>
            </w:r>
          </w:p>
        </w:tc>
        <w:tc>
          <w:tcPr>
            <w:tcW w:w="834" w:type="dxa"/>
            <w:vAlign w:val="top"/>
          </w:tcPr>
          <w:p w14:paraId="2350FA59">
            <w:pPr>
              <w:rPr>
                <w:rFonts w:ascii="Arial"/>
                <w:color w:val="auto"/>
                <w:sz w:val="21"/>
                <w:highlight w:val="none"/>
              </w:rPr>
            </w:pPr>
          </w:p>
        </w:tc>
      </w:tr>
      <w:tr w14:paraId="55CB4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85" w:type="dxa"/>
            <w:vMerge w:val="continue"/>
            <w:tcBorders>
              <w:top w:val="nil"/>
              <w:bottom w:val="nil"/>
            </w:tcBorders>
            <w:vAlign w:val="top"/>
          </w:tcPr>
          <w:p w14:paraId="36C81A68">
            <w:pPr>
              <w:rPr>
                <w:rFonts w:ascii="Arial"/>
                <w:color w:val="auto"/>
                <w:sz w:val="21"/>
                <w:highlight w:val="none"/>
              </w:rPr>
            </w:pPr>
          </w:p>
        </w:tc>
        <w:tc>
          <w:tcPr>
            <w:tcW w:w="575" w:type="dxa"/>
            <w:vAlign w:val="top"/>
          </w:tcPr>
          <w:p w14:paraId="386741FF">
            <w:pPr>
              <w:rPr>
                <w:rFonts w:ascii="Arial"/>
                <w:color w:val="auto"/>
                <w:sz w:val="21"/>
                <w:highlight w:val="none"/>
              </w:rPr>
            </w:pPr>
          </w:p>
          <w:p w14:paraId="3C550369">
            <w:pPr>
              <w:pStyle w:val="14"/>
              <w:spacing w:before="78" w:line="182" w:lineRule="auto"/>
              <w:ind w:left="237"/>
              <w:rPr>
                <w:color w:val="auto"/>
                <w:highlight w:val="none"/>
              </w:rPr>
            </w:pPr>
            <w:r>
              <w:rPr>
                <w:color w:val="auto"/>
                <w:highlight w:val="none"/>
              </w:rPr>
              <w:t>5</w:t>
            </w:r>
          </w:p>
        </w:tc>
        <w:tc>
          <w:tcPr>
            <w:tcW w:w="6474" w:type="dxa"/>
            <w:vAlign w:val="top"/>
          </w:tcPr>
          <w:p w14:paraId="547AA20D">
            <w:pPr>
              <w:pStyle w:val="14"/>
              <w:spacing w:before="281" w:line="219" w:lineRule="auto"/>
              <w:ind w:left="113"/>
              <w:rPr>
                <w:color w:val="auto"/>
                <w:highlight w:val="none"/>
              </w:rPr>
            </w:pPr>
            <w:r>
              <w:rPr>
                <w:color w:val="auto"/>
                <w:spacing w:val="-1"/>
                <w:highlight w:val="none"/>
              </w:rPr>
              <w:t>磋商有效期满足磋商文件的要求</w:t>
            </w:r>
          </w:p>
        </w:tc>
        <w:tc>
          <w:tcPr>
            <w:tcW w:w="834" w:type="dxa"/>
            <w:vAlign w:val="top"/>
          </w:tcPr>
          <w:p w14:paraId="31001870">
            <w:pPr>
              <w:rPr>
                <w:rFonts w:ascii="Arial"/>
                <w:color w:val="auto"/>
                <w:sz w:val="21"/>
                <w:highlight w:val="none"/>
              </w:rPr>
            </w:pPr>
          </w:p>
        </w:tc>
      </w:tr>
      <w:tr w14:paraId="7BE9A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5" w:type="dxa"/>
            <w:vMerge w:val="continue"/>
            <w:tcBorders>
              <w:top w:val="nil"/>
              <w:bottom w:val="nil"/>
            </w:tcBorders>
            <w:vAlign w:val="top"/>
          </w:tcPr>
          <w:p w14:paraId="4E6FDE4D">
            <w:pPr>
              <w:rPr>
                <w:rFonts w:ascii="Arial"/>
                <w:color w:val="auto"/>
                <w:sz w:val="21"/>
                <w:highlight w:val="none"/>
              </w:rPr>
            </w:pPr>
          </w:p>
        </w:tc>
        <w:tc>
          <w:tcPr>
            <w:tcW w:w="575" w:type="dxa"/>
            <w:vAlign w:val="top"/>
          </w:tcPr>
          <w:p w14:paraId="489684FF">
            <w:pPr>
              <w:spacing w:line="311" w:lineRule="auto"/>
              <w:rPr>
                <w:rFonts w:ascii="Arial"/>
                <w:color w:val="auto"/>
                <w:sz w:val="21"/>
                <w:highlight w:val="none"/>
              </w:rPr>
            </w:pPr>
          </w:p>
          <w:p w14:paraId="74C9C66C">
            <w:pPr>
              <w:pStyle w:val="14"/>
              <w:spacing w:before="78" w:line="183" w:lineRule="auto"/>
              <w:ind w:left="235"/>
              <w:rPr>
                <w:color w:val="auto"/>
                <w:highlight w:val="none"/>
              </w:rPr>
            </w:pPr>
            <w:r>
              <w:rPr>
                <w:color w:val="auto"/>
                <w:highlight w:val="none"/>
              </w:rPr>
              <w:t>6</w:t>
            </w:r>
          </w:p>
        </w:tc>
        <w:tc>
          <w:tcPr>
            <w:tcW w:w="6474" w:type="dxa"/>
            <w:vAlign w:val="top"/>
          </w:tcPr>
          <w:p w14:paraId="72DF1781">
            <w:pPr>
              <w:pStyle w:val="14"/>
              <w:spacing w:before="119" w:line="312" w:lineRule="auto"/>
              <w:ind w:left="117" w:right="124" w:hanging="3"/>
              <w:rPr>
                <w:color w:val="auto"/>
                <w:highlight w:val="none"/>
              </w:rPr>
            </w:pPr>
            <w:r>
              <w:rPr>
                <w:color w:val="auto"/>
                <w:spacing w:val="-1"/>
                <w:highlight w:val="none"/>
              </w:rPr>
              <w:t>清单结构性检查、规费税金检查及其他不可竞争性费用检查</w:t>
            </w:r>
            <w:r>
              <w:rPr>
                <w:color w:val="auto"/>
                <w:spacing w:val="15"/>
                <w:highlight w:val="none"/>
              </w:rPr>
              <w:t xml:space="preserve"> </w:t>
            </w:r>
            <w:r>
              <w:rPr>
                <w:color w:val="auto"/>
                <w:spacing w:val="-1"/>
                <w:highlight w:val="none"/>
              </w:rPr>
              <w:t>是否符合清单计价规范相关规定。</w:t>
            </w:r>
          </w:p>
        </w:tc>
        <w:tc>
          <w:tcPr>
            <w:tcW w:w="834" w:type="dxa"/>
            <w:vAlign w:val="top"/>
          </w:tcPr>
          <w:p w14:paraId="756CDF18">
            <w:pPr>
              <w:rPr>
                <w:rFonts w:ascii="Arial"/>
                <w:color w:val="auto"/>
                <w:sz w:val="21"/>
                <w:highlight w:val="none"/>
              </w:rPr>
            </w:pPr>
          </w:p>
        </w:tc>
      </w:tr>
      <w:tr w14:paraId="5428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85" w:type="dxa"/>
            <w:vMerge w:val="continue"/>
            <w:tcBorders>
              <w:top w:val="nil"/>
              <w:bottom w:val="nil"/>
            </w:tcBorders>
            <w:vAlign w:val="top"/>
          </w:tcPr>
          <w:p w14:paraId="7D5BA7B7">
            <w:pPr>
              <w:rPr>
                <w:rFonts w:ascii="Arial"/>
                <w:color w:val="auto"/>
                <w:sz w:val="21"/>
                <w:highlight w:val="none"/>
              </w:rPr>
            </w:pPr>
          </w:p>
        </w:tc>
        <w:tc>
          <w:tcPr>
            <w:tcW w:w="575" w:type="dxa"/>
            <w:vAlign w:val="top"/>
          </w:tcPr>
          <w:p w14:paraId="6F469936">
            <w:pPr>
              <w:rPr>
                <w:rFonts w:ascii="Arial"/>
                <w:color w:val="auto"/>
                <w:sz w:val="21"/>
                <w:highlight w:val="none"/>
              </w:rPr>
            </w:pPr>
          </w:p>
          <w:p w14:paraId="5A5C41C5">
            <w:pPr>
              <w:pStyle w:val="14"/>
              <w:spacing w:before="78" w:line="182" w:lineRule="auto"/>
              <w:ind w:left="238"/>
              <w:rPr>
                <w:color w:val="auto"/>
                <w:highlight w:val="none"/>
              </w:rPr>
            </w:pPr>
            <w:r>
              <w:rPr>
                <w:color w:val="auto"/>
                <w:highlight w:val="none"/>
              </w:rPr>
              <w:t>7</w:t>
            </w:r>
          </w:p>
        </w:tc>
        <w:tc>
          <w:tcPr>
            <w:tcW w:w="6474" w:type="dxa"/>
            <w:vAlign w:val="top"/>
          </w:tcPr>
          <w:p w14:paraId="228531F8">
            <w:pPr>
              <w:pStyle w:val="14"/>
              <w:spacing w:before="281" w:line="219" w:lineRule="auto"/>
              <w:ind w:left="117"/>
              <w:rPr>
                <w:color w:val="auto"/>
                <w:highlight w:val="none"/>
              </w:rPr>
            </w:pPr>
            <w:r>
              <w:rPr>
                <w:color w:val="auto"/>
                <w:spacing w:val="-2"/>
                <w:highlight w:val="none"/>
              </w:rPr>
              <w:t>工期满足磋商文件要求。</w:t>
            </w:r>
          </w:p>
        </w:tc>
        <w:tc>
          <w:tcPr>
            <w:tcW w:w="834" w:type="dxa"/>
            <w:vAlign w:val="top"/>
          </w:tcPr>
          <w:p w14:paraId="130818FB">
            <w:pPr>
              <w:rPr>
                <w:rFonts w:ascii="Arial"/>
                <w:color w:val="auto"/>
                <w:sz w:val="21"/>
                <w:highlight w:val="none"/>
              </w:rPr>
            </w:pPr>
          </w:p>
        </w:tc>
      </w:tr>
      <w:tr w14:paraId="07074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5" w:type="dxa"/>
            <w:vMerge w:val="continue"/>
            <w:tcBorders>
              <w:top w:val="nil"/>
              <w:bottom w:val="nil"/>
            </w:tcBorders>
            <w:vAlign w:val="top"/>
          </w:tcPr>
          <w:p w14:paraId="54C29FFB">
            <w:pPr>
              <w:rPr>
                <w:rFonts w:ascii="Arial"/>
                <w:color w:val="auto"/>
                <w:sz w:val="21"/>
                <w:highlight w:val="none"/>
              </w:rPr>
            </w:pPr>
          </w:p>
        </w:tc>
        <w:tc>
          <w:tcPr>
            <w:tcW w:w="575" w:type="dxa"/>
            <w:vAlign w:val="top"/>
          </w:tcPr>
          <w:p w14:paraId="4576B1C4">
            <w:pPr>
              <w:spacing w:line="311" w:lineRule="auto"/>
              <w:rPr>
                <w:rFonts w:ascii="Arial"/>
                <w:color w:val="auto"/>
                <w:sz w:val="21"/>
                <w:highlight w:val="none"/>
              </w:rPr>
            </w:pPr>
          </w:p>
          <w:p w14:paraId="76F11A71">
            <w:pPr>
              <w:pStyle w:val="14"/>
              <w:spacing w:before="78" w:line="183" w:lineRule="auto"/>
              <w:ind w:left="234"/>
              <w:rPr>
                <w:color w:val="auto"/>
                <w:highlight w:val="none"/>
              </w:rPr>
            </w:pPr>
            <w:r>
              <w:rPr>
                <w:color w:val="auto"/>
                <w:highlight w:val="none"/>
              </w:rPr>
              <w:t>8</w:t>
            </w:r>
          </w:p>
        </w:tc>
        <w:tc>
          <w:tcPr>
            <w:tcW w:w="6474" w:type="dxa"/>
            <w:vAlign w:val="top"/>
          </w:tcPr>
          <w:p w14:paraId="0814A7ED">
            <w:pPr>
              <w:pStyle w:val="14"/>
              <w:spacing w:before="119" w:line="312" w:lineRule="auto"/>
              <w:ind w:left="113" w:right="124"/>
              <w:rPr>
                <w:color w:val="auto"/>
                <w:highlight w:val="none"/>
              </w:rPr>
            </w:pPr>
            <w:r>
              <w:rPr>
                <w:color w:val="auto"/>
                <w:spacing w:val="-1"/>
                <w:highlight w:val="none"/>
              </w:rPr>
              <w:t>磋商报价（首次报价或最后报价）是否固定唯一价，且是否</w:t>
            </w:r>
            <w:r>
              <w:rPr>
                <w:color w:val="auto"/>
                <w:spacing w:val="16"/>
                <w:highlight w:val="none"/>
              </w:rPr>
              <w:t xml:space="preserve"> </w:t>
            </w:r>
            <w:r>
              <w:rPr>
                <w:color w:val="auto"/>
                <w:spacing w:val="-1"/>
                <w:highlight w:val="none"/>
              </w:rPr>
              <w:t>超过磋商文件中规定的最高限价。</w:t>
            </w:r>
          </w:p>
        </w:tc>
        <w:tc>
          <w:tcPr>
            <w:tcW w:w="834" w:type="dxa"/>
            <w:vAlign w:val="top"/>
          </w:tcPr>
          <w:p w14:paraId="57EC1A1A">
            <w:pPr>
              <w:rPr>
                <w:rFonts w:ascii="Arial"/>
                <w:color w:val="auto"/>
                <w:sz w:val="21"/>
                <w:highlight w:val="none"/>
              </w:rPr>
            </w:pPr>
          </w:p>
        </w:tc>
      </w:tr>
      <w:tr w14:paraId="5AFF7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85" w:type="dxa"/>
            <w:vMerge w:val="continue"/>
            <w:tcBorders>
              <w:top w:val="nil"/>
              <w:bottom w:val="nil"/>
            </w:tcBorders>
            <w:vAlign w:val="top"/>
          </w:tcPr>
          <w:p w14:paraId="06A99B27">
            <w:pPr>
              <w:rPr>
                <w:rFonts w:ascii="Arial"/>
                <w:color w:val="auto"/>
                <w:sz w:val="21"/>
                <w:highlight w:val="none"/>
              </w:rPr>
            </w:pPr>
          </w:p>
        </w:tc>
        <w:tc>
          <w:tcPr>
            <w:tcW w:w="575" w:type="dxa"/>
            <w:vAlign w:val="top"/>
          </w:tcPr>
          <w:p w14:paraId="12F75FE6">
            <w:pPr>
              <w:pStyle w:val="14"/>
              <w:spacing w:before="318" w:line="183" w:lineRule="auto"/>
              <w:ind w:left="234"/>
              <w:rPr>
                <w:color w:val="auto"/>
                <w:highlight w:val="none"/>
              </w:rPr>
            </w:pPr>
            <w:r>
              <w:rPr>
                <w:color w:val="auto"/>
                <w:highlight w:val="none"/>
              </w:rPr>
              <w:t>9</w:t>
            </w:r>
          </w:p>
        </w:tc>
        <w:tc>
          <w:tcPr>
            <w:tcW w:w="6474" w:type="dxa"/>
            <w:vAlign w:val="top"/>
          </w:tcPr>
          <w:p w14:paraId="1761142B">
            <w:pPr>
              <w:pStyle w:val="14"/>
              <w:spacing w:before="280" w:line="218" w:lineRule="auto"/>
              <w:ind w:left="114"/>
              <w:rPr>
                <w:color w:val="auto"/>
                <w:highlight w:val="none"/>
              </w:rPr>
            </w:pPr>
            <w:r>
              <w:rPr>
                <w:color w:val="auto"/>
                <w:spacing w:val="-1"/>
                <w:highlight w:val="none"/>
              </w:rPr>
              <w:t>供应商提供报价清单不允许出现缺项、漏项。</w:t>
            </w:r>
          </w:p>
        </w:tc>
        <w:tc>
          <w:tcPr>
            <w:tcW w:w="834" w:type="dxa"/>
            <w:vAlign w:val="top"/>
          </w:tcPr>
          <w:p w14:paraId="08F5A68C">
            <w:pPr>
              <w:rPr>
                <w:rFonts w:ascii="Arial"/>
                <w:color w:val="auto"/>
                <w:sz w:val="21"/>
                <w:highlight w:val="none"/>
              </w:rPr>
            </w:pPr>
          </w:p>
        </w:tc>
      </w:tr>
      <w:tr w14:paraId="14613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5" w:type="dxa"/>
            <w:vMerge w:val="continue"/>
            <w:tcBorders>
              <w:top w:val="nil"/>
              <w:bottom w:val="nil"/>
            </w:tcBorders>
            <w:vAlign w:val="top"/>
          </w:tcPr>
          <w:p w14:paraId="0121BFB1">
            <w:pPr>
              <w:rPr>
                <w:rFonts w:ascii="Arial"/>
                <w:color w:val="auto"/>
                <w:sz w:val="21"/>
                <w:highlight w:val="none"/>
              </w:rPr>
            </w:pPr>
          </w:p>
        </w:tc>
        <w:tc>
          <w:tcPr>
            <w:tcW w:w="575" w:type="dxa"/>
            <w:vAlign w:val="top"/>
          </w:tcPr>
          <w:p w14:paraId="0C8466DC">
            <w:pPr>
              <w:pStyle w:val="14"/>
              <w:spacing w:before="78" w:line="184" w:lineRule="auto"/>
              <w:ind w:left="190"/>
              <w:rPr>
                <w:color w:val="auto"/>
                <w:highlight w:val="none"/>
              </w:rPr>
            </w:pPr>
            <w:r>
              <w:rPr>
                <w:color w:val="auto"/>
                <w:spacing w:val="-14"/>
                <w:highlight w:val="none"/>
              </w:rPr>
              <w:t>10</w:t>
            </w:r>
          </w:p>
        </w:tc>
        <w:tc>
          <w:tcPr>
            <w:tcW w:w="6474" w:type="dxa"/>
            <w:vAlign w:val="top"/>
          </w:tcPr>
          <w:p w14:paraId="58042E92">
            <w:pPr>
              <w:pStyle w:val="14"/>
              <w:spacing w:before="119" w:line="312" w:lineRule="auto"/>
              <w:ind w:left="114" w:right="124" w:firstLine="12"/>
              <w:rPr>
                <w:color w:val="auto"/>
                <w:highlight w:val="none"/>
              </w:rPr>
            </w:pPr>
            <w:r>
              <w:rPr>
                <w:color w:val="auto"/>
                <w:spacing w:val="-1"/>
                <w:highlight w:val="none"/>
              </w:rPr>
              <w:t>响应文件载明的采购范围是否符合磋商文件的要求，无重大</w:t>
            </w:r>
            <w:r>
              <w:rPr>
                <w:color w:val="auto"/>
                <w:spacing w:val="3"/>
                <w:highlight w:val="none"/>
              </w:rPr>
              <w:t xml:space="preserve"> </w:t>
            </w:r>
            <w:r>
              <w:rPr>
                <w:color w:val="auto"/>
                <w:spacing w:val="-2"/>
                <w:highlight w:val="none"/>
              </w:rPr>
              <w:t>偏离或保留</w:t>
            </w:r>
          </w:p>
        </w:tc>
        <w:tc>
          <w:tcPr>
            <w:tcW w:w="834" w:type="dxa"/>
            <w:vAlign w:val="top"/>
          </w:tcPr>
          <w:p w14:paraId="3E908927">
            <w:pPr>
              <w:rPr>
                <w:rFonts w:ascii="Arial"/>
                <w:color w:val="auto"/>
                <w:sz w:val="21"/>
                <w:highlight w:val="none"/>
              </w:rPr>
            </w:pPr>
          </w:p>
        </w:tc>
      </w:tr>
      <w:tr w14:paraId="4F1DC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85" w:type="dxa"/>
            <w:vMerge w:val="continue"/>
            <w:tcBorders>
              <w:top w:val="nil"/>
            </w:tcBorders>
            <w:vAlign w:val="top"/>
          </w:tcPr>
          <w:p w14:paraId="538FAEC1">
            <w:pPr>
              <w:rPr>
                <w:rFonts w:ascii="Arial"/>
                <w:color w:val="auto"/>
                <w:sz w:val="21"/>
                <w:highlight w:val="none"/>
              </w:rPr>
            </w:pPr>
          </w:p>
        </w:tc>
        <w:tc>
          <w:tcPr>
            <w:tcW w:w="575" w:type="dxa"/>
            <w:vAlign w:val="top"/>
          </w:tcPr>
          <w:p w14:paraId="72751183">
            <w:pPr>
              <w:pStyle w:val="14"/>
              <w:spacing w:before="77" w:line="184" w:lineRule="auto"/>
              <w:ind w:left="190"/>
              <w:rPr>
                <w:color w:val="auto"/>
                <w:highlight w:val="none"/>
              </w:rPr>
            </w:pPr>
            <w:r>
              <w:rPr>
                <w:color w:val="auto"/>
                <w:spacing w:val="-14"/>
                <w:highlight w:val="none"/>
              </w:rPr>
              <w:t>11</w:t>
            </w:r>
          </w:p>
        </w:tc>
        <w:tc>
          <w:tcPr>
            <w:tcW w:w="6474" w:type="dxa"/>
            <w:vAlign w:val="top"/>
          </w:tcPr>
          <w:p w14:paraId="74D8EE4B">
            <w:pPr>
              <w:pStyle w:val="14"/>
              <w:spacing w:before="121" w:line="313" w:lineRule="auto"/>
              <w:ind w:left="113" w:right="124" w:firstLine="13"/>
              <w:rPr>
                <w:color w:val="auto"/>
                <w:highlight w:val="none"/>
              </w:rPr>
            </w:pPr>
            <w:r>
              <w:rPr>
                <w:color w:val="auto"/>
                <w:spacing w:val="-1"/>
                <w:highlight w:val="none"/>
              </w:rPr>
              <w:t>响应文件未附有招标人不能接受的附加条件或法律、法规和</w:t>
            </w:r>
            <w:r>
              <w:rPr>
                <w:color w:val="auto"/>
                <w:spacing w:val="3"/>
                <w:highlight w:val="none"/>
              </w:rPr>
              <w:t xml:space="preserve"> </w:t>
            </w:r>
            <w:r>
              <w:rPr>
                <w:color w:val="auto"/>
                <w:spacing w:val="-1"/>
                <w:highlight w:val="none"/>
              </w:rPr>
              <w:t>磋商文件规定的其他无效情形。</w:t>
            </w:r>
          </w:p>
        </w:tc>
        <w:tc>
          <w:tcPr>
            <w:tcW w:w="834" w:type="dxa"/>
            <w:vAlign w:val="top"/>
          </w:tcPr>
          <w:p w14:paraId="0DA29F90">
            <w:pPr>
              <w:rPr>
                <w:rFonts w:ascii="Arial"/>
                <w:color w:val="auto"/>
                <w:sz w:val="21"/>
                <w:highlight w:val="none"/>
              </w:rPr>
            </w:pPr>
          </w:p>
        </w:tc>
      </w:tr>
    </w:tbl>
    <w:p w14:paraId="5D6E606F">
      <w:pPr>
        <w:pStyle w:val="2"/>
        <w:rPr>
          <w:color w:val="auto"/>
          <w:highlight w:val="none"/>
        </w:rPr>
      </w:pPr>
    </w:p>
    <w:p w14:paraId="5576D8F3">
      <w:pPr>
        <w:rPr>
          <w:color w:val="auto"/>
          <w:highlight w:val="none"/>
        </w:rPr>
        <w:sectPr>
          <w:footerReference r:id="rId21" w:type="default"/>
          <w:pgSz w:w="11906" w:h="16839"/>
          <w:pgMar w:top="1440" w:right="1800" w:bottom="1440" w:left="1800" w:header="0" w:footer="973" w:gutter="0"/>
          <w:pgNumType w:fmt="decimal"/>
          <w:cols w:space="720" w:num="1"/>
        </w:sectPr>
      </w:pPr>
    </w:p>
    <w:tbl>
      <w:tblPr>
        <w:tblStyle w:val="13"/>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909"/>
        <w:gridCol w:w="6559"/>
        <w:gridCol w:w="612"/>
      </w:tblGrid>
      <w:tr w14:paraId="7D813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74" w:type="dxa"/>
            <w:vAlign w:val="top"/>
          </w:tcPr>
          <w:p w14:paraId="18447406">
            <w:pPr>
              <w:pStyle w:val="14"/>
              <w:spacing w:before="243" w:line="220" w:lineRule="auto"/>
              <w:ind w:left="12"/>
              <w:rPr>
                <w:color w:val="auto"/>
                <w:highlight w:val="none"/>
              </w:rPr>
            </w:pPr>
            <w:r>
              <w:rPr>
                <w:color w:val="auto"/>
                <w:spacing w:val="-3"/>
                <w:highlight w:val="none"/>
              </w:rPr>
              <w:t>评分项目</w:t>
            </w:r>
          </w:p>
        </w:tc>
        <w:tc>
          <w:tcPr>
            <w:tcW w:w="909" w:type="dxa"/>
            <w:vAlign w:val="top"/>
          </w:tcPr>
          <w:p w14:paraId="4BE091DD">
            <w:pPr>
              <w:pStyle w:val="14"/>
              <w:spacing w:before="86" w:line="230" w:lineRule="auto"/>
              <w:ind w:left="341" w:right="93" w:hanging="243"/>
              <w:rPr>
                <w:color w:val="auto"/>
                <w:highlight w:val="none"/>
              </w:rPr>
            </w:pPr>
            <w:r>
              <w:rPr>
                <w:color w:val="auto"/>
                <w:spacing w:val="-3"/>
                <w:highlight w:val="none"/>
              </w:rPr>
              <w:t>评分因</w:t>
            </w:r>
            <w:r>
              <w:rPr>
                <w:color w:val="auto"/>
                <w:highlight w:val="none"/>
              </w:rPr>
              <w:t xml:space="preserve"> 素</w:t>
            </w:r>
          </w:p>
        </w:tc>
        <w:tc>
          <w:tcPr>
            <w:tcW w:w="6559" w:type="dxa"/>
            <w:vAlign w:val="top"/>
          </w:tcPr>
          <w:p w14:paraId="18E4D608">
            <w:pPr>
              <w:pStyle w:val="14"/>
              <w:spacing w:before="244" w:line="219" w:lineRule="auto"/>
              <w:ind w:left="2804"/>
              <w:rPr>
                <w:color w:val="auto"/>
                <w:highlight w:val="none"/>
              </w:rPr>
            </w:pPr>
            <w:r>
              <w:rPr>
                <w:color w:val="auto"/>
                <w:spacing w:val="-3"/>
                <w:highlight w:val="none"/>
              </w:rPr>
              <w:t>评审内容</w:t>
            </w:r>
          </w:p>
        </w:tc>
        <w:tc>
          <w:tcPr>
            <w:tcW w:w="612" w:type="dxa"/>
            <w:vAlign w:val="top"/>
          </w:tcPr>
          <w:p w14:paraId="0D9627B8">
            <w:pPr>
              <w:pStyle w:val="14"/>
              <w:spacing w:before="244" w:line="219" w:lineRule="auto"/>
              <w:ind w:left="74"/>
              <w:rPr>
                <w:color w:val="auto"/>
                <w:highlight w:val="none"/>
              </w:rPr>
            </w:pPr>
            <w:r>
              <w:rPr>
                <w:color w:val="auto"/>
                <w:spacing w:val="-7"/>
                <w:highlight w:val="none"/>
              </w:rPr>
              <w:t>分值</w:t>
            </w:r>
          </w:p>
        </w:tc>
      </w:tr>
      <w:tr w14:paraId="202C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4" w:type="dxa"/>
            <w:vMerge w:val="restart"/>
            <w:tcBorders>
              <w:bottom w:val="nil"/>
            </w:tcBorders>
            <w:vAlign w:val="top"/>
          </w:tcPr>
          <w:p w14:paraId="447B03AA">
            <w:pPr>
              <w:spacing w:line="245" w:lineRule="auto"/>
              <w:rPr>
                <w:rFonts w:ascii="Arial"/>
                <w:color w:val="auto"/>
                <w:sz w:val="21"/>
                <w:highlight w:val="none"/>
              </w:rPr>
            </w:pPr>
          </w:p>
          <w:p w14:paraId="306F691F">
            <w:pPr>
              <w:spacing w:line="245" w:lineRule="auto"/>
              <w:rPr>
                <w:rFonts w:ascii="Arial"/>
                <w:color w:val="auto"/>
                <w:sz w:val="21"/>
                <w:highlight w:val="none"/>
              </w:rPr>
            </w:pPr>
          </w:p>
          <w:p w14:paraId="5DFD07B1">
            <w:pPr>
              <w:spacing w:line="245" w:lineRule="auto"/>
              <w:rPr>
                <w:rFonts w:ascii="Arial"/>
                <w:color w:val="auto"/>
                <w:sz w:val="21"/>
                <w:highlight w:val="none"/>
              </w:rPr>
            </w:pPr>
          </w:p>
          <w:p w14:paraId="5C2BBF3F">
            <w:pPr>
              <w:spacing w:line="245" w:lineRule="auto"/>
              <w:rPr>
                <w:rFonts w:ascii="Arial"/>
                <w:color w:val="auto"/>
                <w:sz w:val="21"/>
                <w:highlight w:val="none"/>
              </w:rPr>
            </w:pPr>
          </w:p>
          <w:p w14:paraId="7C8E6777">
            <w:pPr>
              <w:spacing w:line="245" w:lineRule="auto"/>
              <w:rPr>
                <w:rFonts w:ascii="Arial"/>
                <w:color w:val="auto"/>
                <w:sz w:val="21"/>
                <w:highlight w:val="none"/>
              </w:rPr>
            </w:pPr>
          </w:p>
          <w:p w14:paraId="787FD50C">
            <w:pPr>
              <w:spacing w:line="245" w:lineRule="auto"/>
              <w:rPr>
                <w:rFonts w:ascii="Arial"/>
                <w:color w:val="auto"/>
                <w:sz w:val="21"/>
                <w:highlight w:val="none"/>
              </w:rPr>
            </w:pPr>
          </w:p>
          <w:p w14:paraId="2314C998">
            <w:pPr>
              <w:spacing w:line="245" w:lineRule="auto"/>
              <w:rPr>
                <w:rFonts w:ascii="Arial"/>
                <w:color w:val="auto"/>
                <w:sz w:val="21"/>
                <w:highlight w:val="none"/>
              </w:rPr>
            </w:pPr>
          </w:p>
          <w:p w14:paraId="42551342">
            <w:pPr>
              <w:spacing w:line="245" w:lineRule="auto"/>
              <w:rPr>
                <w:rFonts w:ascii="Arial"/>
                <w:color w:val="auto"/>
                <w:sz w:val="21"/>
                <w:highlight w:val="none"/>
              </w:rPr>
            </w:pPr>
          </w:p>
          <w:p w14:paraId="7E038C0D">
            <w:pPr>
              <w:spacing w:line="245" w:lineRule="auto"/>
              <w:rPr>
                <w:rFonts w:ascii="Arial"/>
                <w:color w:val="auto"/>
                <w:sz w:val="21"/>
                <w:highlight w:val="none"/>
              </w:rPr>
            </w:pPr>
          </w:p>
          <w:p w14:paraId="6A289F71">
            <w:pPr>
              <w:spacing w:line="246" w:lineRule="auto"/>
              <w:rPr>
                <w:rFonts w:ascii="Arial"/>
                <w:color w:val="auto"/>
                <w:sz w:val="21"/>
                <w:highlight w:val="none"/>
              </w:rPr>
            </w:pPr>
          </w:p>
          <w:p w14:paraId="5CC7C308">
            <w:pPr>
              <w:pStyle w:val="14"/>
              <w:spacing w:before="78" w:line="219" w:lineRule="auto"/>
              <w:ind w:left="17"/>
              <w:rPr>
                <w:color w:val="auto"/>
                <w:highlight w:val="none"/>
              </w:rPr>
            </w:pPr>
            <w:r>
              <w:rPr>
                <w:color w:val="auto"/>
                <w:spacing w:val="-4"/>
                <w:highlight w:val="none"/>
              </w:rPr>
              <w:t>商务部分</w:t>
            </w:r>
          </w:p>
        </w:tc>
        <w:tc>
          <w:tcPr>
            <w:tcW w:w="909" w:type="dxa"/>
            <w:vAlign w:val="top"/>
          </w:tcPr>
          <w:p w14:paraId="11E50128">
            <w:pPr>
              <w:pStyle w:val="14"/>
              <w:spacing w:before="194" w:line="230" w:lineRule="auto"/>
              <w:ind w:left="343" w:right="93" w:hanging="240"/>
              <w:rPr>
                <w:color w:val="auto"/>
                <w:highlight w:val="none"/>
              </w:rPr>
            </w:pPr>
            <w:r>
              <w:rPr>
                <w:color w:val="auto"/>
                <w:spacing w:val="-5"/>
                <w:highlight w:val="none"/>
              </w:rPr>
              <w:t>企业业</w:t>
            </w:r>
            <w:r>
              <w:rPr>
                <w:color w:val="auto"/>
                <w:highlight w:val="none"/>
              </w:rPr>
              <w:t xml:space="preserve"> 绩</w:t>
            </w:r>
          </w:p>
        </w:tc>
        <w:tc>
          <w:tcPr>
            <w:tcW w:w="6559" w:type="dxa"/>
            <w:vAlign w:val="top"/>
          </w:tcPr>
          <w:p w14:paraId="55638794">
            <w:pPr>
              <w:pStyle w:val="14"/>
              <w:spacing w:before="37" w:line="229" w:lineRule="auto"/>
              <w:ind w:left="8"/>
              <w:jc w:val="both"/>
              <w:rPr>
                <w:color w:val="auto"/>
                <w:highlight w:val="none"/>
              </w:rPr>
            </w:pPr>
            <w:r>
              <w:rPr>
                <w:color w:val="auto"/>
                <w:spacing w:val="-8"/>
                <w:highlight w:val="none"/>
              </w:rPr>
              <w:t>供应商 202</w:t>
            </w:r>
            <w:r>
              <w:rPr>
                <w:rFonts w:hint="eastAsia"/>
                <w:color w:val="auto"/>
                <w:spacing w:val="-8"/>
                <w:highlight w:val="none"/>
                <w:lang w:val="en-US" w:eastAsia="zh-CN"/>
              </w:rPr>
              <w:t>2</w:t>
            </w:r>
            <w:r>
              <w:rPr>
                <w:color w:val="auto"/>
                <w:spacing w:val="-8"/>
                <w:highlight w:val="none"/>
              </w:rPr>
              <w:t>年</w:t>
            </w:r>
            <w:r>
              <w:rPr>
                <w:color w:val="auto"/>
                <w:spacing w:val="-33"/>
                <w:highlight w:val="none"/>
              </w:rPr>
              <w:t xml:space="preserve"> </w:t>
            </w:r>
            <w:r>
              <w:rPr>
                <w:color w:val="auto"/>
                <w:spacing w:val="-8"/>
                <w:highlight w:val="none"/>
              </w:rPr>
              <w:t>1</w:t>
            </w:r>
            <w:r>
              <w:rPr>
                <w:color w:val="auto"/>
                <w:spacing w:val="-45"/>
                <w:highlight w:val="none"/>
              </w:rPr>
              <w:t xml:space="preserve"> </w:t>
            </w:r>
            <w:r>
              <w:rPr>
                <w:color w:val="auto"/>
                <w:spacing w:val="-8"/>
                <w:highlight w:val="none"/>
              </w:rPr>
              <w:t>月</w:t>
            </w:r>
            <w:r>
              <w:rPr>
                <w:color w:val="auto"/>
                <w:spacing w:val="-33"/>
                <w:highlight w:val="none"/>
              </w:rPr>
              <w:t xml:space="preserve"> </w:t>
            </w:r>
            <w:r>
              <w:rPr>
                <w:color w:val="auto"/>
                <w:spacing w:val="-8"/>
                <w:highlight w:val="none"/>
              </w:rPr>
              <w:t>1 日至今（以竣工验收</w:t>
            </w:r>
            <w:r>
              <w:rPr>
                <w:color w:val="auto"/>
                <w:spacing w:val="-9"/>
                <w:highlight w:val="none"/>
              </w:rPr>
              <w:t>时间为准）具有类似</w:t>
            </w:r>
            <w:r>
              <w:rPr>
                <w:color w:val="auto"/>
                <w:highlight w:val="none"/>
              </w:rPr>
              <w:t xml:space="preserve"> </w:t>
            </w:r>
            <w:r>
              <w:rPr>
                <w:color w:val="auto"/>
                <w:spacing w:val="-2"/>
                <w:highlight w:val="none"/>
              </w:rPr>
              <w:t>业绩评审，每提供</w:t>
            </w:r>
            <w:r>
              <w:rPr>
                <w:color w:val="auto"/>
                <w:spacing w:val="-17"/>
                <w:highlight w:val="none"/>
              </w:rPr>
              <w:t xml:space="preserve"> </w:t>
            </w:r>
            <w:r>
              <w:rPr>
                <w:color w:val="auto"/>
                <w:spacing w:val="-2"/>
                <w:highlight w:val="none"/>
              </w:rPr>
              <w:t>1</w:t>
            </w:r>
            <w:r>
              <w:rPr>
                <w:color w:val="auto"/>
                <w:spacing w:val="-42"/>
                <w:highlight w:val="none"/>
              </w:rPr>
              <w:t xml:space="preserve"> </w:t>
            </w:r>
            <w:r>
              <w:rPr>
                <w:color w:val="auto"/>
                <w:spacing w:val="-2"/>
                <w:highlight w:val="none"/>
              </w:rPr>
              <w:t>项得</w:t>
            </w:r>
            <w:r>
              <w:rPr>
                <w:color w:val="auto"/>
                <w:spacing w:val="-45"/>
                <w:highlight w:val="none"/>
              </w:rPr>
              <w:t xml:space="preserve"> </w:t>
            </w:r>
            <w:r>
              <w:rPr>
                <w:color w:val="auto"/>
                <w:spacing w:val="-2"/>
                <w:highlight w:val="none"/>
              </w:rPr>
              <w:t>2</w:t>
            </w:r>
            <w:r>
              <w:rPr>
                <w:color w:val="auto"/>
                <w:spacing w:val="-45"/>
                <w:highlight w:val="none"/>
              </w:rPr>
              <w:t xml:space="preserve"> </w:t>
            </w:r>
            <w:r>
              <w:rPr>
                <w:color w:val="auto"/>
                <w:spacing w:val="-2"/>
                <w:highlight w:val="none"/>
              </w:rPr>
              <w:t>分，满分</w:t>
            </w:r>
            <w:r>
              <w:rPr>
                <w:color w:val="auto"/>
                <w:spacing w:val="-48"/>
                <w:highlight w:val="none"/>
              </w:rPr>
              <w:t xml:space="preserve"> </w:t>
            </w:r>
            <w:r>
              <w:rPr>
                <w:color w:val="auto"/>
                <w:spacing w:val="-2"/>
                <w:highlight w:val="none"/>
              </w:rPr>
              <w:t>8</w:t>
            </w:r>
            <w:r>
              <w:rPr>
                <w:color w:val="auto"/>
                <w:spacing w:val="-45"/>
                <w:highlight w:val="none"/>
              </w:rPr>
              <w:t xml:space="preserve"> </w:t>
            </w:r>
            <w:r>
              <w:rPr>
                <w:color w:val="auto"/>
                <w:spacing w:val="-2"/>
                <w:highlight w:val="none"/>
              </w:rPr>
              <w:t>分。需提供中标通知书</w:t>
            </w:r>
            <w:r>
              <w:rPr>
                <w:color w:val="auto"/>
                <w:highlight w:val="none"/>
              </w:rPr>
              <w:t xml:space="preserve"> </w:t>
            </w:r>
            <w:r>
              <w:rPr>
                <w:color w:val="auto"/>
                <w:spacing w:val="-1"/>
                <w:highlight w:val="none"/>
              </w:rPr>
              <w:t>或施工合同复印件加盖供应商公章。</w:t>
            </w:r>
          </w:p>
        </w:tc>
        <w:tc>
          <w:tcPr>
            <w:tcW w:w="612" w:type="dxa"/>
            <w:vAlign w:val="top"/>
          </w:tcPr>
          <w:p w14:paraId="5E9A40A0">
            <w:pPr>
              <w:spacing w:line="308" w:lineRule="auto"/>
              <w:rPr>
                <w:rFonts w:ascii="Arial"/>
                <w:color w:val="auto"/>
                <w:sz w:val="21"/>
                <w:highlight w:val="none"/>
              </w:rPr>
            </w:pPr>
          </w:p>
          <w:p w14:paraId="4EAB1345">
            <w:pPr>
              <w:pStyle w:val="14"/>
              <w:spacing w:before="78" w:line="183" w:lineRule="auto"/>
              <w:ind w:left="252"/>
              <w:rPr>
                <w:color w:val="auto"/>
                <w:highlight w:val="none"/>
              </w:rPr>
            </w:pPr>
            <w:r>
              <w:rPr>
                <w:color w:val="auto"/>
                <w:highlight w:val="none"/>
              </w:rPr>
              <w:t>8</w:t>
            </w:r>
          </w:p>
        </w:tc>
      </w:tr>
      <w:tr w14:paraId="03442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974" w:type="dxa"/>
            <w:vMerge w:val="continue"/>
            <w:tcBorders>
              <w:top w:val="nil"/>
              <w:bottom w:val="nil"/>
            </w:tcBorders>
            <w:vAlign w:val="top"/>
          </w:tcPr>
          <w:p w14:paraId="4D87E2FD">
            <w:pPr>
              <w:rPr>
                <w:rFonts w:ascii="Arial"/>
                <w:color w:val="auto"/>
                <w:sz w:val="21"/>
                <w:highlight w:val="none"/>
              </w:rPr>
            </w:pPr>
          </w:p>
        </w:tc>
        <w:tc>
          <w:tcPr>
            <w:tcW w:w="909" w:type="dxa"/>
            <w:vAlign w:val="top"/>
          </w:tcPr>
          <w:p w14:paraId="05A8D188">
            <w:pPr>
              <w:spacing w:line="297" w:lineRule="auto"/>
              <w:rPr>
                <w:rFonts w:ascii="Arial"/>
                <w:color w:val="auto"/>
                <w:sz w:val="21"/>
                <w:highlight w:val="none"/>
              </w:rPr>
            </w:pPr>
          </w:p>
          <w:p w14:paraId="6B0B6569">
            <w:pPr>
              <w:spacing w:line="297" w:lineRule="auto"/>
              <w:rPr>
                <w:rFonts w:ascii="Arial"/>
                <w:color w:val="auto"/>
                <w:sz w:val="21"/>
                <w:highlight w:val="none"/>
              </w:rPr>
            </w:pPr>
          </w:p>
          <w:p w14:paraId="31038167">
            <w:pPr>
              <w:spacing w:line="297" w:lineRule="auto"/>
              <w:rPr>
                <w:rFonts w:ascii="Arial"/>
                <w:color w:val="auto"/>
                <w:sz w:val="21"/>
                <w:highlight w:val="none"/>
              </w:rPr>
            </w:pPr>
          </w:p>
          <w:p w14:paraId="5DF6D1BC">
            <w:pPr>
              <w:pStyle w:val="14"/>
              <w:spacing w:before="78" w:line="230" w:lineRule="auto"/>
              <w:ind w:left="227" w:right="93" w:hanging="124"/>
              <w:rPr>
                <w:color w:val="auto"/>
                <w:highlight w:val="none"/>
              </w:rPr>
            </w:pPr>
            <w:r>
              <w:rPr>
                <w:color w:val="auto"/>
                <w:spacing w:val="-5"/>
                <w:highlight w:val="none"/>
              </w:rPr>
              <w:t>项目负</w:t>
            </w:r>
            <w:r>
              <w:rPr>
                <w:color w:val="auto"/>
                <w:highlight w:val="none"/>
              </w:rPr>
              <w:t xml:space="preserve"> </w:t>
            </w:r>
            <w:r>
              <w:rPr>
                <w:color w:val="auto"/>
                <w:spacing w:val="-9"/>
                <w:highlight w:val="none"/>
              </w:rPr>
              <w:t>责人</w:t>
            </w:r>
          </w:p>
        </w:tc>
        <w:tc>
          <w:tcPr>
            <w:tcW w:w="6559" w:type="dxa"/>
            <w:vAlign w:val="top"/>
          </w:tcPr>
          <w:p w14:paraId="4DB4D330">
            <w:pPr>
              <w:pStyle w:val="14"/>
              <w:spacing w:before="37" w:line="230" w:lineRule="auto"/>
              <w:ind w:left="10" w:firstLine="2"/>
              <w:rPr>
                <w:color w:val="auto"/>
                <w:highlight w:val="none"/>
              </w:rPr>
            </w:pPr>
            <w:r>
              <w:rPr>
                <w:color w:val="auto"/>
                <w:spacing w:val="-6"/>
                <w:highlight w:val="none"/>
              </w:rPr>
              <w:t>项目负责人具备工程师的得</w:t>
            </w:r>
            <w:r>
              <w:rPr>
                <w:color w:val="auto"/>
                <w:spacing w:val="-37"/>
                <w:highlight w:val="none"/>
              </w:rPr>
              <w:t xml:space="preserve"> </w:t>
            </w:r>
            <w:r>
              <w:rPr>
                <w:rFonts w:hint="eastAsia"/>
                <w:color w:val="auto"/>
                <w:spacing w:val="-6"/>
                <w:highlight w:val="none"/>
                <w:lang w:val="en-US" w:eastAsia="zh-CN"/>
              </w:rPr>
              <w:t>2</w:t>
            </w:r>
            <w:r>
              <w:rPr>
                <w:color w:val="auto"/>
                <w:spacing w:val="-48"/>
                <w:highlight w:val="none"/>
              </w:rPr>
              <w:t xml:space="preserve"> </w:t>
            </w:r>
            <w:r>
              <w:rPr>
                <w:color w:val="auto"/>
                <w:spacing w:val="-6"/>
                <w:highlight w:val="none"/>
              </w:rPr>
              <w:t>分，初级</w:t>
            </w:r>
            <w:r>
              <w:rPr>
                <w:color w:val="auto"/>
                <w:spacing w:val="-8"/>
                <w:highlight w:val="none"/>
              </w:rPr>
              <w:t>职称的得</w:t>
            </w:r>
            <w:r>
              <w:rPr>
                <w:color w:val="auto"/>
                <w:spacing w:val="-28"/>
                <w:highlight w:val="none"/>
              </w:rPr>
              <w:t xml:space="preserve"> </w:t>
            </w:r>
            <w:r>
              <w:rPr>
                <w:color w:val="auto"/>
                <w:spacing w:val="-8"/>
                <w:highlight w:val="none"/>
              </w:rPr>
              <w:t>1</w:t>
            </w:r>
            <w:r>
              <w:rPr>
                <w:color w:val="auto"/>
                <w:spacing w:val="-48"/>
                <w:highlight w:val="none"/>
              </w:rPr>
              <w:t xml:space="preserve"> </w:t>
            </w:r>
            <w:r>
              <w:rPr>
                <w:color w:val="auto"/>
                <w:spacing w:val="-8"/>
                <w:highlight w:val="none"/>
              </w:rPr>
              <w:t>分</w:t>
            </w:r>
            <w:r>
              <w:rPr>
                <w:rFonts w:hint="eastAsia"/>
                <w:color w:val="auto"/>
                <w:spacing w:val="-8"/>
                <w:highlight w:val="none"/>
                <w:lang w:eastAsia="zh-CN"/>
              </w:rPr>
              <w:t>，</w:t>
            </w:r>
            <w:r>
              <w:rPr>
                <w:rFonts w:hint="eastAsia"/>
                <w:color w:val="auto"/>
                <w:spacing w:val="-8"/>
                <w:highlight w:val="none"/>
                <w:lang w:val="en-US" w:eastAsia="zh-CN"/>
              </w:rPr>
              <w:t>无职称不得分</w:t>
            </w:r>
            <w:r>
              <w:rPr>
                <w:color w:val="auto"/>
                <w:spacing w:val="-8"/>
                <w:highlight w:val="none"/>
              </w:rPr>
              <w:t>。</w:t>
            </w:r>
          </w:p>
          <w:p w14:paraId="36ABEDA2">
            <w:pPr>
              <w:pStyle w:val="14"/>
              <w:spacing w:before="29" w:line="234" w:lineRule="auto"/>
              <w:ind w:left="7" w:firstLine="5"/>
              <w:jc w:val="both"/>
              <w:rPr>
                <w:color w:val="auto"/>
                <w:highlight w:val="none"/>
              </w:rPr>
            </w:pPr>
            <w:r>
              <w:rPr>
                <w:color w:val="auto"/>
                <w:spacing w:val="-8"/>
                <w:highlight w:val="none"/>
              </w:rPr>
              <w:t>项目负责人 202</w:t>
            </w:r>
            <w:r>
              <w:rPr>
                <w:rFonts w:hint="eastAsia"/>
                <w:color w:val="auto"/>
                <w:spacing w:val="-8"/>
                <w:highlight w:val="none"/>
                <w:lang w:val="en-US" w:eastAsia="zh-CN"/>
              </w:rPr>
              <w:t>2</w:t>
            </w:r>
            <w:r>
              <w:rPr>
                <w:color w:val="auto"/>
                <w:spacing w:val="-50"/>
                <w:highlight w:val="none"/>
              </w:rPr>
              <w:t xml:space="preserve"> </w:t>
            </w:r>
            <w:r>
              <w:rPr>
                <w:color w:val="auto"/>
                <w:spacing w:val="-8"/>
                <w:highlight w:val="none"/>
              </w:rPr>
              <w:t>年1月1日至今（</w:t>
            </w:r>
            <w:r>
              <w:rPr>
                <w:color w:val="auto"/>
                <w:spacing w:val="-9"/>
                <w:highlight w:val="none"/>
              </w:rPr>
              <w:t>以竣工验收时间为准）类似</w:t>
            </w:r>
            <w:r>
              <w:rPr>
                <w:color w:val="auto"/>
                <w:highlight w:val="none"/>
              </w:rPr>
              <w:t xml:space="preserve"> </w:t>
            </w:r>
            <w:r>
              <w:rPr>
                <w:color w:val="auto"/>
                <w:spacing w:val="-1"/>
                <w:highlight w:val="none"/>
              </w:rPr>
              <w:t>业绩评审。每提供一个项目业绩得1分，最高得</w:t>
            </w:r>
            <w:r>
              <w:rPr>
                <w:rFonts w:hint="eastAsia"/>
                <w:color w:val="auto"/>
                <w:spacing w:val="-1"/>
                <w:highlight w:val="none"/>
                <w:lang w:val="en-US" w:eastAsia="zh-CN"/>
              </w:rPr>
              <w:t>4</w:t>
            </w:r>
            <w:r>
              <w:rPr>
                <w:color w:val="auto"/>
                <w:spacing w:val="-1"/>
                <w:highlight w:val="none"/>
              </w:rPr>
              <w:t>分。注：须</w:t>
            </w:r>
            <w:r>
              <w:rPr>
                <w:color w:val="auto"/>
                <w:highlight w:val="none"/>
              </w:rPr>
              <w:t xml:space="preserve"> </w:t>
            </w:r>
            <w:r>
              <w:rPr>
                <w:color w:val="auto"/>
                <w:spacing w:val="2"/>
                <w:highlight w:val="none"/>
              </w:rPr>
              <w:t>同时提供项目须提供中标通知书或施工合同、项目负责人身份</w:t>
            </w:r>
            <w:r>
              <w:rPr>
                <w:color w:val="auto"/>
                <w:spacing w:val="9"/>
                <w:highlight w:val="none"/>
              </w:rPr>
              <w:t xml:space="preserve"> </w:t>
            </w:r>
            <w:r>
              <w:rPr>
                <w:color w:val="auto"/>
                <w:spacing w:val="1"/>
                <w:highlight w:val="none"/>
              </w:rPr>
              <w:t>证明、相关证书、劳动合同、在本单位缴纳的近</w:t>
            </w:r>
            <w:r>
              <w:rPr>
                <w:color w:val="auto"/>
                <w:spacing w:val="-30"/>
                <w:highlight w:val="none"/>
              </w:rPr>
              <w:t xml:space="preserve"> </w:t>
            </w:r>
            <w:r>
              <w:rPr>
                <w:color w:val="auto"/>
                <w:highlight w:val="none"/>
              </w:rPr>
              <w:t>1</w:t>
            </w:r>
            <w:r>
              <w:rPr>
                <w:color w:val="auto"/>
                <w:spacing w:val="-46"/>
                <w:highlight w:val="none"/>
              </w:rPr>
              <w:t xml:space="preserve"> </w:t>
            </w:r>
            <w:r>
              <w:rPr>
                <w:color w:val="auto"/>
                <w:highlight w:val="none"/>
              </w:rPr>
              <w:t xml:space="preserve">个月的社保 </w:t>
            </w:r>
            <w:r>
              <w:rPr>
                <w:color w:val="auto"/>
                <w:spacing w:val="2"/>
                <w:highlight w:val="none"/>
              </w:rPr>
              <w:t>缴纳证明等资料复印件加盖供应商公章，提供资料不齐全不得</w:t>
            </w:r>
            <w:r>
              <w:rPr>
                <w:color w:val="auto"/>
                <w:spacing w:val="11"/>
                <w:highlight w:val="none"/>
              </w:rPr>
              <w:t xml:space="preserve"> </w:t>
            </w:r>
            <w:r>
              <w:rPr>
                <w:color w:val="auto"/>
                <w:spacing w:val="-4"/>
                <w:highlight w:val="none"/>
              </w:rPr>
              <w:t>分。</w:t>
            </w:r>
          </w:p>
        </w:tc>
        <w:tc>
          <w:tcPr>
            <w:tcW w:w="612" w:type="dxa"/>
            <w:vAlign w:val="top"/>
          </w:tcPr>
          <w:p w14:paraId="39F58191">
            <w:pPr>
              <w:spacing w:line="270" w:lineRule="auto"/>
              <w:rPr>
                <w:rFonts w:ascii="Arial"/>
                <w:color w:val="auto"/>
                <w:sz w:val="21"/>
                <w:highlight w:val="none"/>
              </w:rPr>
            </w:pPr>
          </w:p>
          <w:p w14:paraId="338C8504">
            <w:pPr>
              <w:spacing w:line="271" w:lineRule="auto"/>
              <w:rPr>
                <w:rFonts w:ascii="Arial"/>
                <w:color w:val="auto"/>
                <w:sz w:val="21"/>
                <w:highlight w:val="none"/>
              </w:rPr>
            </w:pPr>
          </w:p>
          <w:p w14:paraId="08046FB1">
            <w:pPr>
              <w:spacing w:line="271" w:lineRule="auto"/>
              <w:rPr>
                <w:rFonts w:ascii="Arial"/>
                <w:color w:val="auto"/>
                <w:sz w:val="21"/>
                <w:highlight w:val="none"/>
              </w:rPr>
            </w:pPr>
          </w:p>
          <w:p w14:paraId="046C09B3">
            <w:pPr>
              <w:spacing w:line="271" w:lineRule="auto"/>
              <w:rPr>
                <w:rFonts w:ascii="Arial"/>
                <w:color w:val="auto"/>
                <w:sz w:val="21"/>
                <w:highlight w:val="none"/>
              </w:rPr>
            </w:pPr>
          </w:p>
          <w:p w14:paraId="78201882">
            <w:pPr>
              <w:pStyle w:val="14"/>
              <w:spacing w:before="78" w:line="183" w:lineRule="auto"/>
              <w:ind w:left="253"/>
              <w:rPr>
                <w:color w:val="auto"/>
                <w:highlight w:val="none"/>
              </w:rPr>
            </w:pPr>
            <w:r>
              <w:rPr>
                <w:color w:val="auto"/>
                <w:highlight w:val="none"/>
              </w:rPr>
              <w:t>6</w:t>
            </w:r>
          </w:p>
        </w:tc>
      </w:tr>
      <w:tr w14:paraId="66B2B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4" w:type="dxa"/>
            <w:vMerge w:val="continue"/>
            <w:tcBorders>
              <w:top w:val="nil"/>
            </w:tcBorders>
            <w:vAlign w:val="top"/>
          </w:tcPr>
          <w:p w14:paraId="58EF22FC">
            <w:pPr>
              <w:rPr>
                <w:rFonts w:ascii="Arial"/>
                <w:color w:val="auto"/>
                <w:sz w:val="21"/>
                <w:highlight w:val="none"/>
              </w:rPr>
            </w:pPr>
          </w:p>
        </w:tc>
        <w:tc>
          <w:tcPr>
            <w:tcW w:w="909" w:type="dxa"/>
            <w:vAlign w:val="top"/>
          </w:tcPr>
          <w:p w14:paraId="2520514C">
            <w:pPr>
              <w:spacing w:line="290" w:lineRule="auto"/>
              <w:rPr>
                <w:rFonts w:ascii="Arial"/>
                <w:color w:val="auto"/>
                <w:sz w:val="21"/>
                <w:highlight w:val="none"/>
              </w:rPr>
            </w:pPr>
          </w:p>
          <w:p w14:paraId="26F6B522">
            <w:pPr>
              <w:spacing w:line="290" w:lineRule="auto"/>
              <w:rPr>
                <w:rFonts w:ascii="Arial"/>
                <w:color w:val="auto"/>
                <w:sz w:val="21"/>
                <w:highlight w:val="none"/>
              </w:rPr>
            </w:pPr>
          </w:p>
          <w:p w14:paraId="625D3266">
            <w:pPr>
              <w:pStyle w:val="14"/>
              <w:spacing w:before="78" w:line="233" w:lineRule="auto"/>
              <w:ind w:left="337" w:right="93" w:hanging="236"/>
              <w:rPr>
                <w:color w:val="auto"/>
                <w:highlight w:val="none"/>
              </w:rPr>
            </w:pPr>
            <w:r>
              <w:rPr>
                <w:color w:val="auto"/>
                <w:spacing w:val="-4"/>
                <w:highlight w:val="none"/>
              </w:rPr>
              <w:t>人员配</w:t>
            </w:r>
            <w:r>
              <w:rPr>
                <w:color w:val="auto"/>
                <w:highlight w:val="none"/>
              </w:rPr>
              <w:t xml:space="preserve"> 置</w:t>
            </w:r>
          </w:p>
        </w:tc>
        <w:tc>
          <w:tcPr>
            <w:tcW w:w="6559" w:type="dxa"/>
            <w:vAlign w:val="top"/>
          </w:tcPr>
          <w:p w14:paraId="468B86F1">
            <w:pPr>
              <w:pStyle w:val="14"/>
              <w:spacing w:before="40" w:line="234" w:lineRule="auto"/>
              <w:ind w:left="9"/>
              <w:rPr>
                <w:color w:val="auto"/>
                <w:highlight w:val="none"/>
              </w:rPr>
            </w:pPr>
            <w:r>
              <w:rPr>
                <w:color w:val="auto"/>
                <w:highlight w:val="none"/>
              </w:rPr>
              <w:t>技术负责人、质量员、安全员、材料员、施工员、预算员、资 料员等要配备齐全，</w:t>
            </w:r>
            <w:r>
              <w:rPr>
                <w:rFonts w:hint="eastAsia"/>
                <w:color w:val="auto"/>
                <w:highlight w:val="none"/>
                <w:lang w:val="en-US" w:eastAsia="zh-CN"/>
              </w:rPr>
              <w:t>须附水利专业中级</w:t>
            </w:r>
            <w:r>
              <w:rPr>
                <w:color w:val="auto"/>
                <w:highlight w:val="none"/>
              </w:rPr>
              <w:t>职称证书</w:t>
            </w:r>
            <w:r>
              <w:rPr>
                <w:rFonts w:hint="eastAsia"/>
                <w:color w:val="auto"/>
                <w:highlight w:val="none"/>
                <w:lang w:val="en-US" w:eastAsia="zh-CN"/>
              </w:rPr>
              <w:t>及上岗证</w:t>
            </w:r>
            <w:r>
              <w:rPr>
                <w:color w:val="auto"/>
                <w:spacing w:val="-5"/>
                <w:highlight w:val="none"/>
              </w:rPr>
              <w:t>。每提供</w:t>
            </w:r>
            <w:r>
              <w:rPr>
                <w:color w:val="auto"/>
                <w:spacing w:val="-11"/>
                <w:highlight w:val="none"/>
              </w:rPr>
              <w:t xml:space="preserve"> </w:t>
            </w:r>
            <w:r>
              <w:rPr>
                <w:color w:val="auto"/>
                <w:spacing w:val="-5"/>
                <w:highlight w:val="none"/>
              </w:rPr>
              <w:t>1</w:t>
            </w:r>
            <w:r>
              <w:rPr>
                <w:color w:val="auto"/>
                <w:spacing w:val="-46"/>
                <w:highlight w:val="none"/>
              </w:rPr>
              <w:t xml:space="preserve"> </w:t>
            </w:r>
            <w:r>
              <w:rPr>
                <w:color w:val="auto"/>
                <w:spacing w:val="-5"/>
                <w:highlight w:val="none"/>
              </w:rPr>
              <w:t>名人员得</w:t>
            </w:r>
            <w:r>
              <w:rPr>
                <w:color w:val="auto"/>
                <w:spacing w:val="-29"/>
                <w:highlight w:val="none"/>
              </w:rPr>
              <w:t xml:space="preserve"> </w:t>
            </w:r>
            <w:r>
              <w:rPr>
                <w:color w:val="auto"/>
                <w:spacing w:val="-5"/>
                <w:highlight w:val="none"/>
              </w:rPr>
              <w:t>1</w:t>
            </w:r>
            <w:r>
              <w:rPr>
                <w:color w:val="auto"/>
                <w:spacing w:val="-46"/>
                <w:highlight w:val="none"/>
              </w:rPr>
              <w:t xml:space="preserve"> </w:t>
            </w:r>
            <w:r>
              <w:rPr>
                <w:color w:val="auto"/>
                <w:spacing w:val="-5"/>
                <w:highlight w:val="none"/>
              </w:rPr>
              <w:t>分，满分</w:t>
            </w:r>
            <w:r>
              <w:rPr>
                <w:color w:val="auto"/>
                <w:spacing w:val="-47"/>
                <w:highlight w:val="none"/>
              </w:rPr>
              <w:t xml:space="preserve"> </w:t>
            </w:r>
            <w:r>
              <w:rPr>
                <w:color w:val="auto"/>
                <w:spacing w:val="-5"/>
                <w:highlight w:val="none"/>
              </w:rPr>
              <w:t>6</w:t>
            </w:r>
            <w:r>
              <w:rPr>
                <w:color w:val="auto"/>
                <w:spacing w:val="-44"/>
                <w:highlight w:val="none"/>
              </w:rPr>
              <w:t xml:space="preserve"> </w:t>
            </w:r>
            <w:r>
              <w:rPr>
                <w:color w:val="auto"/>
                <w:spacing w:val="-5"/>
                <w:highlight w:val="none"/>
              </w:rPr>
              <w:t>分。注：人员必</w:t>
            </w:r>
            <w:r>
              <w:rPr>
                <w:color w:val="auto"/>
                <w:highlight w:val="none"/>
              </w:rPr>
              <w:t xml:space="preserve"> </w:t>
            </w:r>
            <w:r>
              <w:rPr>
                <w:color w:val="auto"/>
                <w:spacing w:val="1"/>
                <w:highlight w:val="none"/>
              </w:rPr>
              <w:t xml:space="preserve">须提供相关证明资料（包括但不限于：身份证明、相关证书、 </w:t>
            </w:r>
            <w:r>
              <w:rPr>
                <w:color w:val="auto"/>
                <w:spacing w:val="-5"/>
                <w:highlight w:val="none"/>
              </w:rPr>
              <w:t>劳动合同、在本单位缴纳的近</w:t>
            </w:r>
            <w:r>
              <w:rPr>
                <w:color w:val="auto"/>
                <w:spacing w:val="-34"/>
                <w:highlight w:val="none"/>
              </w:rPr>
              <w:t xml:space="preserve"> </w:t>
            </w:r>
            <w:r>
              <w:rPr>
                <w:color w:val="auto"/>
                <w:spacing w:val="-5"/>
                <w:highlight w:val="none"/>
              </w:rPr>
              <w:t>1</w:t>
            </w:r>
            <w:r>
              <w:rPr>
                <w:color w:val="auto"/>
                <w:spacing w:val="-51"/>
                <w:highlight w:val="none"/>
              </w:rPr>
              <w:t xml:space="preserve"> </w:t>
            </w:r>
            <w:r>
              <w:rPr>
                <w:color w:val="auto"/>
                <w:spacing w:val="-5"/>
                <w:highlight w:val="none"/>
              </w:rPr>
              <w:t>个月的社保缴纳证明等资料</w:t>
            </w:r>
            <w:r>
              <w:rPr>
                <w:color w:val="auto"/>
                <w:spacing w:val="-41"/>
                <w:highlight w:val="none"/>
              </w:rPr>
              <w:t>），</w:t>
            </w:r>
            <w:r>
              <w:rPr>
                <w:color w:val="auto"/>
                <w:highlight w:val="none"/>
              </w:rPr>
              <w:t xml:space="preserve"> </w:t>
            </w:r>
            <w:r>
              <w:rPr>
                <w:color w:val="auto"/>
                <w:spacing w:val="-3"/>
                <w:highlight w:val="none"/>
              </w:rPr>
              <w:t>提供资料不齐全不得分。</w:t>
            </w:r>
          </w:p>
        </w:tc>
        <w:tc>
          <w:tcPr>
            <w:tcW w:w="612" w:type="dxa"/>
            <w:vAlign w:val="top"/>
          </w:tcPr>
          <w:p w14:paraId="5BE3F886">
            <w:pPr>
              <w:spacing w:line="258" w:lineRule="auto"/>
              <w:rPr>
                <w:rFonts w:ascii="Arial"/>
                <w:color w:val="auto"/>
                <w:sz w:val="21"/>
                <w:highlight w:val="none"/>
              </w:rPr>
            </w:pPr>
          </w:p>
          <w:p w14:paraId="18B4A052">
            <w:pPr>
              <w:spacing w:line="258" w:lineRule="auto"/>
              <w:rPr>
                <w:rFonts w:ascii="Arial"/>
                <w:color w:val="auto"/>
                <w:sz w:val="21"/>
                <w:highlight w:val="none"/>
              </w:rPr>
            </w:pPr>
          </w:p>
          <w:p w14:paraId="75649B35">
            <w:pPr>
              <w:spacing w:line="258" w:lineRule="auto"/>
              <w:rPr>
                <w:rFonts w:ascii="Arial"/>
                <w:color w:val="auto"/>
                <w:sz w:val="21"/>
                <w:highlight w:val="none"/>
              </w:rPr>
            </w:pPr>
          </w:p>
          <w:p w14:paraId="3B290FDF">
            <w:pPr>
              <w:pStyle w:val="14"/>
              <w:spacing w:before="78" w:line="183" w:lineRule="auto"/>
              <w:ind w:left="253"/>
              <w:rPr>
                <w:color w:val="auto"/>
                <w:highlight w:val="none"/>
              </w:rPr>
            </w:pPr>
            <w:r>
              <w:rPr>
                <w:color w:val="auto"/>
                <w:highlight w:val="none"/>
              </w:rPr>
              <w:t>6</w:t>
            </w:r>
          </w:p>
        </w:tc>
      </w:tr>
      <w:tr w14:paraId="226E8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974" w:type="dxa"/>
            <w:vMerge w:val="restart"/>
            <w:tcBorders>
              <w:bottom w:val="nil"/>
            </w:tcBorders>
            <w:vAlign w:val="top"/>
          </w:tcPr>
          <w:p w14:paraId="145012AB">
            <w:pPr>
              <w:spacing w:line="255" w:lineRule="auto"/>
              <w:rPr>
                <w:rFonts w:ascii="Arial"/>
                <w:color w:val="auto"/>
                <w:sz w:val="21"/>
                <w:highlight w:val="none"/>
              </w:rPr>
            </w:pPr>
          </w:p>
          <w:p w14:paraId="60AA0F89">
            <w:pPr>
              <w:spacing w:line="255" w:lineRule="auto"/>
              <w:rPr>
                <w:rFonts w:ascii="Arial"/>
                <w:color w:val="auto"/>
                <w:sz w:val="21"/>
                <w:highlight w:val="none"/>
              </w:rPr>
            </w:pPr>
          </w:p>
          <w:p w14:paraId="2A18BACD">
            <w:pPr>
              <w:spacing w:line="255" w:lineRule="auto"/>
              <w:rPr>
                <w:rFonts w:ascii="Arial"/>
                <w:color w:val="auto"/>
                <w:sz w:val="21"/>
                <w:highlight w:val="none"/>
              </w:rPr>
            </w:pPr>
          </w:p>
          <w:p w14:paraId="2B9BCE36">
            <w:pPr>
              <w:spacing w:line="255" w:lineRule="auto"/>
              <w:rPr>
                <w:rFonts w:ascii="Arial"/>
                <w:color w:val="auto"/>
                <w:sz w:val="21"/>
                <w:highlight w:val="none"/>
              </w:rPr>
            </w:pPr>
          </w:p>
          <w:p w14:paraId="140F899C">
            <w:pPr>
              <w:spacing w:line="255" w:lineRule="auto"/>
              <w:rPr>
                <w:rFonts w:ascii="Arial"/>
                <w:color w:val="auto"/>
                <w:sz w:val="21"/>
                <w:highlight w:val="none"/>
              </w:rPr>
            </w:pPr>
          </w:p>
          <w:p w14:paraId="1400ABF6">
            <w:pPr>
              <w:spacing w:line="256" w:lineRule="auto"/>
              <w:rPr>
                <w:rFonts w:ascii="Arial"/>
                <w:color w:val="auto"/>
                <w:sz w:val="21"/>
                <w:highlight w:val="none"/>
              </w:rPr>
            </w:pPr>
          </w:p>
          <w:p w14:paraId="02C14F6F">
            <w:pPr>
              <w:spacing w:line="256" w:lineRule="auto"/>
              <w:rPr>
                <w:rFonts w:ascii="Arial"/>
                <w:color w:val="auto"/>
                <w:sz w:val="21"/>
                <w:highlight w:val="none"/>
              </w:rPr>
            </w:pPr>
          </w:p>
          <w:p w14:paraId="54505BC1">
            <w:pPr>
              <w:spacing w:line="256" w:lineRule="auto"/>
              <w:rPr>
                <w:rFonts w:ascii="Arial"/>
                <w:color w:val="auto"/>
                <w:sz w:val="21"/>
                <w:highlight w:val="none"/>
              </w:rPr>
            </w:pPr>
          </w:p>
          <w:p w14:paraId="4A5D4698">
            <w:pPr>
              <w:spacing w:line="256" w:lineRule="auto"/>
              <w:rPr>
                <w:rFonts w:ascii="Arial"/>
                <w:color w:val="auto"/>
                <w:sz w:val="21"/>
                <w:highlight w:val="none"/>
              </w:rPr>
            </w:pPr>
          </w:p>
          <w:p w14:paraId="3114258C">
            <w:pPr>
              <w:spacing w:line="256" w:lineRule="auto"/>
              <w:rPr>
                <w:rFonts w:ascii="Arial"/>
                <w:color w:val="auto"/>
                <w:sz w:val="21"/>
                <w:highlight w:val="none"/>
              </w:rPr>
            </w:pPr>
          </w:p>
          <w:p w14:paraId="21E5D4A2">
            <w:pPr>
              <w:spacing w:line="256" w:lineRule="auto"/>
              <w:rPr>
                <w:rFonts w:ascii="Arial"/>
                <w:color w:val="auto"/>
                <w:sz w:val="21"/>
                <w:highlight w:val="none"/>
              </w:rPr>
            </w:pPr>
          </w:p>
          <w:p w14:paraId="5BF95585">
            <w:pPr>
              <w:spacing w:line="256" w:lineRule="auto"/>
              <w:rPr>
                <w:rFonts w:ascii="Arial"/>
                <w:color w:val="auto"/>
                <w:sz w:val="21"/>
                <w:highlight w:val="none"/>
              </w:rPr>
            </w:pPr>
          </w:p>
          <w:p w14:paraId="7F15E0B9">
            <w:pPr>
              <w:pStyle w:val="14"/>
              <w:spacing w:before="78" w:line="219" w:lineRule="auto"/>
              <w:ind w:left="14"/>
              <w:rPr>
                <w:color w:val="auto"/>
                <w:highlight w:val="none"/>
              </w:rPr>
            </w:pPr>
            <w:r>
              <w:rPr>
                <w:color w:val="auto"/>
                <w:spacing w:val="-3"/>
                <w:highlight w:val="none"/>
              </w:rPr>
              <w:t>技术部分</w:t>
            </w:r>
          </w:p>
        </w:tc>
        <w:tc>
          <w:tcPr>
            <w:tcW w:w="909" w:type="dxa"/>
            <w:vAlign w:val="top"/>
          </w:tcPr>
          <w:p w14:paraId="02DDBBF3">
            <w:pPr>
              <w:spacing w:line="271" w:lineRule="auto"/>
              <w:rPr>
                <w:rFonts w:ascii="Arial"/>
                <w:color w:val="auto"/>
                <w:sz w:val="21"/>
                <w:highlight w:val="none"/>
              </w:rPr>
            </w:pPr>
          </w:p>
          <w:p w14:paraId="1DA63061">
            <w:pPr>
              <w:spacing w:line="271" w:lineRule="auto"/>
              <w:rPr>
                <w:rFonts w:ascii="Arial"/>
                <w:color w:val="auto"/>
                <w:sz w:val="21"/>
                <w:highlight w:val="none"/>
              </w:rPr>
            </w:pPr>
          </w:p>
          <w:p w14:paraId="7F21B06E">
            <w:pPr>
              <w:spacing w:line="271" w:lineRule="auto"/>
              <w:rPr>
                <w:rFonts w:ascii="Arial"/>
                <w:color w:val="auto"/>
                <w:sz w:val="21"/>
                <w:highlight w:val="none"/>
              </w:rPr>
            </w:pPr>
          </w:p>
          <w:p w14:paraId="04FCE590">
            <w:pPr>
              <w:spacing w:line="272" w:lineRule="auto"/>
              <w:rPr>
                <w:rFonts w:ascii="Arial"/>
                <w:color w:val="auto"/>
                <w:sz w:val="21"/>
                <w:highlight w:val="none"/>
              </w:rPr>
            </w:pPr>
          </w:p>
          <w:p w14:paraId="7F1B974F">
            <w:pPr>
              <w:spacing w:line="272" w:lineRule="auto"/>
              <w:rPr>
                <w:rFonts w:ascii="Arial"/>
                <w:color w:val="auto"/>
                <w:sz w:val="21"/>
                <w:highlight w:val="none"/>
              </w:rPr>
            </w:pPr>
          </w:p>
          <w:p w14:paraId="7368E5EC">
            <w:pPr>
              <w:pStyle w:val="14"/>
              <w:spacing w:before="78" w:line="230" w:lineRule="auto"/>
              <w:ind w:left="102" w:right="93"/>
              <w:rPr>
                <w:color w:val="auto"/>
                <w:highlight w:val="none"/>
              </w:rPr>
            </w:pPr>
            <w:r>
              <w:rPr>
                <w:color w:val="auto"/>
                <w:spacing w:val="-5"/>
                <w:highlight w:val="none"/>
              </w:rPr>
              <w:t>项目施</w:t>
            </w:r>
            <w:r>
              <w:rPr>
                <w:color w:val="auto"/>
                <w:highlight w:val="none"/>
              </w:rPr>
              <w:t xml:space="preserve"> </w:t>
            </w:r>
            <w:r>
              <w:rPr>
                <w:color w:val="auto"/>
                <w:spacing w:val="-5"/>
                <w:highlight w:val="none"/>
              </w:rPr>
              <w:t>工方案</w:t>
            </w:r>
          </w:p>
        </w:tc>
        <w:tc>
          <w:tcPr>
            <w:tcW w:w="6559" w:type="dxa"/>
            <w:vAlign w:val="top"/>
          </w:tcPr>
          <w:p w14:paraId="6B6FC307">
            <w:pPr>
              <w:pStyle w:val="14"/>
              <w:spacing w:before="39" w:line="236" w:lineRule="auto"/>
              <w:ind w:left="8"/>
              <w:jc w:val="both"/>
              <w:rPr>
                <w:color w:val="auto"/>
                <w:highlight w:val="none"/>
              </w:rPr>
            </w:pPr>
            <w:r>
              <w:rPr>
                <w:color w:val="auto"/>
                <w:spacing w:val="11"/>
                <w:highlight w:val="none"/>
              </w:rPr>
              <w:t>评审小组根据供应商针对本项目提供的项目施工方案进行评</w:t>
            </w:r>
            <w:r>
              <w:rPr>
                <w:color w:val="auto"/>
                <w:spacing w:val="16"/>
                <w:highlight w:val="none"/>
              </w:rPr>
              <w:t xml:space="preserve"> </w:t>
            </w:r>
            <w:r>
              <w:rPr>
                <w:color w:val="auto"/>
                <w:spacing w:val="3"/>
                <w:highlight w:val="none"/>
              </w:rPr>
              <w:t>审，方案内容至少包含</w:t>
            </w:r>
            <w:r>
              <w:rPr>
                <w:color w:val="auto"/>
                <w:spacing w:val="-8"/>
                <w:highlight w:val="none"/>
              </w:rPr>
              <w:t>：（</w:t>
            </w:r>
            <w:r>
              <w:rPr>
                <w:color w:val="auto"/>
                <w:spacing w:val="3"/>
                <w:highlight w:val="none"/>
              </w:rPr>
              <w:t>1）项目部各职能机构设置（2）本</w:t>
            </w:r>
            <w:r>
              <w:rPr>
                <w:color w:val="auto"/>
                <w:highlight w:val="none"/>
              </w:rPr>
              <w:t xml:space="preserve"> </w:t>
            </w:r>
            <w:r>
              <w:rPr>
                <w:color w:val="auto"/>
                <w:spacing w:val="-2"/>
                <w:highlight w:val="none"/>
              </w:rPr>
              <w:t>项目施工的具体方法与流程（3）施工环节的注意事项及施工现</w:t>
            </w:r>
            <w:r>
              <w:rPr>
                <w:color w:val="auto"/>
                <w:highlight w:val="none"/>
              </w:rPr>
              <w:t xml:space="preserve"> </w:t>
            </w:r>
            <w:r>
              <w:rPr>
                <w:color w:val="auto"/>
                <w:spacing w:val="2"/>
                <w:highlight w:val="none"/>
              </w:rPr>
              <w:t>场管控措施（4）施工组织管理体系（5）针对本项目施工过程</w:t>
            </w:r>
            <w:r>
              <w:rPr>
                <w:color w:val="auto"/>
                <w:spacing w:val="6"/>
                <w:highlight w:val="none"/>
              </w:rPr>
              <w:t xml:space="preserve"> </w:t>
            </w:r>
            <w:r>
              <w:rPr>
                <w:color w:val="auto"/>
                <w:spacing w:val="-1"/>
                <w:highlight w:val="none"/>
              </w:rPr>
              <w:t>的重难点分析及应对措施。</w:t>
            </w:r>
          </w:p>
          <w:p w14:paraId="2DB9F416">
            <w:pPr>
              <w:pStyle w:val="14"/>
              <w:spacing w:before="27" w:line="234" w:lineRule="auto"/>
              <w:ind w:left="10"/>
              <w:jc w:val="both"/>
              <w:rPr>
                <w:color w:val="auto"/>
                <w:highlight w:val="none"/>
              </w:rPr>
            </w:pPr>
            <w:r>
              <w:rPr>
                <w:color w:val="auto"/>
                <w:spacing w:val="-4"/>
                <w:highlight w:val="none"/>
              </w:rPr>
              <w:t>方案完整包含以上内容且满足本项目要求得</w:t>
            </w:r>
            <w:r>
              <w:rPr>
                <w:color w:val="auto"/>
                <w:spacing w:val="-18"/>
                <w:highlight w:val="none"/>
              </w:rPr>
              <w:t xml:space="preserve"> </w:t>
            </w:r>
            <w:r>
              <w:rPr>
                <w:color w:val="auto"/>
                <w:spacing w:val="-4"/>
                <w:highlight w:val="none"/>
              </w:rPr>
              <w:t>10</w:t>
            </w:r>
            <w:r>
              <w:rPr>
                <w:color w:val="auto"/>
                <w:spacing w:val="-48"/>
                <w:highlight w:val="none"/>
              </w:rPr>
              <w:t xml:space="preserve"> </w:t>
            </w:r>
            <w:r>
              <w:rPr>
                <w:color w:val="auto"/>
                <w:spacing w:val="-4"/>
                <w:highlight w:val="none"/>
              </w:rPr>
              <w:t>分，每缺一项扣</w:t>
            </w:r>
            <w:r>
              <w:rPr>
                <w:color w:val="auto"/>
                <w:highlight w:val="none"/>
              </w:rPr>
              <w:t xml:space="preserve"> </w:t>
            </w:r>
            <w:r>
              <w:rPr>
                <w:color w:val="auto"/>
                <w:spacing w:val="-5"/>
                <w:highlight w:val="none"/>
              </w:rPr>
              <w:t>2</w:t>
            </w:r>
            <w:r>
              <w:rPr>
                <w:color w:val="auto"/>
                <w:spacing w:val="-39"/>
                <w:highlight w:val="none"/>
              </w:rPr>
              <w:t xml:space="preserve"> </w:t>
            </w:r>
            <w:r>
              <w:rPr>
                <w:color w:val="auto"/>
                <w:spacing w:val="-5"/>
                <w:highlight w:val="none"/>
              </w:rPr>
              <w:t>分，每有一处不完整或不符合本项目特点或实际采购需求的扣</w:t>
            </w:r>
            <w:r>
              <w:rPr>
                <w:color w:val="auto"/>
                <w:highlight w:val="none"/>
              </w:rPr>
              <w:t xml:space="preserve"> </w:t>
            </w:r>
            <w:r>
              <w:rPr>
                <w:color w:val="auto"/>
                <w:spacing w:val="-2"/>
                <w:highlight w:val="none"/>
              </w:rPr>
              <w:t>1</w:t>
            </w:r>
            <w:r>
              <w:rPr>
                <w:color w:val="auto"/>
                <w:spacing w:val="-45"/>
                <w:highlight w:val="none"/>
              </w:rPr>
              <w:t xml:space="preserve"> </w:t>
            </w:r>
            <w:r>
              <w:rPr>
                <w:color w:val="auto"/>
                <w:spacing w:val="-2"/>
                <w:highlight w:val="none"/>
              </w:rPr>
              <w:t>分，本项最多扣</w:t>
            </w:r>
            <w:r>
              <w:rPr>
                <w:color w:val="auto"/>
                <w:spacing w:val="-30"/>
                <w:highlight w:val="none"/>
              </w:rPr>
              <w:t xml:space="preserve"> </w:t>
            </w:r>
            <w:r>
              <w:rPr>
                <w:color w:val="auto"/>
                <w:spacing w:val="-2"/>
                <w:highlight w:val="none"/>
              </w:rPr>
              <w:t>10</w:t>
            </w:r>
            <w:r>
              <w:rPr>
                <w:color w:val="auto"/>
                <w:spacing w:val="-48"/>
                <w:highlight w:val="none"/>
              </w:rPr>
              <w:t xml:space="preserve"> </w:t>
            </w:r>
            <w:r>
              <w:rPr>
                <w:color w:val="auto"/>
                <w:spacing w:val="-2"/>
                <w:highlight w:val="none"/>
              </w:rPr>
              <w:t>分。备注：不符合本项目特点或实际采购</w:t>
            </w:r>
            <w:r>
              <w:rPr>
                <w:color w:val="auto"/>
                <w:highlight w:val="none"/>
              </w:rPr>
              <w:t xml:space="preserve"> </w:t>
            </w:r>
            <w:r>
              <w:rPr>
                <w:color w:val="auto"/>
                <w:spacing w:val="2"/>
                <w:highlight w:val="none"/>
              </w:rPr>
              <w:t>需求指：项目名称、实施地点、涉及的规范、标准与本项目要</w:t>
            </w:r>
            <w:r>
              <w:rPr>
                <w:color w:val="auto"/>
                <w:spacing w:val="5"/>
                <w:highlight w:val="none"/>
              </w:rPr>
              <w:t xml:space="preserve"> </w:t>
            </w:r>
            <w:r>
              <w:rPr>
                <w:color w:val="auto"/>
                <w:spacing w:val="1"/>
                <w:highlight w:val="none"/>
              </w:rPr>
              <w:t>求不一致；不符合本项目实际需求的等情况，此处“等</w:t>
            </w:r>
            <w:r>
              <w:rPr>
                <w:color w:val="auto"/>
                <w:spacing w:val="-86"/>
                <w:highlight w:val="none"/>
              </w:rPr>
              <w:t xml:space="preserve"> </w:t>
            </w:r>
            <w:r>
              <w:rPr>
                <w:color w:val="auto"/>
                <w:spacing w:val="1"/>
                <w:highlight w:val="none"/>
              </w:rPr>
              <w:t>”</w:t>
            </w:r>
            <w:r>
              <w:rPr>
                <w:color w:val="auto"/>
                <w:highlight w:val="none"/>
              </w:rPr>
              <w:t xml:space="preserve">为等 </w:t>
            </w:r>
            <w:r>
              <w:rPr>
                <w:color w:val="auto"/>
                <w:spacing w:val="-3"/>
                <w:highlight w:val="none"/>
              </w:rPr>
              <w:t>外的意思。</w:t>
            </w:r>
          </w:p>
        </w:tc>
        <w:tc>
          <w:tcPr>
            <w:tcW w:w="612" w:type="dxa"/>
            <w:vAlign w:val="top"/>
          </w:tcPr>
          <w:p w14:paraId="1AEBC51A">
            <w:pPr>
              <w:spacing w:line="258" w:lineRule="auto"/>
              <w:rPr>
                <w:rFonts w:ascii="Arial"/>
                <w:color w:val="auto"/>
                <w:sz w:val="21"/>
                <w:highlight w:val="none"/>
              </w:rPr>
            </w:pPr>
          </w:p>
          <w:p w14:paraId="6B50B21A">
            <w:pPr>
              <w:spacing w:line="258" w:lineRule="auto"/>
              <w:rPr>
                <w:rFonts w:ascii="Arial"/>
                <w:color w:val="auto"/>
                <w:sz w:val="21"/>
                <w:highlight w:val="none"/>
              </w:rPr>
            </w:pPr>
          </w:p>
          <w:p w14:paraId="782E49BC">
            <w:pPr>
              <w:spacing w:line="258" w:lineRule="auto"/>
              <w:rPr>
                <w:rFonts w:ascii="Arial"/>
                <w:color w:val="auto"/>
                <w:sz w:val="21"/>
                <w:highlight w:val="none"/>
              </w:rPr>
            </w:pPr>
          </w:p>
          <w:p w14:paraId="771AD2A4">
            <w:pPr>
              <w:spacing w:line="258" w:lineRule="auto"/>
              <w:rPr>
                <w:rFonts w:ascii="Arial"/>
                <w:color w:val="auto"/>
                <w:sz w:val="21"/>
                <w:highlight w:val="none"/>
              </w:rPr>
            </w:pPr>
          </w:p>
          <w:p w14:paraId="36D07A1A">
            <w:pPr>
              <w:spacing w:line="258" w:lineRule="auto"/>
              <w:rPr>
                <w:rFonts w:ascii="Arial"/>
                <w:color w:val="auto"/>
                <w:sz w:val="21"/>
                <w:highlight w:val="none"/>
              </w:rPr>
            </w:pPr>
          </w:p>
          <w:p w14:paraId="62ABE925">
            <w:pPr>
              <w:spacing w:line="258" w:lineRule="auto"/>
              <w:rPr>
                <w:rFonts w:ascii="Arial"/>
                <w:color w:val="auto"/>
                <w:sz w:val="21"/>
                <w:highlight w:val="none"/>
              </w:rPr>
            </w:pPr>
          </w:p>
          <w:p w14:paraId="708BCD86">
            <w:pPr>
              <w:pStyle w:val="14"/>
              <w:spacing w:before="78" w:line="184" w:lineRule="auto"/>
              <w:ind w:left="209"/>
              <w:rPr>
                <w:color w:val="auto"/>
                <w:spacing w:val="-14"/>
                <w:highlight w:val="none"/>
              </w:rPr>
            </w:pPr>
            <w:r>
              <w:rPr>
                <w:color w:val="auto"/>
                <w:spacing w:val="-14"/>
                <w:highlight w:val="none"/>
              </w:rPr>
              <w:t>10</w:t>
            </w:r>
          </w:p>
          <w:p w14:paraId="6112D6D3">
            <w:pPr>
              <w:pStyle w:val="14"/>
              <w:spacing w:before="78" w:line="184" w:lineRule="auto"/>
              <w:ind w:left="209"/>
              <w:rPr>
                <w:color w:val="auto"/>
                <w:spacing w:val="-14"/>
                <w:highlight w:val="none"/>
              </w:rPr>
            </w:pPr>
          </w:p>
        </w:tc>
      </w:tr>
      <w:tr w14:paraId="58EA3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974" w:type="dxa"/>
            <w:vMerge w:val="continue"/>
            <w:tcBorders>
              <w:top w:val="nil"/>
            </w:tcBorders>
            <w:vAlign w:val="top"/>
          </w:tcPr>
          <w:p w14:paraId="7136B9CC">
            <w:pPr>
              <w:rPr>
                <w:rFonts w:ascii="Arial"/>
                <w:color w:val="auto"/>
                <w:sz w:val="21"/>
                <w:highlight w:val="none"/>
              </w:rPr>
            </w:pPr>
          </w:p>
        </w:tc>
        <w:tc>
          <w:tcPr>
            <w:tcW w:w="909" w:type="dxa"/>
            <w:vAlign w:val="top"/>
          </w:tcPr>
          <w:p w14:paraId="3FA18B35">
            <w:pPr>
              <w:rPr>
                <w:rFonts w:ascii="Arial"/>
                <w:color w:val="auto"/>
                <w:sz w:val="21"/>
                <w:highlight w:val="none"/>
              </w:rPr>
            </w:pPr>
          </w:p>
          <w:p w14:paraId="60EFF36E">
            <w:pPr>
              <w:rPr>
                <w:rFonts w:ascii="Arial"/>
                <w:color w:val="auto"/>
                <w:sz w:val="21"/>
                <w:highlight w:val="none"/>
              </w:rPr>
            </w:pPr>
          </w:p>
          <w:p w14:paraId="30FE7BD2">
            <w:pPr>
              <w:rPr>
                <w:rFonts w:ascii="Arial"/>
                <w:color w:val="auto"/>
                <w:sz w:val="21"/>
                <w:highlight w:val="none"/>
              </w:rPr>
            </w:pPr>
          </w:p>
          <w:p w14:paraId="0C37DF56">
            <w:pPr>
              <w:spacing w:line="241" w:lineRule="auto"/>
              <w:rPr>
                <w:rFonts w:ascii="Arial"/>
                <w:color w:val="auto"/>
                <w:sz w:val="21"/>
                <w:highlight w:val="none"/>
              </w:rPr>
            </w:pPr>
          </w:p>
          <w:p w14:paraId="3A487C01">
            <w:pPr>
              <w:spacing w:line="241" w:lineRule="auto"/>
              <w:rPr>
                <w:rFonts w:ascii="Arial"/>
                <w:color w:val="auto"/>
                <w:sz w:val="21"/>
                <w:highlight w:val="none"/>
              </w:rPr>
            </w:pPr>
          </w:p>
          <w:p w14:paraId="4C733767">
            <w:pPr>
              <w:pStyle w:val="14"/>
              <w:spacing w:before="78" w:line="230" w:lineRule="auto"/>
              <w:ind w:left="99" w:right="93"/>
              <w:rPr>
                <w:color w:val="auto"/>
                <w:highlight w:val="none"/>
              </w:rPr>
            </w:pPr>
            <w:r>
              <w:rPr>
                <w:color w:val="auto"/>
                <w:spacing w:val="-4"/>
                <w:highlight w:val="none"/>
              </w:rPr>
              <w:t>质量保</w:t>
            </w:r>
            <w:r>
              <w:rPr>
                <w:color w:val="auto"/>
                <w:highlight w:val="none"/>
              </w:rPr>
              <w:t xml:space="preserve"> </w:t>
            </w:r>
            <w:r>
              <w:rPr>
                <w:color w:val="auto"/>
                <w:spacing w:val="-4"/>
                <w:highlight w:val="none"/>
              </w:rPr>
              <w:t>证措施</w:t>
            </w:r>
          </w:p>
        </w:tc>
        <w:tc>
          <w:tcPr>
            <w:tcW w:w="6559" w:type="dxa"/>
            <w:vAlign w:val="top"/>
          </w:tcPr>
          <w:p w14:paraId="002B0E07">
            <w:pPr>
              <w:pStyle w:val="14"/>
              <w:spacing w:before="37" w:line="236" w:lineRule="auto"/>
              <w:ind w:left="8"/>
              <w:jc w:val="both"/>
              <w:rPr>
                <w:color w:val="auto"/>
                <w:highlight w:val="none"/>
              </w:rPr>
            </w:pPr>
            <w:r>
              <w:rPr>
                <w:color w:val="auto"/>
                <w:spacing w:val="11"/>
                <w:highlight w:val="none"/>
              </w:rPr>
              <w:t>评审小组根据供应商针对本项目提供的质量保证措施进行评</w:t>
            </w:r>
            <w:r>
              <w:rPr>
                <w:color w:val="auto"/>
                <w:spacing w:val="16"/>
                <w:highlight w:val="none"/>
              </w:rPr>
              <w:t xml:space="preserve"> </w:t>
            </w:r>
            <w:r>
              <w:rPr>
                <w:color w:val="auto"/>
                <w:spacing w:val="3"/>
                <w:highlight w:val="none"/>
              </w:rPr>
              <w:t>审，措施内容至少包含</w:t>
            </w:r>
            <w:r>
              <w:rPr>
                <w:color w:val="auto"/>
                <w:spacing w:val="-7"/>
                <w:highlight w:val="none"/>
              </w:rPr>
              <w:t>：（</w:t>
            </w:r>
            <w:r>
              <w:rPr>
                <w:color w:val="auto"/>
                <w:spacing w:val="3"/>
                <w:highlight w:val="none"/>
              </w:rPr>
              <w:t>1）质量管理目标（2）质量管理体</w:t>
            </w:r>
            <w:r>
              <w:rPr>
                <w:color w:val="auto"/>
                <w:highlight w:val="none"/>
              </w:rPr>
              <w:t xml:space="preserve"> </w:t>
            </w:r>
            <w:r>
              <w:rPr>
                <w:color w:val="auto"/>
                <w:spacing w:val="2"/>
                <w:highlight w:val="none"/>
              </w:rPr>
              <w:t>系（3）施工原材料质量保证措施（4）工程施工的质量保证措</w:t>
            </w:r>
            <w:r>
              <w:rPr>
                <w:color w:val="auto"/>
                <w:spacing w:val="6"/>
                <w:highlight w:val="none"/>
              </w:rPr>
              <w:t xml:space="preserve"> </w:t>
            </w:r>
            <w:r>
              <w:rPr>
                <w:color w:val="auto"/>
                <w:spacing w:val="-5"/>
                <w:highlight w:val="none"/>
              </w:rPr>
              <w:t>施。</w:t>
            </w:r>
          </w:p>
          <w:p w14:paraId="25175917">
            <w:pPr>
              <w:pStyle w:val="14"/>
              <w:spacing w:before="25" w:line="234" w:lineRule="auto"/>
              <w:ind w:left="10"/>
              <w:jc w:val="both"/>
              <w:rPr>
                <w:color w:val="auto"/>
                <w:highlight w:val="none"/>
              </w:rPr>
            </w:pPr>
            <w:r>
              <w:rPr>
                <w:color w:val="auto"/>
                <w:spacing w:val="-6"/>
                <w:highlight w:val="none"/>
              </w:rPr>
              <w:t>方案完整包含以上内容且满足本项目要求得</w:t>
            </w:r>
            <w:r>
              <w:rPr>
                <w:color w:val="auto"/>
                <w:spacing w:val="-34"/>
                <w:highlight w:val="none"/>
              </w:rPr>
              <w:t xml:space="preserve"> </w:t>
            </w:r>
            <w:r>
              <w:rPr>
                <w:color w:val="auto"/>
                <w:spacing w:val="-6"/>
                <w:highlight w:val="none"/>
              </w:rPr>
              <w:t>8</w:t>
            </w:r>
            <w:r>
              <w:rPr>
                <w:color w:val="auto"/>
                <w:spacing w:val="-48"/>
                <w:highlight w:val="none"/>
              </w:rPr>
              <w:t xml:space="preserve"> </w:t>
            </w:r>
            <w:r>
              <w:rPr>
                <w:color w:val="auto"/>
                <w:spacing w:val="-6"/>
                <w:highlight w:val="none"/>
              </w:rPr>
              <w:t>分，每缺一项扣</w:t>
            </w:r>
            <w:r>
              <w:rPr>
                <w:color w:val="auto"/>
                <w:spacing w:val="-48"/>
                <w:highlight w:val="none"/>
              </w:rPr>
              <w:t xml:space="preserve"> </w:t>
            </w:r>
            <w:r>
              <w:rPr>
                <w:color w:val="auto"/>
                <w:spacing w:val="-6"/>
                <w:highlight w:val="none"/>
              </w:rPr>
              <w:t>2</w:t>
            </w:r>
            <w:r>
              <w:rPr>
                <w:color w:val="auto"/>
                <w:highlight w:val="none"/>
              </w:rPr>
              <w:t xml:space="preserve"> </w:t>
            </w:r>
            <w:r>
              <w:rPr>
                <w:color w:val="auto"/>
                <w:spacing w:val="-5"/>
                <w:highlight w:val="none"/>
              </w:rPr>
              <w:t>分，每有一处不完整或不符合本项目特点或实际采</w:t>
            </w:r>
            <w:r>
              <w:rPr>
                <w:color w:val="auto"/>
                <w:spacing w:val="-6"/>
                <w:highlight w:val="none"/>
              </w:rPr>
              <w:t>购需求的扣</w:t>
            </w:r>
            <w:r>
              <w:rPr>
                <w:color w:val="auto"/>
                <w:spacing w:val="-33"/>
                <w:highlight w:val="none"/>
              </w:rPr>
              <w:t xml:space="preserve"> </w:t>
            </w:r>
            <w:r>
              <w:rPr>
                <w:color w:val="auto"/>
                <w:spacing w:val="-6"/>
                <w:highlight w:val="none"/>
              </w:rPr>
              <w:t>1</w:t>
            </w:r>
            <w:r>
              <w:rPr>
                <w:color w:val="auto"/>
                <w:highlight w:val="none"/>
              </w:rPr>
              <w:t xml:space="preserve"> </w:t>
            </w:r>
            <w:r>
              <w:rPr>
                <w:color w:val="auto"/>
                <w:spacing w:val="1"/>
                <w:highlight w:val="none"/>
              </w:rPr>
              <w:t>分，本项最多扣</w:t>
            </w:r>
            <w:r>
              <w:rPr>
                <w:color w:val="auto"/>
                <w:spacing w:val="-43"/>
                <w:highlight w:val="none"/>
              </w:rPr>
              <w:t xml:space="preserve"> </w:t>
            </w:r>
            <w:r>
              <w:rPr>
                <w:color w:val="auto"/>
                <w:spacing w:val="1"/>
                <w:highlight w:val="none"/>
              </w:rPr>
              <w:t>8</w:t>
            </w:r>
            <w:r>
              <w:rPr>
                <w:color w:val="auto"/>
                <w:spacing w:val="-45"/>
                <w:highlight w:val="none"/>
              </w:rPr>
              <w:t xml:space="preserve"> </w:t>
            </w:r>
            <w:r>
              <w:rPr>
                <w:color w:val="auto"/>
                <w:spacing w:val="1"/>
                <w:highlight w:val="none"/>
              </w:rPr>
              <w:t>分。备注：不符合本项目特点或实际采购需</w:t>
            </w:r>
            <w:r>
              <w:rPr>
                <w:color w:val="auto"/>
                <w:highlight w:val="none"/>
              </w:rPr>
              <w:t xml:space="preserve"> </w:t>
            </w:r>
            <w:r>
              <w:rPr>
                <w:color w:val="auto"/>
                <w:spacing w:val="2"/>
                <w:highlight w:val="none"/>
              </w:rPr>
              <w:t>求指：项目名称、实施地点、涉及的规范、标准与本项目要求</w:t>
            </w:r>
            <w:r>
              <w:rPr>
                <w:color w:val="auto"/>
                <w:spacing w:val="5"/>
                <w:highlight w:val="none"/>
              </w:rPr>
              <w:t xml:space="preserve"> </w:t>
            </w:r>
            <w:r>
              <w:rPr>
                <w:color w:val="auto"/>
                <w:spacing w:val="1"/>
                <w:highlight w:val="none"/>
              </w:rPr>
              <w:t>不一致；不符合本项目实际需求的等情况，此处“等</w:t>
            </w:r>
            <w:r>
              <w:rPr>
                <w:color w:val="auto"/>
                <w:spacing w:val="-86"/>
                <w:highlight w:val="none"/>
              </w:rPr>
              <w:t xml:space="preserve"> </w:t>
            </w:r>
            <w:r>
              <w:rPr>
                <w:color w:val="auto"/>
                <w:spacing w:val="1"/>
                <w:highlight w:val="none"/>
              </w:rPr>
              <w:t>”为</w:t>
            </w:r>
            <w:r>
              <w:rPr>
                <w:color w:val="auto"/>
                <w:highlight w:val="none"/>
              </w:rPr>
              <w:t xml:space="preserve">等外 </w:t>
            </w:r>
            <w:r>
              <w:rPr>
                <w:color w:val="auto"/>
                <w:spacing w:val="-3"/>
                <w:highlight w:val="none"/>
              </w:rPr>
              <w:t>的意思。</w:t>
            </w:r>
          </w:p>
        </w:tc>
        <w:tc>
          <w:tcPr>
            <w:tcW w:w="612" w:type="dxa"/>
            <w:vAlign w:val="top"/>
          </w:tcPr>
          <w:p w14:paraId="10C5B0C5">
            <w:pPr>
              <w:spacing w:line="279" w:lineRule="auto"/>
              <w:rPr>
                <w:rFonts w:ascii="Arial"/>
                <w:color w:val="auto"/>
                <w:sz w:val="21"/>
                <w:highlight w:val="none"/>
              </w:rPr>
            </w:pPr>
          </w:p>
          <w:p w14:paraId="2CE9A13D">
            <w:pPr>
              <w:spacing w:line="279" w:lineRule="auto"/>
              <w:rPr>
                <w:rFonts w:ascii="Arial"/>
                <w:color w:val="auto"/>
                <w:sz w:val="21"/>
                <w:highlight w:val="none"/>
              </w:rPr>
            </w:pPr>
          </w:p>
          <w:p w14:paraId="290A9C58">
            <w:pPr>
              <w:spacing w:line="279" w:lineRule="auto"/>
              <w:rPr>
                <w:rFonts w:ascii="Arial"/>
                <w:color w:val="auto"/>
                <w:sz w:val="21"/>
                <w:highlight w:val="none"/>
              </w:rPr>
            </w:pPr>
          </w:p>
          <w:p w14:paraId="02F82EF8">
            <w:pPr>
              <w:spacing w:line="279" w:lineRule="auto"/>
              <w:rPr>
                <w:rFonts w:ascii="Arial"/>
                <w:color w:val="auto"/>
                <w:sz w:val="21"/>
                <w:highlight w:val="none"/>
              </w:rPr>
            </w:pPr>
          </w:p>
          <w:p w14:paraId="5B346247">
            <w:pPr>
              <w:spacing w:line="279" w:lineRule="auto"/>
              <w:rPr>
                <w:rFonts w:ascii="Arial"/>
                <w:color w:val="auto"/>
                <w:sz w:val="21"/>
                <w:highlight w:val="none"/>
              </w:rPr>
            </w:pPr>
          </w:p>
          <w:p w14:paraId="14E32BBC">
            <w:pPr>
              <w:pStyle w:val="14"/>
              <w:spacing w:before="78" w:line="183" w:lineRule="auto"/>
              <w:ind w:left="252"/>
              <w:rPr>
                <w:color w:val="auto"/>
                <w:highlight w:val="none"/>
              </w:rPr>
            </w:pPr>
            <w:r>
              <w:rPr>
                <w:color w:val="auto"/>
                <w:highlight w:val="none"/>
              </w:rPr>
              <w:t>8</w:t>
            </w:r>
          </w:p>
        </w:tc>
      </w:tr>
    </w:tbl>
    <w:p w14:paraId="6ED835D0">
      <w:pPr>
        <w:pStyle w:val="2"/>
        <w:rPr>
          <w:color w:val="auto"/>
          <w:highlight w:val="none"/>
        </w:rPr>
      </w:pPr>
    </w:p>
    <w:p w14:paraId="13D688DF">
      <w:pPr>
        <w:rPr>
          <w:color w:val="auto"/>
          <w:highlight w:val="none"/>
        </w:rPr>
        <w:sectPr>
          <w:footerReference r:id="rId22" w:type="default"/>
          <w:pgSz w:w="11906" w:h="16839"/>
          <w:pgMar w:top="1440" w:right="1800" w:bottom="1440" w:left="1800" w:header="0" w:footer="973" w:gutter="0"/>
          <w:pgNumType w:fmt="decimal"/>
          <w:cols w:space="720" w:num="1"/>
        </w:sectPr>
      </w:pPr>
    </w:p>
    <w:p w14:paraId="389F4B04">
      <w:pPr>
        <w:spacing w:before="18"/>
        <w:rPr>
          <w:color w:val="auto"/>
          <w:highlight w:val="none"/>
        </w:rPr>
      </w:pPr>
    </w:p>
    <w:tbl>
      <w:tblPr>
        <w:tblStyle w:val="13"/>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909"/>
        <w:gridCol w:w="6559"/>
        <w:gridCol w:w="612"/>
      </w:tblGrid>
      <w:tr w14:paraId="4263D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974" w:type="dxa"/>
            <w:vMerge w:val="restart"/>
            <w:tcBorders>
              <w:bottom w:val="nil"/>
            </w:tcBorders>
            <w:vAlign w:val="top"/>
          </w:tcPr>
          <w:p w14:paraId="4E2EE169">
            <w:pPr>
              <w:rPr>
                <w:rFonts w:ascii="Arial"/>
                <w:color w:val="auto"/>
                <w:sz w:val="21"/>
                <w:highlight w:val="none"/>
              </w:rPr>
            </w:pPr>
          </w:p>
        </w:tc>
        <w:tc>
          <w:tcPr>
            <w:tcW w:w="909" w:type="dxa"/>
            <w:vAlign w:val="top"/>
          </w:tcPr>
          <w:p w14:paraId="04F8B2B9">
            <w:pPr>
              <w:spacing w:line="298" w:lineRule="auto"/>
              <w:rPr>
                <w:rFonts w:ascii="Arial"/>
                <w:color w:val="auto"/>
                <w:sz w:val="21"/>
                <w:highlight w:val="none"/>
              </w:rPr>
            </w:pPr>
          </w:p>
          <w:p w14:paraId="6127F998">
            <w:pPr>
              <w:spacing w:line="299" w:lineRule="auto"/>
              <w:rPr>
                <w:rFonts w:ascii="Arial"/>
                <w:color w:val="auto"/>
                <w:sz w:val="21"/>
                <w:highlight w:val="none"/>
              </w:rPr>
            </w:pPr>
          </w:p>
          <w:p w14:paraId="1516C8DD">
            <w:pPr>
              <w:spacing w:line="299" w:lineRule="auto"/>
              <w:rPr>
                <w:rFonts w:ascii="Arial"/>
                <w:color w:val="auto"/>
                <w:sz w:val="21"/>
                <w:highlight w:val="none"/>
              </w:rPr>
            </w:pPr>
          </w:p>
          <w:p w14:paraId="00D72B56">
            <w:pPr>
              <w:pStyle w:val="14"/>
              <w:spacing w:before="78" w:line="233" w:lineRule="auto"/>
              <w:ind w:left="102" w:right="93" w:firstLine="1"/>
              <w:jc w:val="both"/>
              <w:rPr>
                <w:color w:val="auto"/>
                <w:highlight w:val="none"/>
              </w:rPr>
            </w:pPr>
            <w:r>
              <w:rPr>
                <w:color w:val="auto"/>
                <w:spacing w:val="-5"/>
                <w:highlight w:val="none"/>
              </w:rPr>
              <w:t>安全管</w:t>
            </w:r>
            <w:r>
              <w:rPr>
                <w:color w:val="auto"/>
                <w:highlight w:val="none"/>
              </w:rPr>
              <w:t xml:space="preserve"> </w:t>
            </w:r>
            <w:r>
              <w:rPr>
                <w:color w:val="auto"/>
                <w:spacing w:val="-5"/>
                <w:highlight w:val="none"/>
              </w:rPr>
              <w:t>理体系</w:t>
            </w:r>
            <w:r>
              <w:rPr>
                <w:color w:val="auto"/>
                <w:spacing w:val="1"/>
                <w:highlight w:val="none"/>
              </w:rPr>
              <w:t xml:space="preserve"> </w:t>
            </w:r>
            <w:r>
              <w:rPr>
                <w:color w:val="auto"/>
                <w:spacing w:val="-5"/>
                <w:highlight w:val="none"/>
              </w:rPr>
              <w:t>与措施</w:t>
            </w:r>
          </w:p>
        </w:tc>
        <w:tc>
          <w:tcPr>
            <w:tcW w:w="6559" w:type="dxa"/>
            <w:vAlign w:val="top"/>
          </w:tcPr>
          <w:p w14:paraId="34C216D0">
            <w:pPr>
              <w:pStyle w:val="14"/>
              <w:spacing w:before="44" w:line="236" w:lineRule="auto"/>
              <w:ind w:left="9" w:hanging="1"/>
              <w:jc w:val="both"/>
              <w:rPr>
                <w:color w:val="auto"/>
                <w:highlight w:val="none"/>
              </w:rPr>
            </w:pPr>
            <w:r>
              <w:rPr>
                <w:color w:val="auto"/>
                <w:spacing w:val="-1"/>
                <w:highlight w:val="none"/>
              </w:rPr>
              <w:t>评审小组根据供应商针对本项目提供的安全管理体系与措施进</w:t>
            </w:r>
            <w:r>
              <w:rPr>
                <w:color w:val="auto"/>
                <w:spacing w:val="9"/>
                <w:highlight w:val="none"/>
              </w:rPr>
              <w:t xml:space="preserve"> </w:t>
            </w:r>
            <w:r>
              <w:rPr>
                <w:color w:val="auto"/>
                <w:highlight w:val="none"/>
              </w:rPr>
              <w:t>行评审，内容至少包含</w:t>
            </w:r>
            <w:r>
              <w:rPr>
                <w:color w:val="auto"/>
                <w:spacing w:val="-10"/>
                <w:highlight w:val="none"/>
              </w:rPr>
              <w:t>：（</w:t>
            </w:r>
            <w:r>
              <w:rPr>
                <w:color w:val="auto"/>
                <w:highlight w:val="none"/>
              </w:rPr>
              <w:t>1）安全生产管理目标（2）安全管</w:t>
            </w:r>
            <w:r>
              <w:rPr>
                <w:color w:val="auto"/>
                <w:spacing w:val="1"/>
                <w:highlight w:val="none"/>
              </w:rPr>
              <w:t xml:space="preserve"> </w:t>
            </w:r>
            <w:r>
              <w:rPr>
                <w:color w:val="auto"/>
                <w:spacing w:val="-6"/>
                <w:highlight w:val="none"/>
              </w:rPr>
              <w:t>理体系及职责划分（3）安全技术措施（4）安全应急救</w:t>
            </w:r>
            <w:r>
              <w:rPr>
                <w:color w:val="auto"/>
                <w:spacing w:val="-7"/>
                <w:highlight w:val="none"/>
              </w:rPr>
              <w:t>援预案。</w:t>
            </w:r>
            <w:r>
              <w:rPr>
                <w:color w:val="auto"/>
                <w:highlight w:val="none"/>
              </w:rPr>
              <w:t xml:space="preserve"> </w:t>
            </w:r>
            <w:r>
              <w:rPr>
                <w:color w:val="auto"/>
                <w:spacing w:val="-8"/>
                <w:highlight w:val="none"/>
              </w:rPr>
              <w:t>方案完整包含以上内容且满足本项目要求得</w:t>
            </w:r>
            <w:r>
              <w:rPr>
                <w:color w:val="auto"/>
                <w:spacing w:val="-51"/>
                <w:highlight w:val="none"/>
              </w:rPr>
              <w:t xml:space="preserve"> </w:t>
            </w:r>
            <w:r>
              <w:rPr>
                <w:color w:val="auto"/>
                <w:spacing w:val="-8"/>
                <w:highlight w:val="none"/>
              </w:rPr>
              <w:t>8</w:t>
            </w:r>
            <w:r>
              <w:rPr>
                <w:color w:val="auto"/>
                <w:spacing w:val="-48"/>
                <w:highlight w:val="none"/>
              </w:rPr>
              <w:t xml:space="preserve"> </w:t>
            </w:r>
            <w:r>
              <w:rPr>
                <w:color w:val="auto"/>
                <w:spacing w:val="-8"/>
                <w:highlight w:val="none"/>
              </w:rPr>
              <w:t>分，每</w:t>
            </w:r>
            <w:r>
              <w:rPr>
                <w:color w:val="auto"/>
                <w:spacing w:val="-9"/>
                <w:highlight w:val="none"/>
              </w:rPr>
              <w:t>缺一项扣</w:t>
            </w:r>
            <w:r>
              <w:rPr>
                <w:color w:val="auto"/>
                <w:spacing w:val="-49"/>
                <w:highlight w:val="none"/>
              </w:rPr>
              <w:t xml:space="preserve"> </w:t>
            </w:r>
            <w:r>
              <w:rPr>
                <w:color w:val="auto"/>
                <w:spacing w:val="-9"/>
                <w:highlight w:val="none"/>
              </w:rPr>
              <w:t>2</w:t>
            </w:r>
            <w:r>
              <w:rPr>
                <w:color w:val="auto"/>
                <w:highlight w:val="none"/>
              </w:rPr>
              <w:t xml:space="preserve"> </w:t>
            </w:r>
            <w:r>
              <w:rPr>
                <w:color w:val="auto"/>
                <w:spacing w:val="-8"/>
                <w:highlight w:val="none"/>
              </w:rPr>
              <w:t>分，每有一处不完整或不符合本项目特点或实际采购需求的扣</w:t>
            </w:r>
            <w:r>
              <w:rPr>
                <w:color w:val="auto"/>
                <w:spacing w:val="-33"/>
                <w:highlight w:val="none"/>
              </w:rPr>
              <w:t xml:space="preserve"> </w:t>
            </w:r>
            <w:r>
              <w:rPr>
                <w:color w:val="auto"/>
                <w:spacing w:val="-8"/>
                <w:highlight w:val="none"/>
              </w:rPr>
              <w:t>1</w:t>
            </w:r>
            <w:r>
              <w:rPr>
                <w:color w:val="auto"/>
                <w:highlight w:val="none"/>
              </w:rPr>
              <w:t xml:space="preserve"> </w:t>
            </w:r>
            <w:r>
              <w:rPr>
                <w:color w:val="auto"/>
                <w:spacing w:val="-6"/>
                <w:highlight w:val="none"/>
              </w:rPr>
              <w:t>分，本项最多扣</w:t>
            </w:r>
            <w:r>
              <w:rPr>
                <w:color w:val="auto"/>
                <w:spacing w:val="-40"/>
                <w:highlight w:val="none"/>
              </w:rPr>
              <w:t xml:space="preserve"> </w:t>
            </w:r>
            <w:r>
              <w:rPr>
                <w:color w:val="auto"/>
                <w:spacing w:val="-6"/>
                <w:highlight w:val="none"/>
              </w:rPr>
              <w:t>8</w:t>
            </w:r>
            <w:r>
              <w:rPr>
                <w:color w:val="auto"/>
                <w:spacing w:val="-49"/>
                <w:highlight w:val="none"/>
              </w:rPr>
              <w:t xml:space="preserve"> </w:t>
            </w:r>
            <w:r>
              <w:rPr>
                <w:color w:val="auto"/>
                <w:spacing w:val="-6"/>
                <w:highlight w:val="none"/>
              </w:rPr>
              <w:t>分。 备注：不符合本项目特点或实际采购需</w:t>
            </w:r>
            <w:r>
              <w:rPr>
                <w:color w:val="auto"/>
                <w:highlight w:val="none"/>
              </w:rPr>
              <w:t xml:space="preserve"> </w:t>
            </w:r>
            <w:r>
              <w:rPr>
                <w:color w:val="auto"/>
                <w:spacing w:val="-1"/>
                <w:highlight w:val="none"/>
              </w:rPr>
              <w:t>求指：项目名称、实施地点、涉及的规范、标准与本项目要求</w:t>
            </w:r>
            <w:r>
              <w:rPr>
                <w:color w:val="auto"/>
                <w:spacing w:val="7"/>
                <w:highlight w:val="none"/>
              </w:rPr>
              <w:t xml:space="preserve"> </w:t>
            </w:r>
            <w:r>
              <w:rPr>
                <w:color w:val="auto"/>
                <w:spacing w:val="-2"/>
                <w:highlight w:val="none"/>
              </w:rPr>
              <w:t>不一致；不符合本项目实际需求的等情况，此处“等</w:t>
            </w:r>
            <w:r>
              <w:rPr>
                <w:color w:val="auto"/>
                <w:spacing w:val="-85"/>
                <w:highlight w:val="none"/>
              </w:rPr>
              <w:t xml:space="preserve"> </w:t>
            </w:r>
            <w:r>
              <w:rPr>
                <w:color w:val="auto"/>
                <w:spacing w:val="-2"/>
                <w:highlight w:val="none"/>
              </w:rPr>
              <w:t>”为等外</w:t>
            </w:r>
            <w:r>
              <w:rPr>
                <w:color w:val="auto"/>
                <w:highlight w:val="none"/>
              </w:rPr>
              <w:t xml:space="preserve"> </w:t>
            </w:r>
            <w:r>
              <w:rPr>
                <w:color w:val="auto"/>
                <w:spacing w:val="-5"/>
                <w:highlight w:val="none"/>
              </w:rPr>
              <w:t>的意思。</w:t>
            </w:r>
          </w:p>
        </w:tc>
        <w:tc>
          <w:tcPr>
            <w:tcW w:w="612" w:type="dxa"/>
            <w:vAlign w:val="top"/>
          </w:tcPr>
          <w:p w14:paraId="1B9BCD34">
            <w:pPr>
              <w:spacing w:line="248" w:lineRule="auto"/>
              <w:rPr>
                <w:rFonts w:ascii="Arial"/>
                <w:color w:val="auto"/>
                <w:sz w:val="21"/>
                <w:highlight w:val="none"/>
              </w:rPr>
            </w:pPr>
          </w:p>
          <w:p w14:paraId="12B3DF93">
            <w:pPr>
              <w:spacing w:line="248" w:lineRule="auto"/>
              <w:rPr>
                <w:rFonts w:ascii="Arial"/>
                <w:color w:val="auto"/>
                <w:sz w:val="21"/>
                <w:highlight w:val="none"/>
              </w:rPr>
            </w:pPr>
          </w:p>
          <w:p w14:paraId="4D855468">
            <w:pPr>
              <w:spacing w:line="248" w:lineRule="auto"/>
              <w:rPr>
                <w:rFonts w:ascii="Arial"/>
                <w:color w:val="auto"/>
                <w:sz w:val="21"/>
                <w:highlight w:val="none"/>
              </w:rPr>
            </w:pPr>
          </w:p>
          <w:p w14:paraId="399D7A47">
            <w:pPr>
              <w:spacing w:line="249" w:lineRule="auto"/>
              <w:rPr>
                <w:rFonts w:ascii="Arial"/>
                <w:color w:val="auto"/>
                <w:sz w:val="21"/>
                <w:highlight w:val="none"/>
              </w:rPr>
            </w:pPr>
          </w:p>
          <w:p w14:paraId="765611EB">
            <w:pPr>
              <w:spacing w:line="249" w:lineRule="auto"/>
              <w:rPr>
                <w:rFonts w:ascii="Arial"/>
                <w:color w:val="auto"/>
                <w:sz w:val="21"/>
                <w:highlight w:val="none"/>
              </w:rPr>
            </w:pPr>
          </w:p>
          <w:p w14:paraId="2D31DB1D">
            <w:pPr>
              <w:pStyle w:val="14"/>
              <w:spacing w:before="78" w:line="183" w:lineRule="auto"/>
              <w:ind w:left="252"/>
              <w:rPr>
                <w:color w:val="auto"/>
                <w:highlight w:val="none"/>
              </w:rPr>
            </w:pPr>
            <w:r>
              <w:rPr>
                <w:color w:val="auto"/>
                <w:highlight w:val="none"/>
              </w:rPr>
              <w:t>8</w:t>
            </w:r>
          </w:p>
        </w:tc>
      </w:tr>
      <w:tr w14:paraId="48AFD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974" w:type="dxa"/>
            <w:vMerge w:val="continue"/>
            <w:tcBorders>
              <w:top w:val="nil"/>
              <w:bottom w:val="nil"/>
            </w:tcBorders>
            <w:vAlign w:val="top"/>
          </w:tcPr>
          <w:p w14:paraId="0FBF786B">
            <w:pPr>
              <w:rPr>
                <w:rFonts w:ascii="Arial"/>
                <w:color w:val="auto"/>
                <w:sz w:val="21"/>
                <w:highlight w:val="none"/>
              </w:rPr>
            </w:pPr>
          </w:p>
        </w:tc>
        <w:tc>
          <w:tcPr>
            <w:tcW w:w="909" w:type="dxa"/>
            <w:vAlign w:val="top"/>
          </w:tcPr>
          <w:p w14:paraId="5C1239A4">
            <w:pPr>
              <w:spacing w:line="261" w:lineRule="auto"/>
              <w:rPr>
                <w:rFonts w:ascii="Arial"/>
                <w:color w:val="auto"/>
                <w:sz w:val="21"/>
                <w:highlight w:val="none"/>
              </w:rPr>
            </w:pPr>
          </w:p>
          <w:p w14:paraId="02022058">
            <w:pPr>
              <w:spacing w:line="262" w:lineRule="auto"/>
              <w:rPr>
                <w:rFonts w:ascii="Arial"/>
                <w:color w:val="auto"/>
                <w:sz w:val="21"/>
                <w:highlight w:val="none"/>
              </w:rPr>
            </w:pPr>
          </w:p>
          <w:p w14:paraId="412E892C">
            <w:pPr>
              <w:spacing w:line="262" w:lineRule="auto"/>
              <w:rPr>
                <w:rFonts w:ascii="Arial"/>
                <w:color w:val="auto"/>
                <w:sz w:val="21"/>
                <w:highlight w:val="none"/>
              </w:rPr>
            </w:pPr>
          </w:p>
          <w:p w14:paraId="4F4CA0D9">
            <w:pPr>
              <w:spacing w:line="262" w:lineRule="auto"/>
              <w:rPr>
                <w:rFonts w:ascii="Arial"/>
                <w:color w:val="auto"/>
                <w:sz w:val="21"/>
                <w:highlight w:val="none"/>
              </w:rPr>
            </w:pPr>
          </w:p>
          <w:p w14:paraId="09454B02">
            <w:pPr>
              <w:pStyle w:val="14"/>
              <w:spacing w:before="78" w:line="233" w:lineRule="auto"/>
              <w:ind w:left="100" w:right="93" w:hanging="1"/>
              <w:jc w:val="both"/>
              <w:rPr>
                <w:color w:val="auto"/>
                <w:highlight w:val="none"/>
              </w:rPr>
            </w:pPr>
            <w:r>
              <w:rPr>
                <w:color w:val="auto"/>
                <w:spacing w:val="-4"/>
                <w:highlight w:val="none"/>
              </w:rPr>
              <w:t>环保和</w:t>
            </w:r>
            <w:r>
              <w:rPr>
                <w:color w:val="auto"/>
                <w:spacing w:val="1"/>
                <w:highlight w:val="none"/>
              </w:rPr>
              <w:t xml:space="preserve"> </w:t>
            </w:r>
            <w:r>
              <w:rPr>
                <w:color w:val="auto"/>
                <w:spacing w:val="-4"/>
                <w:highlight w:val="none"/>
              </w:rPr>
              <w:t>文明施</w:t>
            </w:r>
            <w:r>
              <w:rPr>
                <w:color w:val="auto"/>
                <w:highlight w:val="none"/>
              </w:rPr>
              <w:t xml:space="preserve"> </w:t>
            </w:r>
            <w:r>
              <w:rPr>
                <w:color w:val="auto"/>
                <w:spacing w:val="-4"/>
                <w:highlight w:val="none"/>
              </w:rPr>
              <w:t>工措施</w:t>
            </w:r>
          </w:p>
        </w:tc>
        <w:tc>
          <w:tcPr>
            <w:tcW w:w="6559" w:type="dxa"/>
            <w:vAlign w:val="top"/>
          </w:tcPr>
          <w:p w14:paraId="01099A86">
            <w:pPr>
              <w:pStyle w:val="14"/>
              <w:spacing w:before="39" w:line="235" w:lineRule="auto"/>
              <w:ind w:left="10" w:right="2" w:hanging="2"/>
              <w:jc w:val="both"/>
              <w:rPr>
                <w:color w:val="auto"/>
                <w:highlight w:val="none"/>
              </w:rPr>
            </w:pPr>
            <w:r>
              <w:rPr>
                <w:color w:val="auto"/>
                <w:spacing w:val="2"/>
                <w:highlight w:val="none"/>
              </w:rPr>
              <w:t>评审小组根据供应商针对本项目提供的环保和文明施工措施进</w:t>
            </w:r>
            <w:r>
              <w:rPr>
                <w:color w:val="auto"/>
                <w:spacing w:val="8"/>
                <w:highlight w:val="none"/>
              </w:rPr>
              <w:t xml:space="preserve"> </w:t>
            </w:r>
            <w:r>
              <w:rPr>
                <w:color w:val="auto"/>
                <w:spacing w:val="3"/>
                <w:highlight w:val="none"/>
              </w:rPr>
              <w:t>行评审，方案内容至少包含</w:t>
            </w:r>
            <w:r>
              <w:rPr>
                <w:color w:val="auto"/>
                <w:spacing w:val="-10"/>
                <w:highlight w:val="none"/>
              </w:rPr>
              <w:t>：（</w:t>
            </w:r>
            <w:r>
              <w:rPr>
                <w:color w:val="auto"/>
                <w:spacing w:val="3"/>
                <w:highlight w:val="none"/>
              </w:rPr>
              <w:t>1）环境保护管理目标（2）噪</w:t>
            </w:r>
            <w:r>
              <w:rPr>
                <w:color w:val="auto"/>
                <w:spacing w:val="1"/>
                <w:highlight w:val="none"/>
              </w:rPr>
              <w:t xml:space="preserve"> </w:t>
            </w:r>
            <w:r>
              <w:rPr>
                <w:color w:val="auto"/>
                <w:spacing w:val="2"/>
                <w:highlight w:val="none"/>
              </w:rPr>
              <w:t>音控制管理措施（3）扬尘管理措施（4）施工现场环境管理和</w:t>
            </w:r>
            <w:r>
              <w:rPr>
                <w:color w:val="auto"/>
                <w:spacing w:val="3"/>
                <w:highlight w:val="none"/>
              </w:rPr>
              <w:t xml:space="preserve"> </w:t>
            </w:r>
            <w:r>
              <w:rPr>
                <w:color w:val="auto"/>
                <w:spacing w:val="-2"/>
                <w:highlight w:val="none"/>
              </w:rPr>
              <w:t>污染物处理及排放措施。</w:t>
            </w:r>
          </w:p>
          <w:p w14:paraId="34E3C70D">
            <w:pPr>
              <w:pStyle w:val="14"/>
              <w:spacing w:before="27" w:line="234" w:lineRule="auto"/>
              <w:ind w:left="10"/>
              <w:jc w:val="both"/>
              <w:rPr>
                <w:color w:val="auto"/>
                <w:highlight w:val="none"/>
              </w:rPr>
            </w:pPr>
            <w:r>
              <w:rPr>
                <w:color w:val="auto"/>
                <w:spacing w:val="-6"/>
                <w:highlight w:val="none"/>
              </w:rPr>
              <w:t>方案完整包含以上内容且满足本项目要求得</w:t>
            </w:r>
            <w:r>
              <w:rPr>
                <w:color w:val="auto"/>
                <w:spacing w:val="-34"/>
                <w:highlight w:val="none"/>
              </w:rPr>
              <w:t xml:space="preserve"> </w:t>
            </w:r>
            <w:r>
              <w:rPr>
                <w:color w:val="auto"/>
                <w:spacing w:val="-6"/>
                <w:highlight w:val="none"/>
              </w:rPr>
              <w:t>8</w:t>
            </w:r>
            <w:r>
              <w:rPr>
                <w:color w:val="auto"/>
                <w:spacing w:val="-48"/>
                <w:highlight w:val="none"/>
              </w:rPr>
              <w:t xml:space="preserve"> </w:t>
            </w:r>
            <w:r>
              <w:rPr>
                <w:color w:val="auto"/>
                <w:spacing w:val="-6"/>
                <w:highlight w:val="none"/>
              </w:rPr>
              <w:t>分，每缺一项扣</w:t>
            </w:r>
            <w:r>
              <w:rPr>
                <w:color w:val="auto"/>
                <w:spacing w:val="-48"/>
                <w:highlight w:val="none"/>
              </w:rPr>
              <w:t xml:space="preserve"> </w:t>
            </w:r>
            <w:r>
              <w:rPr>
                <w:color w:val="auto"/>
                <w:spacing w:val="-6"/>
                <w:highlight w:val="none"/>
              </w:rPr>
              <w:t>2</w:t>
            </w:r>
            <w:r>
              <w:rPr>
                <w:color w:val="auto"/>
                <w:highlight w:val="none"/>
              </w:rPr>
              <w:t xml:space="preserve"> </w:t>
            </w:r>
            <w:r>
              <w:rPr>
                <w:color w:val="auto"/>
                <w:spacing w:val="-5"/>
                <w:highlight w:val="none"/>
              </w:rPr>
              <w:t>分，每有一处不符合本项目特点或不完整或实际采</w:t>
            </w:r>
            <w:r>
              <w:rPr>
                <w:color w:val="auto"/>
                <w:spacing w:val="-6"/>
                <w:highlight w:val="none"/>
              </w:rPr>
              <w:t>购需求的扣</w:t>
            </w:r>
            <w:r>
              <w:rPr>
                <w:color w:val="auto"/>
                <w:spacing w:val="-33"/>
                <w:highlight w:val="none"/>
              </w:rPr>
              <w:t xml:space="preserve"> </w:t>
            </w:r>
            <w:r>
              <w:rPr>
                <w:color w:val="auto"/>
                <w:spacing w:val="-6"/>
                <w:highlight w:val="none"/>
              </w:rPr>
              <w:t>1</w:t>
            </w:r>
            <w:r>
              <w:rPr>
                <w:color w:val="auto"/>
                <w:highlight w:val="none"/>
              </w:rPr>
              <w:t xml:space="preserve"> </w:t>
            </w:r>
            <w:r>
              <w:rPr>
                <w:color w:val="auto"/>
                <w:spacing w:val="-3"/>
                <w:highlight w:val="none"/>
              </w:rPr>
              <w:t>分，本项最多扣</w:t>
            </w:r>
            <w:r>
              <w:rPr>
                <w:color w:val="auto"/>
                <w:spacing w:val="-47"/>
                <w:highlight w:val="none"/>
              </w:rPr>
              <w:t xml:space="preserve"> </w:t>
            </w:r>
            <w:r>
              <w:rPr>
                <w:color w:val="auto"/>
                <w:spacing w:val="-3"/>
                <w:highlight w:val="none"/>
              </w:rPr>
              <w:t>8</w:t>
            </w:r>
            <w:r>
              <w:rPr>
                <w:color w:val="auto"/>
                <w:spacing w:val="-48"/>
                <w:highlight w:val="none"/>
              </w:rPr>
              <w:t xml:space="preserve"> </w:t>
            </w:r>
            <w:r>
              <w:rPr>
                <w:color w:val="auto"/>
                <w:spacing w:val="-3"/>
                <w:highlight w:val="none"/>
              </w:rPr>
              <w:t>分。 备注：不符合本项目特点或实际采购需</w:t>
            </w:r>
            <w:r>
              <w:rPr>
                <w:color w:val="auto"/>
                <w:highlight w:val="none"/>
              </w:rPr>
              <w:t xml:space="preserve"> </w:t>
            </w:r>
            <w:r>
              <w:rPr>
                <w:color w:val="auto"/>
                <w:spacing w:val="2"/>
                <w:highlight w:val="none"/>
              </w:rPr>
              <w:t>求指：项目名称、实施地点、涉及的规范、标准与本项目要求</w:t>
            </w:r>
            <w:r>
              <w:rPr>
                <w:color w:val="auto"/>
                <w:spacing w:val="5"/>
                <w:highlight w:val="none"/>
              </w:rPr>
              <w:t xml:space="preserve"> </w:t>
            </w:r>
            <w:r>
              <w:rPr>
                <w:color w:val="auto"/>
                <w:spacing w:val="1"/>
                <w:highlight w:val="none"/>
              </w:rPr>
              <w:t>不一致；不符合本项目实际需求的等情况，此处“等</w:t>
            </w:r>
            <w:r>
              <w:rPr>
                <w:color w:val="auto"/>
                <w:spacing w:val="-86"/>
                <w:highlight w:val="none"/>
              </w:rPr>
              <w:t xml:space="preserve"> </w:t>
            </w:r>
            <w:r>
              <w:rPr>
                <w:color w:val="auto"/>
                <w:spacing w:val="1"/>
                <w:highlight w:val="none"/>
              </w:rPr>
              <w:t>”为</w:t>
            </w:r>
            <w:r>
              <w:rPr>
                <w:color w:val="auto"/>
                <w:highlight w:val="none"/>
              </w:rPr>
              <w:t xml:space="preserve">等外 </w:t>
            </w:r>
            <w:r>
              <w:rPr>
                <w:color w:val="auto"/>
                <w:spacing w:val="-3"/>
                <w:highlight w:val="none"/>
              </w:rPr>
              <w:t>的意思。</w:t>
            </w:r>
          </w:p>
        </w:tc>
        <w:tc>
          <w:tcPr>
            <w:tcW w:w="612" w:type="dxa"/>
            <w:vAlign w:val="top"/>
          </w:tcPr>
          <w:p w14:paraId="79B9C4D1">
            <w:pPr>
              <w:spacing w:line="278" w:lineRule="auto"/>
              <w:rPr>
                <w:rFonts w:ascii="Arial"/>
                <w:color w:val="auto"/>
                <w:sz w:val="21"/>
                <w:highlight w:val="none"/>
              </w:rPr>
            </w:pPr>
          </w:p>
          <w:p w14:paraId="2AB1AA9F">
            <w:pPr>
              <w:spacing w:line="279" w:lineRule="auto"/>
              <w:rPr>
                <w:rFonts w:ascii="Arial"/>
                <w:color w:val="auto"/>
                <w:sz w:val="21"/>
                <w:highlight w:val="none"/>
              </w:rPr>
            </w:pPr>
          </w:p>
          <w:p w14:paraId="35488927">
            <w:pPr>
              <w:spacing w:line="279" w:lineRule="auto"/>
              <w:rPr>
                <w:rFonts w:ascii="Arial"/>
                <w:color w:val="auto"/>
                <w:sz w:val="21"/>
                <w:highlight w:val="none"/>
              </w:rPr>
            </w:pPr>
          </w:p>
          <w:p w14:paraId="52B75BF7">
            <w:pPr>
              <w:spacing w:line="279" w:lineRule="auto"/>
              <w:rPr>
                <w:rFonts w:ascii="Arial"/>
                <w:color w:val="auto"/>
                <w:sz w:val="21"/>
                <w:highlight w:val="none"/>
              </w:rPr>
            </w:pPr>
          </w:p>
          <w:p w14:paraId="75311645">
            <w:pPr>
              <w:spacing w:line="279" w:lineRule="auto"/>
              <w:rPr>
                <w:rFonts w:ascii="Arial"/>
                <w:color w:val="auto"/>
                <w:sz w:val="21"/>
                <w:highlight w:val="none"/>
              </w:rPr>
            </w:pPr>
          </w:p>
          <w:p w14:paraId="417C2527">
            <w:pPr>
              <w:pStyle w:val="14"/>
              <w:spacing w:before="78" w:line="183" w:lineRule="auto"/>
              <w:ind w:left="252"/>
              <w:rPr>
                <w:color w:val="auto"/>
                <w:highlight w:val="none"/>
              </w:rPr>
            </w:pPr>
            <w:r>
              <w:rPr>
                <w:color w:val="auto"/>
                <w:highlight w:val="none"/>
              </w:rPr>
              <w:t>8</w:t>
            </w:r>
          </w:p>
        </w:tc>
      </w:tr>
      <w:tr w14:paraId="1FA61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974" w:type="dxa"/>
            <w:vMerge w:val="continue"/>
            <w:tcBorders>
              <w:top w:val="nil"/>
              <w:bottom w:val="nil"/>
            </w:tcBorders>
            <w:vAlign w:val="top"/>
          </w:tcPr>
          <w:p w14:paraId="7A1C8F8E">
            <w:pPr>
              <w:rPr>
                <w:rFonts w:ascii="Arial"/>
                <w:color w:val="auto"/>
                <w:sz w:val="21"/>
                <w:highlight w:val="none"/>
              </w:rPr>
            </w:pPr>
          </w:p>
        </w:tc>
        <w:tc>
          <w:tcPr>
            <w:tcW w:w="909" w:type="dxa"/>
            <w:vAlign w:val="top"/>
          </w:tcPr>
          <w:p w14:paraId="19352CE3">
            <w:pPr>
              <w:rPr>
                <w:rFonts w:ascii="Arial"/>
                <w:color w:val="auto"/>
                <w:sz w:val="21"/>
                <w:highlight w:val="none"/>
              </w:rPr>
            </w:pPr>
          </w:p>
          <w:p w14:paraId="0B82F2D0">
            <w:pPr>
              <w:rPr>
                <w:rFonts w:ascii="Arial"/>
                <w:color w:val="auto"/>
                <w:sz w:val="21"/>
                <w:highlight w:val="none"/>
              </w:rPr>
            </w:pPr>
          </w:p>
          <w:p w14:paraId="1FE79664">
            <w:pPr>
              <w:rPr>
                <w:rFonts w:ascii="Arial"/>
                <w:color w:val="auto"/>
                <w:sz w:val="21"/>
                <w:highlight w:val="none"/>
              </w:rPr>
            </w:pPr>
          </w:p>
          <w:p w14:paraId="5EED7D4E">
            <w:pPr>
              <w:spacing w:line="241" w:lineRule="auto"/>
              <w:rPr>
                <w:rFonts w:ascii="Arial"/>
                <w:color w:val="auto"/>
                <w:sz w:val="21"/>
                <w:highlight w:val="none"/>
              </w:rPr>
            </w:pPr>
          </w:p>
          <w:p w14:paraId="7C6B48DF">
            <w:pPr>
              <w:spacing w:line="241" w:lineRule="auto"/>
              <w:rPr>
                <w:rFonts w:ascii="Arial"/>
                <w:color w:val="auto"/>
                <w:sz w:val="21"/>
                <w:highlight w:val="none"/>
              </w:rPr>
            </w:pPr>
          </w:p>
          <w:p w14:paraId="68ECA153">
            <w:pPr>
              <w:pStyle w:val="14"/>
              <w:spacing w:before="78" w:line="230" w:lineRule="auto"/>
              <w:ind w:left="98" w:right="93" w:firstLine="3"/>
              <w:rPr>
                <w:color w:val="auto"/>
                <w:highlight w:val="none"/>
              </w:rPr>
            </w:pPr>
            <w:r>
              <w:rPr>
                <w:color w:val="auto"/>
                <w:spacing w:val="-5"/>
                <w:highlight w:val="none"/>
              </w:rPr>
              <w:t>工程进</w:t>
            </w:r>
            <w:r>
              <w:rPr>
                <w:color w:val="auto"/>
                <w:spacing w:val="1"/>
                <w:highlight w:val="none"/>
              </w:rPr>
              <w:t xml:space="preserve"> </w:t>
            </w:r>
            <w:r>
              <w:rPr>
                <w:color w:val="auto"/>
                <w:spacing w:val="-3"/>
                <w:highlight w:val="none"/>
              </w:rPr>
              <w:t>度计划</w:t>
            </w:r>
          </w:p>
        </w:tc>
        <w:tc>
          <w:tcPr>
            <w:tcW w:w="6559" w:type="dxa"/>
            <w:vAlign w:val="top"/>
          </w:tcPr>
          <w:p w14:paraId="6D52CBED">
            <w:pPr>
              <w:pStyle w:val="14"/>
              <w:spacing w:before="38" w:line="235" w:lineRule="auto"/>
              <w:ind w:left="8"/>
              <w:jc w:val="both"/>
              <w:rPr>
                <w:color w:val="auto"/>
                <w:highlight w:val="none"/>
              </w:rPr>
            </w:pPr>
            <w:r>
              <w:rPr>
                <w:color w:val="auto"/>
                <w:spacing w:val="2"/>
                <w:highlight w:val="none"/>
              </w:rPr>
              <w:t>评审小组根据供应商针对本项目提供的工程进度计划方案进行</w:t>
            </w:r>
            <w:r>
              <w:rPr>
                <w:color w:val="auto"/>
                <w:spacing w:val="7"/>
                <w:highlight w:val="none"/>
              </w:rPr>
              <w:t xml:space="preserve"> </w:t>
            </w:r>
            <w:r>
              <w:rPr>
                <w:color w:val="auto"/>
                <w:highlight w:val="none"/>
              </w:rPr>
              <w:t>评审，方案内容至少包含</w:t>
            </w:r>
            <w:r>
              <w:rPr>
                <w:color w:val="auto"/>
                <w:spacing w:val="-28"/>
                <w:highlight w:val="none"/>
              </w:rPr>
              <w:t>：（</w:t>
            </w:r>
            <w:r>
              <w:rPr>
                <w:color w:val="auto"/>
                <w:highlight w:val="none"/>
              </w:rPr>
              <w:t xml:space="preserve">1）工程进度计划时间安排及计划 </w:t>
            </w:r>
            <w:r>
              <w:rPr>
                <w:color w:val="auto"/>
                <w:spacing w:val="2"/>
                <w:highlight w:val="none"/>
              </w:rPr>
              <w:t>（2）劳动力及材料设备进场计划及安排（3）影响工程施工的</w:t>
            </w:r>
            <w:r>
              <w:rPr>
                <w:color w:val="auto"/>
                <w:spacing w:val="8"/>
                <w:highlight w:val="none"/>
              </w:rPr>
              <w:t xml:space="preserve"> </w:t>
            </w:r>
            <w:r>
              <w:rPr>
                <w:color w:val="auto"/>
                <w:spacing w:val="-1"/>
                <w:highlight w:val="none"/>
              </w:rPr>
              <w:t>因素分析及解决措施（4）进度保障措施。</w:t>
            </w:r>
          </w:p>
          <w:p w14:paraId="6A55E0E1">
            <w:pPr>
              <w:pStyle w:val="14"/>
              <w:spacing w:before="28" w:line="234" w:lineRule="auto"/>
              <w:ind w:left="10"/>
              <w:jc w:val="both"/>
              <w:rPr>
                <w:color w:val="auto"/>
                <w:highlight w:val="none"/>
              </w:rPr>
            </w:pPr>
            <w:r>
              <w:rPr>
                <w:color w:val="auto"/>
                <w:spacing w:val="-6"/>
                <w:highlight w:val="none"/>
              </w:rPr>
              <w:t>方案完整包含以上内容且满足本项目要求得</w:t>
            </w:r>
            <w:r>
              <w:rPr>
                <w:color w:val="auto"/>
                <w:spacing w:val="-34"/>
                <w:highlight w:val="none"/>
              </w:rPr>
              <w:t xml:space="preserve"> </w:t>
            </w:r>
            <w:r>
              <w:rPr>
                <w:color w:val="auto"/>
                <w:spacing w:val="-6"/>
                <w:highlight w:val="none"/>
              </w:rPr>
              <w:t>8</w:t>
            </w:r>
            <w:r>
              <w:rPr>
                <w:color w:val="auto"/>
                <w:spacing w:val="-48"/>
                <w:highlight w:val="none"/>
              </w:rPr>
              <w:t xml:space="preserve"> </w:t>
            </w:r>
            <w:r>
              <w:rPr>
                <w:color w:val="auto"/>
                <w:spacing w:val="-6"/>
                <w:highlight w:val="none"/>
              </w:rPr>
              <w:t>分，每缺一项扣</w:t>
            </w:r>
            <w:r>
              <w:rPr>
                <w:color w:val="auto"/>
                <w:spacing w:val="-48"/>
                <w:highlight w:val="none"/>
              </w:rPr>
              <w:t xml:space="preserve"> </w:t>
            </w:r>
            <w:r>
              <w:rPr>
                <w:color w:val="auto"/>
                <w:spacing w:val="-6"/>
                <w:highlight w:val="none"/>
              </w:rPr>
              <w:t>2</w:t>
            </w:r>
            <w:r>
              <w:rPr>
                <w:color w:val="auto"/>
                <w:highlight w:val="none"/>
              </w:rPr>
              <w:t xml:space="preserve"> 分，每有一处不符合本项目特点或实际采购需求的扣</w:t>
            </w:r>
            <w:r>
              <w:rPr>
                <w:color w:val="auto"/>
                <w:spacing w:val="-16"/>
                <w:highlight w:val="none"/>
              </w:rPr>
              <w:t xml:space="preserve"> </w:t>
            </w:r>
            <w:r>
              <w:rPr>
                <w:color w:val="auto"/>
                <w:highlight w:val="none"/>
              </w:rPr>
              <w:t>1</w:t>
            </w:r>
            <w:r>
              <w:rPr>
                <w:color w:val="auto"/>
                <w:spacing w:val="-45"/>
                <w:highlight w:val="none"/>
              </w:rPr>
              <w:t xml:space="preserve"> </w:t>
            </w:r>
            <w:r>
              <w:rPr>
                <w:color w:val="auto"/>
                <w:highlight w:val="none"/>
              </w:rPr>
              <w:t xml:space="preserve">分，本 </w:t>
            </w:r>
            <w:r>
              <w:rPr>
                <w:color w:val="auto"/>
                <w:spacing w:val="-3"/>
                <w:highlight w:val="none"/>
              </w:rPr>
              <w:t>项最多扣</w:t>
            </w:r>
            <w:r>
              <w:rPr>
                <w:color w:val="auto"/>
                <w:spacing w:val="-47"/>
                <w:highlight w:val="none"/>
              </w:rPr>
              <w:t xml:space="preserve"> </w:t>
            </w:r>
            <w:r>
              <w:rPr>
                <w:color w:val="auto"/>
                <w:spacing w:val="-3"/>
                <w:highlight w:val="none"/>
              </w:rPr>
              <w:t>8</w:t>
            </w:r>
            <w:r>
              <w:rPr>
                <w:color w:val="auto"/>
                <w:spacing w:val="-48"/>
                <w:highlight w:val="none"/>
              </w:rPr>
              <w:t xml:space="preserve"> </w:t>
            </w:r>
            <w:r>
              <w:rPr>
                <w:color w:val="auto"/>
                <w:spacing w:val="-3"/>
                <w:highlight w:val="none"/>
              </w:rPr>
              <w:t>分。 备注：不符合本项目特点或不完整或实际采购</w:t>
            </w:r>
            <w:r>
              <w:rPr>
                <w:color w:val="auto"/>
                <w:highlight w:val="none"/>
              </w:rPr>
              <w:t xml:space="preserve"> </w:t>
            </w:r>
            <w:r>
              <w:rPr>
                <w:color w:val="auto"/>
                <w:spacing w:val="2"/>
                <w:highlight w:val="none"/>
              </w:rPr>
              <w:t>需求指：项目名称、实施地点、涉及的规范、标准与本项目要</w:t>
            </w:r>
            <w:r>
              <w:rPr>
                <w:color w:val="auto"/>
                <w:spacing w:val="5"/>
                <w:highlight w:val="none"/>
              </w:rPr>
              <w:t xml:space="preserve"> </w:t>
            </w:r>
            <w:r>
              <w:rPr>
                <w:color w:val="auto"/>
                <w:spacing w:val="1"/>
                <w:highlight w:val="none"/>
              </w:rPr>
              <w:t>求不一致；不符合本项目实际需求的等情况，此处“等</w:t>
            </w:r>
            <w:r>
              <w:rPr>
                <w:color w:val="auto"/>
                <w:spacing w:val="-86"/>
                <w:highlight w:val="none"/>
              </w:rPr>
              <w:t xml:space="preserve"> </w:t>
            </w:r>
            <w:r>
              <w:rPr>
                <w:color w:val="auto"/>
                <w:spacing w:val="1"/>
                <w:highlight w:val="none"/>
              </w:rPr>
              <w:t>”</w:t>
            </w:r>
            <w:r>
              <w:rPr>
                <w:color w:val="auto"/>
                <w:highlight w:val="none"/>
              </w:rPr>
              <w:t xml:space="preserve">为等 </w:t>
            </w:r>
            <w:r>
              <w:rPr>
                <w:color w:val="auto"/>
                <w:spacing w:val="-3"/>
                <w:highlight w:val="none"/>
              </w:rPr>
              <w:t>外的意思。</w:t>
            </w:r>
          </w:p>
        </w:tc>
        <w:tc>
          <w:tcPr>
            <w:tcW w:w="612" w:type="dxa"/>
            <w:vAlign w:val="top"/>
          </w:tcPr>
          <w:p w14:paraId="0F06E002">
            <w:pPr>
              <w:spacing w:line="279" w:lineRule="auto"/>
              <w:rPr>
                <w:rFonts w:ascii="Arial"/>
                <w:color w:val="auto"/>
                <w:sz w:val="21"/>
                <w:highlight w:val="none"/>
              </w:rPr>
            </w:pPr>
          </w:p>
          <w:p w14:paraId="747DCF85">
            <w:pPr>
              <w:spacing w:line="279" w:lineRule="auto"/>
              <w:rPr>
                <w:rFonts w:ascii="Arial"/>
                <w:color w:val="auto"/>
                <w:sz w:val="21"/>
                <w:highlight w:val="none"/>
              </w:rPr>
            </w:pPr>
          </w:p>
          <w:p w14:paraId="214993A9">
            <w:pPr>
              <w:spacing w:line="279" w:lineRule="auto"/>
              <w:rPr>
                <w:rFonts w:ascii="Arial"/>
                <w:color w:val="auto"/>
                <w:sz w:val="21"/>
                <w:highlight w:val="none"/>
              </w:rPr>
            </w:pPr>
          </w:p>
          <w:p w14:paraId="5A3301C1">
            <w:pPr>
              <w:spacing w:line="279" w:lineRule="auto"/>
              <w:rPr>
                <w:rFonts w:ascii="Arial"/>
                <w:color w:val="auto"/>
                <w:sz w:val="21"/>
                <w:highlight w:val="none"/>
              </w:rPr>
            </w:pPr>
          </w:p>
          <w:p w14:paraId="7DD1A5BD">
            <w:pPr>
              <w:spacing w:line="279" w:lineRule="auto"/>
              <w:rPr>
                <w:rFonts w:ascii="Arial"/>
                <w:color w:val="auto"/>
                <w:sz w:val="21"/>
                <w:highlight w:val="none"/>
              </w:rPr>
            </w:pPr>
          </w:p>
          <w:p w14:paraId="7CC21C7B">
            <w:pPr>
              <w:pStyle w:val="14"/>
              <w:spacing w:before="78" w:line="183" w:lineRule="auto"/>
              <w:ind w:left="252"/>
              <w:rPr>
                <w:color w:val="auto"/>
                <w:highlight w:val="none"/>
              </w:rPr>
            </w:pPr>
            <w:r>
              <w:rPr>
                <w:color w:val="auto"/>
                <w:highlight w:val="none"/>
              </w:rPr>
              <w:t>8</w:t>
            </w:r>
          </w:p>
        </w:tc>
      </w:tr>
      <w:tr w14:paraId="10A39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74" w:type="dxa"/>
            <w:vMerge w:val="continue"/>
            <w:tcBorders>
              <w:top w:val="nil"/>
              <w:bottom w:val="nil"/>
            </w:tcBorders>
            <w:vAlign w:val="top"/>
          </w:tcPr>
          <w:p w14:paraId="5EECBBEB">
            <w:pPr>
              <w:rPr>
                <w:rFonts w:ascii="Arial"/>
                <w:color w:val="auto"/>
                <w:sz w:val="21"/>
                <w:highlight w:val="none"/>
              </w:rPr>
            </w:pPr>
          </w:p>
        </w:tc>
        <w:tc>
          <w:tcPr>
            <w:tcW w:w="909" w:type="dxa"/>
            <w:vAlign w:val="top"/>
          </w:tcPr>
          <w:p w14:paraId="130E9C7D">
            <w:pPr>
              <w:spacing w:line="261" w:lineRule="auto"/>
              <w:rPr>
                <w:rFonts w:ascii="Arial"/>
                <w:color w:val="auto"/>
                <w:sz w:val="21"/>
                <w:highlight w:val="none"/>
              </w:rPr>
            </w:pPr>
          </w:p>
          <w:p w14:paraId="3479F927">
            <w:pPr>
              <w:spacing w:line="262" w:lineRule="auto"/>
              <w:rPr>
                <w:rFonts w:ascii="Arial"/>
                <w:color w:val="auto"/>
                <w:sz w:val="21"/>
                <w:highlight w:val="none"/>
              </w:rPr>
            </w:pPr>
          </w:p>
          <w:p w14:paraId="052317CA">
            <w:pPr>
              <w:spacing w:line="262" w:lineRule="auto"/>
              <w:rPr>
                <w:rFonts w:ascii="Arial"/>
                <w:color w:val="auto"/>
                <w:sz w:val="21"/>
                <w:highlight w:val="none"/>
              </w:rPr>
            </w:pPr>
          </w:p>
          <w:p w14:paraId="72BB004C">
            <w:pPr>
              <w:spacing w:line="262" w:lineRule="auto"/>
              <w:rPr>
                <w:rFonts w:ascii="Arial"/>
                <w:color w:val="auto"/>
                <w:sz w:val="21"/>
                <w:highlight w:val="none"/>
              </w:rPr>
            </w:pPr>
          </w:p>
          <w:p w14:paraId="4D023AEE">
            <w:pPr>
              <w:pStyle w:val="14"/>
              <w:spacing w:before="78" w:line="230" w:lineRule="auto"/>
              <w:ind w:left="340" w:right="93" w:hanging="241"/>
              <w:rPr>
                <w:color w:val="auto"/>
                <w:highlight w:val="none"/>
              </w:rPr>
            </w:pPr>
            <w:r>
              <w:rPr>
                <w:color w:val="auto"/>
                <w:spacing w:val="-4"/>
                <w:highlight w:val="none"/>
              </w:rPr>
              <w:t>应急预</w:t>
            </w:r>
            <w:r>
              <w:rPr>
                <w:color w:val="auto"/>
                <w:spacing w:val="1"/>
                <w:highlight w:val="none"/>
              </w:rPr>
              <w:t xml:space="preserve"> </w:t>
            </w:r>
            <w:r>
              <w:rPr>
                <w:color w:val="auto"/>
                <w:highlight w:val="none"/>
              </w:rPr>
              <w:t>案</w:t>
            </w:r>
          </w:p>
        </w:tc>
        <w:tc>
          <w:tcPr>
            <w:tcW w:w="6559" w:type="dxa"/>
            <w:vAlign w:val="top"/>
          </w:tcPr>
          <w:p w14:paraId="4EC48E3F">
            <w:pPr>
              <w:pStyle w:val="14"/>
              <w:spacing w:before="41" w:line="233" w:lineRule="auto"/>
              <w:ind w:left="8"/>
              <w:jc w:val="both"/>
              <w:rPr>
                <w:color w:val="auto"/>
                <w:highlight w:val="none"/>
              </w:rPr>
            </w:pPr>
            <w:r>
              <w:rPr>
                <w:color w:val="auto"/>
                <w:spacing w:val="2"/>
                <w:highlight w:val="none"/>
              </w:rPr>
              <w:t>评审小组根据供应商针对本项目提供的应急预案进行评审，方</w:t>
            </w:r>
            <w:r>
              <w:rPr>
                <w:color w:val="auto"/>
                <w:spacing w:val="8"/>
                <w:highlight w:val="none"/>
              </w:rPr>
              <w:t xml:space="preserve"> </w:t>
            </w:r>
            <w:r>
              <w:rPr>
                <w:color w:val="auto"/>
                <w:spacing w:val="3"/>
                <w:highlight w:val="none"/>
              </w:rPr>
              <w:t>案内容至少包含</w:t>
            </w:r>
            <w:r>
              <w:rPr>
                <w:color w:val="auto"/>
                <w:spacing w:val="-8"/>
                <w:highlight w:val="none"/>
              </w:rPr>
              <w:t>：（</w:t>
            </w:r>
            <w:r>
              <w:rPr>
                <w:color w:val="auto"/>
                <w:spacing w:val="3"/>
                <w:highlight w:val="none"/>
              </w:rPr>
              <w:t>1）应急预案的方针与原则（2）应急保证</w:t>
            </w:r>
            <w:r>
              <w:rPr>
                <w:color w:val="auto"/>
                <w:spacing w:val="1"/>
                <w:highlight w:val="none"/>
              </w:rPr>
              <w:t xml:space="preserve"> </w:t>
            </w:r>
            <w:r>
              <w:rPr>
                <w:color w:val="auto"/>
                <w:spacing w:val="-1"/>
                <w:highlight w:val="none"/>
              </w:rPr>
              <w:t>措施（3）应急事故发生处理流程（4）应急设备配置。</w:t>
            </w:r>
          </w:p>
          <w:p w14:paraId="27CD20A5">
            <w:pPr>
              <w:pStyle w:val="14"/>
              <w:spacing w:before="26" w:line="234" w:lineRule="auto"/>
              <w:ind w:left="7" w:firstLine="2"/>
              <w:jc w:val="both"/>
              <w:rPr>
                <w:color w:val="auto"/>
                <w:highlight w:val="none"/>
              </w:rPr>
            </w:pPr>
            <w:r>
              <w:rPr>
                <w:color w:val="auto"/>
                <w:spacing w:val="-6"/>
                <w:highlight w:val="none"/>
              </w:rPr>
              <w:t>方案完整包含以上内容且满足本项目要求得</w:t>
            </w:r>
            <w:r>
              <w:rPr>
                <w:color w:val="auto"/>
                <w:spacing w:val="-49"/>
                <w:highlight w:val="none"/>
              </w:rPr>
              <w:t xml:space="preserve"> </w:t>
            </w:r>
            <w:r>
              <w:rPr>
                <w:color w:val="auto"/>
                <w:spacing w:val="-6"/>
                <w:highlight w:val="none"/>
              </w:rPr>
              <w:t>4</w:t>
            </w:r>
            <w:r>
              <w:rPr>
                <w:color w:val="auto"/>
                <w:spacing w:val="-48"/>
                <w:highlight w:val="none"/>
              </w:rPr>
              <w:t xml:space="preserve"> </w:t>
            </w:r>
            <w:r>
              <w:rPr>
                <w:color w:val="auto"/>
                <w:spacing w:val="-6"/>
                <w:highlight w:val="none"/>
              </w:rPr>
              <w:t>分，每缺一项扣</w:t>
            </w:r>
            <w:r>
              <w:rPr>
                <w:color w:val="auto"/>
                <w:spacing w:val="-33"/>
                <w:highlight w:val="none"/>
              </w:rPr>
              <w:t xml:space="preserve"> </w:t>
            </w:r>
            <w:r>
              <w:rPr>
                <w:color w:val="auto"/>
                <w:spacing w:val="-6"/>
                <w:highlight w:val="none"/>
              </w:rPr>
              <w:t>1</w:t>
            </w:r>
            <w:r>
              <w:rPr>
                <w:color w:val="auto"/>
                <w:highlight w:val="none"/>
              </w:rPr>
              <w:t xml:space="preserve"> </w:t>
            </w:r>
            <w:r>
              <w:rPr>
                <w:color w:val="auto"/>
                <w:spacing w:val="2"/>
                <w:highlight w:val="none"/>
              </w:rPr>
              <w:t>分，每有一处不符合本项目特点或不完整或实际采购需求的扣</w:t>
            </w:r>
            <w:r>
              <w:rPr>
                <w:color w:val="auto"/>
                <w:spacing w:val="9"/>
                <w:highlight w:val="none"/>
              </w:rPr>
              <w:t xml:space="preserve"> </w:t>
            </w:r>
            <w:r>
              <w:rPr>
                <w:color w:val="auto"/>
                <w:spacing w:val="1"/>
                <w:highlight w:val="none"/>
              </w:rPr>
              <w:t>0.5</w:t>
            </w:r>
            <w:r>
              <w:rPr>
                <w:color w:val="auto"/>
                <w:spacing w:val="-36"/>
                <w:highlight w:val="none"/>
              </w:rPr>
              <w:t xml:space="preserve"> </w:t>
            </w:r>
            <w:r>
              <w:rPr>
                <w:color w:val="auto"/>
                <w:spacing w:val="1"/>
                <w:highlight w:val="none"/>
              </w:rPr>
              <w:t>分，本项最多扣4</w:t>
            </w:r>
            <w:r>
              <w:rPr>
                <w:color w:val="auto"/>
                <w:spacing w:val="-48"/>
                <w:highlight w:val="none"/>
              </w:rPr>
              <w:t xml:space="preserve"> </w:t>
            </w:r>
            <w:r>
              <w:rPr>
                <w:color w:val="auto"/>
                <w:spacing w:val="1"/>
                <w:highlight w:val="none"/>
              </w:rPr>
              <w:t>分。 备注：不符合本项目特点或实际采</w:t>
            </w:r>
            <w:r>
              <w:rPr>
                <w:color w:val="auto"/>
                <w:highlight w:val="none"/>
              </w:rPr>
              <w:t xml:space="preserve"> </w:t>
            </w:r>
            <w:r>
              <w:rPr>
                <w:color w:val="auto"/>
                <w:spacing w:val="2"/>
                <w:highlight w:val="none"/>
              </w:rPr>
              <w:t>购需求指：项目名称、实施地点、涉及的规范、标准与本项目</w:t>
            </w:r>
            <w:r>
              <w:rPr>
                <w:color w:val="auto"/>
                <w:spacing w:val="8"/>
                <w:highlight w:val="none"/>
              </w:rPr>
              <w:t xml:space="preserve"> </w:t>
            </w:r>
            <w:r>
              <w:rPr>
                <w:color w:val="auto"/>
                <w:spacing w:val="1"/>
                <w:highlight w:val="none"/>
              </w:rPr>
              <w:t>要求不一致；不符合本项目实际需求的等情况，此处“等</w:t>
            </w:r>
            <w:r>
              <w:rPr>
                <w:color w:val="auto"/>
                <w:spacing w:val="-84"/>
                <w:highlight w:val="none"/>
              </w:rPr>
              <w:t xml:space="preserve"> </w:t>
            </w:r>
            <w:r>
              <w:rPr>
                <w:color w:val="auto"/>
                <w:spacing w:val="1"/>
                <w:highlight w:val="none"/>
              </w:rPr>
              <w:t>”为</w:t>
            </w:r>
            <w:r>
              <w:rPr>
                <w:color w:val="auto"/>
                <w:highlight w:val="none"/>
              </w:rPr>
              <w:t xml:space="preserve"> </w:t>
            </w:r>
            <w:r>
              <w:rPr>
                <w:color w:val="auto"/>
                <w:spacing w:val="-2"/>
                <w:highlight w:val="none"/>
              </w:rPr>
              <w:t>等外的意思。</w:t>
            </w:r>
          </w:p>
        </w:tc>
        <w:tc>
          <w:tcPr>
            <w:tcW w:w="612" w:type="dxa"/>
            <w:vAlign w:val="top"/>
          </w:tcPr>
          <w:p w14:paraId="23F7A185">
            <w:pPr>
              <w:spacing w:line="248" w:lineRule="auto"/>
              <w:rPr>
                <w:rFonts w:ascii="Arial"/>
                <w:color w:val="auto"/>
                <w:sz w:val="21"/>
                <w:highlight w:val="none"/>
              </w:rPr>
            </w:pPr>
          </w:p>
          <w:p w14:paraId="45E1B7D8">
            <w:pPr>
              <w:spacing w:line="248" w:lineRule="auto"/>
              <w:rPr>
                <w:rFonts w:ascii="Arial"/>
                <w:color w:val="auto"/>
                <w:sz w:val="21"/>
                <w:highlight w:val="none"/>
              </w:rPr>
            </w:pPr>
          </w:p>
          <w:p w14:paraId="08804EE3">
            <w:pPr>
              <w:spacing w:line="248" w:lineRule="auto"/>
              <w:rPr>
                <w:rFonts w:ascii="Arial"/>
                <w:color w:val="auto"/>
                <w:sz w:val="21"/>
                <w:highlight w:val="none"/>
              </w:rPr>
            </w:pPr>
          </w:p>
          <w:p w14:paraId="4F95BED3">
            <w:pPr>
              <w:spacing w:line="248" w:lineRule="auto"/>
              <w:rPr>
                <w:rFonts w:ascii="Arial"/>
                <w:color w:val="auto"/>
                <w:sz w:val="21"/>
                <w:highlight w:val="none"/>
              </w:rPr>
            </w:pPr>
          </w:p>
          <w:p w14:paraId="6ECC1B1B">
            <w:pPr>
              <w:spacing w:line="248" w:lineRule="auto"/>
              <w:rPr>
                <w:rFonts w:ascii="Arial"/>
                <w:color w:val="auto"/>
                <w:sz w:val="21"/>
                <w:highlight w:val="none"/>
              </w:rPr>
            </w:pPr>
          </w:p>
          <w:p w14:paraId="0F360EA8">
            <w:pPr>
              <w:pStyle w:val="14"/>
              <w:spacing w:before="78" w:line="183" w:lineRule="auto"/>
              <w:ind w:left="250"/>
              <w:rPr>
                <w:color w:val="auto"/>
                <w:highlight w:val="none"/>
              </w:rPr>
            </w:pPr>
            <w:r>
              <w:rPr>
                <w:color w:val="auto"/>
                <w:highlight w:val="none"/>
              </w:rPr>
              <w:t>4</w:t>
            </w:r>
          </w:p>
        </w:tc>
      </w:tr>
      <w:tr w14:paraId="2F480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74" w:type="dxa"/>
            <w:vMerge w:val="continue"/>
            <w:tcBorders>
              <w:top w:val="nil"/>
            </w:tcBorders>
            <w:vAlign w:val="top"/>
          </w:tcPr>
          <w:p w14:paraId="43A30929">
            <w:pPr>
              <w:rPr>
                <w:rFonts w:ascii="Arial"/>
                <w:color w:val="auto"/>
                <w:sz w:val="21"/>
                <w:highlight w:val="none"/>
              </w:rPr>
            </w:pPr>
          </w:p>
        </w:tc>
        <w:tc>
          <w:tcPr>
            <w:tcW w:w="909" w:type="dxa"/>
            <w:vAlign w:val="top"/>
          </w:tcPr>
          <w:p w14:paraId="555ACA01">
            <w:pPr>
              <w:spacing w:line="272" w:lineRule="auto"/>
              <w:rPr>
                <w:rFonts w:ascii="Arial"/>
                <w:color w:val="auto"/>
                <w:sz w:val="21"/>
                <w:highlight w:val="none"/>
              </w:rPr>
            </w:pPr>
          </w:p>
          <w:p w14:paraId="00085D99">
            <w:pPr>
              <w:pStyle w:val="14"/>
              <w:spacing w:before="78" w:line="230" w:lineRule="auto"/>
              <w:ind w:left="341" w:right="93" w:hanging="240"/>
              <w:rPr>
                <w:color w:val="auto"/>
                <w:highlight w:val="none"/>
              </w:rPr>
            </w:pPr>
            <w:r>
              <w:rPr>
                <w:color w:val="auto"/>
                <w:spacing w:val="-4"/>
                <w:highlight w:val="none"/>
              </w:rPr>
              <w:t>后续服</w:t>
            </w:r>
            <w:r>
              <w:rPr>
                <w:color w:val="auto"/>
                <w:highlight w:val="none"/>
              </w:rPr>
              <w:t xml:space="preserve"> 务</w:t>
            </w:r>
          </w:p>
        </w:tc>
        <w:tc>
          <w:tcPr>
            <w:tcW w:w="6559" w:type="dxa"/>
            <w:vAlign w:val="top"/>
          </w:tcPr>
          <w:p w14:paraId="44DDFA06">
            <w:pPr>
              <w:pStyle w:val="14"/>
              <w:spacing w:before="38" w:line="232" w:lineRule="auto"/>
              <w:ind w:left="12" w:right="2" w:hanging="4"/>
              <w:jc w:val="both"/>
              <w:rPr>
                <w:color w:val="auto"/>
                <w:highlight w:val="none"/>
              </w:rPr>
            </w:pPr>
            <w:r>
              <w:rPr>
                <w:color w:val="auto"/>
                <w:spacing w:val="11"/>
                <w:highlight w:val="none"/>
              </w:rPr>
              <w:t>评审小组根据供应商针对本项目提供的后续服务方案进行评</w:t>
            </w:r>
            <w:r>
              <w:rPr>
                <w:color w:val="auto"/>
                <w:spacing w:val="16"/>
                <w:highlight w:val="none"/>
              </w:rPr>
              <w:t xml:space="preserve"> </w:t>
            </w:r>
            <w:r>
              <w:rPr>
                <w:color w:val="auto"/>
                <w:spacing w:val="3"/>
                <w:highlight w:val="none"/>
              </w:rPr>
              <w:t>审，方案内容至少包含</w:t>
            </w:r>
            <w:r>
              <w:rPr>
                <w:color w:val="auto"/>
                <w:spacing w:val="-11"/>
                <w:highlight w:val="none"/>
              </w:rPr>
              <w:t>：（</w:t>
            </w:r>
            <w:r>
              <w:rPr>
                <w:color w:val="auto"/>
                <w:spacing w:val="3"/>
                <w:highlight w:val="none"/>
              </w:rPr>
              <w:t>1）质保期内外服务措施（2）响应</w:t>
            </w:r>
            <w:r>
              <w:rPr>
                <w:color w:val="auto"/>
                <w:spacing w:val="1"/>
                <w:highlight w:val="none"/>
              </w:rPr>
              <w:t xml:space="preserve"> </w:t>
            </w:r>
            <w:r>
              <w:rPr>
                <w:color w:val="auto"/>
                <w:spacing w:val="2"/>
                <w:highlight w:val="none"/>
              </w:rPr>
              <w:t>时间及问题处理措施（3）后续服务质量保障措施（4）针对本</w:t>
            </w:r>
            <w:r>
              <w:rPr>
                <w:color w:val="auto"/>
                <w:spacing w:val="1"/>
                <w:highlight w:val="none"/>
              </w:rPr>
              <w:t xml:space="preserve"> </w:t>
            </w:r>
            <w:r>
              <w:rPr>
                <w:color w:val="auto"/>
                <w:spacing w:val="-1"/>
                <w:highlight w:val="none"/>
              </w:rPr>
              <w:t>项目提供的后续服务人员配备方案及服务承诺。</w:t>
            </w:r>
          </w:p>
        </w:tc>
        <w:tc>
          <w:tcPr>
            <w:tcW w:w="612" w:type="dxa"/>
            <w:vAlign w:val="top"/>
          </w:tcPr>
          <w:p w14:paraId="315C438E">
            <w:pPr>
              <w:spacing w:line="465" w:lineRule="auto"/>
              <w:rPr>
                <w:rFonts w:ascii="Arial"/>
                <w:color w:val="auto"/>
                <w:sz w:val="21"/>
                <w:highlight w:val="none"/>
              </w:rPr>
            </w:pPr>
          </w:p>
          <w:p w14:paraId="711A80A9">
            <w:pPr>
              <w:pStyle w:val="14"/>
              <w:spacing w:before="78" w:line="183" w:lineRule="auto"/>
              <w:ind w:left="250"/>
              <w:rPr>
                <w:color w:val="auto"/>
                <w:highlight w:val="none"/>
              </w:rPr>
            </w:pPr>
            <w:r>
              <w:rPr>
                <w:color w:val="auto"/>
                <w:highlight w:val="none"/>
              </w:rPr>
              <w:t>4</w:t>
            </w:r>
          </w:p>
        </w:tc>
      </w:tr>
    </w:tbl>
    <w:p w14:paraId="321B923C">
      <w:pPr>
        <w:pStyle w:val="2"/>
        <w:rPr>
          <w:color w:val="auto"/>
          <w:highlight w:val="none"/>
        </w:rPr>
      </w:pPr>
    </w:p>
    <w:p w14:paraId="44A7F2FD">
      <w:pPr>
        <w:rPr>
          <w:color w:val="auto"/>
          <w:highlight w:val="none"/>
        </w:rPr>
        <w:sectPr>
          <w:footerReference r:id="rId23" w:type="default"/>
          <w:pgSz w:w="11906" w:h="16839"/>
          <w:pgMar w:top="1440" w:right="1800" w:bottom="1440" w:left="1800" w:header="0" w:footer="973" w:gutter="0"/>
          <w:pgNumType w:fmt="decimal"/>
          <w:cols w:space="720" w:num="1"/>
        </w:sectPr>
      </w:pPr>
    </w:p>
    <w:p w14:paraId="39FEDCDC">
      <w:pPr>
        <w:spacing w:before="18"/>
        <w:rPr>
          <w:color w:val="auto"/>
          <w:highlight w:val="none"/>
        </w:rPr>
      </w:pPr>
    </w:p>
    <w:tbl>
      <w:tblPr>
        <w:tblStyle w:val="13"/>
        <w:tblW w:w="90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4"/>
        <w:gridCol w:w="909"/>
        <w:gridCol w:w="6559"/>
        <w:gridCol w:w="612"/>
      </w:tblGrid>
      <w:tr w14:paraId="12C36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974" w:type="dxa"/>
            <w:vAlign w:val="top"/>
          </w:tcPr>
          <w:p w14:paraId="74F57CEF">
            <w:pPr>
              <w:rPr>
                <w:rFonts w:ascii="Arial"/>
                <w:color w:val="auto"/>
                <w:sz w:val="21"/>
                <w:highlight w:val="none"/>
              </w:rPr>
            </w:pPr>
          </w:p>
        </w:tc>
        <w:tc>
          <w:tcPr>
            <w:tcW w:w="909" w:type="dxa"/>
            <w:vAlign w:val="top"/>
          </w:tcPr>
          <w:p w14:paraId="35557247">
            <w:pPr>
              <w:rPr>
                <w:rFonts w:ascii="Arial"/>
                <w:color w:val="auto"/>
                <w:sz w:val="21"/>
                <w:highlight w:val="none"/>
              </w:rPr>
            </w:pPr>
          </w:p>
        </w:tc>
        <w:tc>
          <w:tcPr>
            <w:tcW w:w="6559" w:type="dxa"/>
            <w:vAlign w:val="top"/>
          </w:tcPr>
          <w:p w14:paraId="415D50DE">
            <w:pPr>
              <w:pStyle w:val="14"/>
              <w:spacing w:before="41" w:line="234" w:lineRule="auto"/>
              <w:ind w:left="7" w:firstLine="2"/>
              <w:jc w:val="both"/>
              <w:rPr>
                <w:color w:val="auto"/>
                <w:highlight w:val="none"/>
              </w:rPr>
            </w:pPr>
            <w:r>
              <w:rPr>
                <w:color w:val="auto"/>
                <w:spacing w:val="-6"/>
                <w:highlight w:val="none"/>
              </w:rPr>
              <w:t>方案完整包含以上内容且满足本项目要求得</w:t>
            </w:r>
            <w:r>
              <w:rPr>
                <w:color w:val="auto"/>
                <w:spacing w:val="-49"/>
                <w:highlight w:val="none"/>
              </w:rPr>
              <w:t xml:space="preserve"> </w:t>
            </w:r>
            <w:r>
              <w:rPr>
                <w:color w:val="auto"/>
                <w:spacing w:val="-6"/>
                <w:highlight w:val="none"/>
              </w:rPr>
              <w:t>4</w:t>
            </w:r>
            <w:r>
              <w:rPr>
                <w:color w:val="auto"/>
                <w:spacing w:val="-48"/>
                <w:highlight w:val="none"/>
              </w:rPr>
              <w:t xml:space="preserve"> </w:t>
            </w:r>
            <w:r>
              <w:rPr>
                <w:color w:val="auto"/>
                <w:spacing w:val="-6"/>
                <w:highlight w:val="none"/>
              </w:rPr>
              <w:t>分，每缺一项扣</w:t>
            </w:r>
            <w:r>
              <w:rPr>
                <w:color w:val="auto"/>
                <w:spacing w:val="-33"/>
                <w:highlight w:val="none"/>
              </w:rPr>
              <w:t xml:space="preserve"> </w:t>
            </w:r>
            <w:r>
              <w:rPr>
                <w:color w:val="auto"/>
                <w:spacing w:val="-6"/>
                <w:highlight w:val="none"/>
              </w:rPr>
              <w:t>1</w:t>
            </w:r>
            <w:r>
              <w:rPr>
                <w:color w:val="auto"/>
                <w:highlight w:val="none"/>
              </w:rPr>
              <w:t xml:space="preserve"> </w:t>
            </w:r>
            <w:r>
              <w:rPr>
                <w:color w:val="auto"/>
                <w:spacing w:val="2"/>
                <w:highlight w:val="none"/>
              </w:rPr>
              <w:t>分，每有一处不符合本项目特点或不完整或实际采购需求的扣</w:t>
            </w:r>
            <w:r>
              <w:rPr>
                <w:color w:val="auto"/>
                <w:spacing w:val="9"/>
                <w:highlight w:val="none"/>
              </w:rPr>
              <w:t xml:space="preserve"> </w:t>
            </w:r>
            <w:r>
              <w:rPr>
                <w:color w:val="auto"/>
                <w:spacing w:val="1"/>
                <w:highlight w:val="none"/>
              </w:rPr>
              <w:t>0.5</w:t>
            </w:r>
            <w:r>
              <w:rPr>
                <w:color w:val="auto"/>
                <w:spacing w:val="-36"/>
                <w:highlight w:val="none"/>
              </w:rPr>
              <w:t xml:space="preserve"> </w:t>
            </w:r>
            <w:r>
              <w:rPr>
                <w:color w:val="auto"/>
                <w:spacing w:val="1"/>
                <w:highlight w:val="none"/>
              </w:rPr>
              <w:t>分，本项最多扣4</w:t>
            </w:r>
            <w:r>
              <w:rPr>
                <w:color w:val="auto"/>
                <w:spacing w:val="-48"/>
                <w:highlight w:val="none"/>
              </w:rPr>
              <w:t xml:space="preserve"> </w:t>
            </w:r>
            <w:r>
              <w:rPr>
                <w:color w:val="auto"/>
                <w:spacing w:val="1"/>
                <w:highlight w:val="none"/>
              </w:rPr>
              <w:t>分。 备注：不符合本项目特点或实际采</w:t>
            </w:r>
            <w:r>
              <w:rPr>
                <w:color w:val="auto"/>
                <w:highlight w:val="none"/>
              </w:rPr>
              <w:t xml:space="preserve"> </w:t>
            </w:r>
            <w:r>
              <w:rPr>
                <w:color w:val="auto"/>
                <w:spacing w:val="2"/>
                <w:highlight w:val="none"/>
              </w:rPr>
              <w:t>购需求指：项目名称、实施地点、涉及的规范、标准与本项目</w:t>
            </w:r>
            <w:r>
              <w:rPr>
                <w:color w:val="auto"/>
                <w:spacing w:val="8"/>
                <w:highlight w:val="none"/>
              </w:rPr>
              <w:t xml:space="preserve"> </w:t>
            </w:r>
            <w:r>
              <w:rPr>
                <w:color w:val="auto"/>
                <w:spacing w:val="1"/>
                <w:highlight w:val="none"/>
              </w:rPr>
              <w:t>要求不一致；不符合本项目实际需求的等情况，此处“等</w:t>
            </w:r>
            <w:r>
              <w:rPr>
                <w:color w:val="auto"/>
                <w:spacing w:val="-84"/>
                <w:highlight w:val="none"/>
              </w:rPr>
              <w:t xml:space="preserve"> </w:t>
            </w:r>
            <w:r>
              <w:rPr>
                <w:color w:val="auto"/>
                <w:spacing w:val="1"/>
                <w:highlight w:val="none"/>
              </w:rPr>
              <w:t>”为</w:t>
            </w:r>
            <w:r>
              <w:rPr>
                <w:color w:val="auto"/>
                <w:highlight w:val="none"/>
              </w:rPr>
              <w:t xml:space="preserve"> </w:t>
            </w:r>
            <w:r>
              <w:rPr>
                <w:color w:val="auto"/>
                <w:spacing w:val="-2"/>
                <w:highlight w:val="none"/>
              </w:rPr>
              <w:t>等外的意思。</w:t>
            </w:r>
          </w:p>
        </w:tc>
        <w:tc>
          <w:tcPr>
            <w:tcW w:w="612" w:type="dxa"/>
            <w:vAlign w:val="top"/>
          </w:tcPr>
          <w:p w14:paraId="04E7C5E3">
            <w:pPr>
              <w:rPr>
                <w:rFonts w:ascii="Arial"/>
                <w:color w:val="auto"/>
                <w:sz w:val="21"/>
                <w:highlight w:val="none"/>
              </w:rPr>
            </w:pPr>
          </w:p>
        </w:tc>
      </w:tr>
      <w:tr w14:paraId="55340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442" w:type="dxa"/>
            <w:gridSpan w:val="3"/>
            <w:vAlign w:val="top"/>
          </w:tcPr>
          <w:p w14:paraId="4616E9C5">
            <w:pPr>
              <w:pStyle w:val="14"/>
              <w:spacing w:before="99" w:line="221" w:lineRule="auto"/>
              <w:ind w:left="3990"/>
              <w:rPr>
                <w:color w:val="auto"/>
                <w:highlight w:val="none"/>
              </w:rPr>
            </w:pPr>
            <w:r>
              <w:rPr>
                <w:color w:val="auto"/>
                <w:spacing w:val="-6"/>
                <w:highlight w:val="none"/>
              </w:rPr>
              <w:t>合计</w:t>
            </w:r>
          </w:p>
        </w:tc>
        <w:tc>
          <w:tcPr>
            <w:tcW w:w="612" w:type="dxa"/>
            <w:vAlign w:val="top"/>
          </w:tcPr>
          <w:p w14:paraId="3826DFEF">
            <w:pPr>
              <w:pStyle w:val="14"/>
              <w:spacing w:before="137" w:line="183" w:lineRule="auto"/>
              <w:ind w:left="197"/>
              <w:rPr>
                <w:color w:val="auto"/>
                <w:highlight w:val="none"/>
              </w:rPr>
            </w:pPr>
            <w:r>
              <w:rPr>
                <w:color w:val="auto"/>
                <w:spacing w:val="-8"/>
                <w:highlight w:val="none"/>
              </w:rPr>
              <w:t>70</w:t>
            </w:r>
          </w:p>
        </w:tc>
      </w:tr>
    </w:tbl>
    <w:p w14:paraId="26E01D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p w14:paraId="67EC77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经济标《详细评审》</w:t>
      </w:r>
    </w:p>
    <w:p w14:paraId="5ADFDB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磋商小组只对通过上述评审的经济标进行详细评审，看其是否有计算或表达上的</w:t>
      </w:r>
      <w:r>
        <w:rPr>
          <w:rFonts w:ascii="宋体" w:hAnsi="宋体" w:eastAsia="宋体" w:cs="宋体"/>
          <w:color w:val="auto"/>
          <w:spacing w:val="-1"/>
          <w:sz w:val="24"/>
          <w:szCs w:val="24"/>
          <w:highlight w:val="none"/>
        </w:rPr>
        <w:t>错误，修改错误的原则如下：</w:t>
      </w:r>
    </w:p>
    <w:p w14:paraId="278321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⑴ 投标总价应按建设项目投标报价汇总表合计金额填写。如不一致，以建设项</w:t>
      </w:r>
      <w:r>
        <w:rPr>
          <w:rFonts w:ascii="宋体" w:hAnsi="宋体" w:eastAsia="宋体" w:cs="宋体"/>
          <w:color w:val="auto"/>
          <w:spacing w:val="-4"/>
          <w:sz w:val="24"/>
          <w:szCs w:val="24"/>
          <w:highlight w:val="none"/>
        </w:rPr>
        <w:t>目投标报价汇总表合计金额为准。</w:t>
      </w:r>
    </w:p>
    <w:p w14:paraId="3792C3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⑵ 建设项目投标报价汇总表中单项工程名称、金额应按单项工程投标报价汇总</w:t>
      </w:r>
      <w:r>
        <w:rPr>
          <w:rFonts w:ascii="宋体" w:hAnsi="宋体" w:eastAsia="宋体" w:cs="宋体"/>
          <w:color w:val="auto"/>
          <w:spacing w:val="-1"/>
          <w:sz w:val="24"/>
          <w:szCs w:val="24"/>
          <w:highlight w:val="none"/>
        </w:rPr>
        <w:t>表的工程名称、合计金额填写。如不一致，以单项工程</w:t>
      </w:r>
      <w:r>
        <w:rPr>
          <w:rFonts w:ascii="宋体" w:hAnsi="宋体" w:eastAsia="宋体" w:cs="宋体"/>
          <w:color w:val="auto"/>
          <w:spacing w:val="-2"/>
          <w:sz w:val="24"/>
          <w:szCs w:val="24"/>
          <w:highlight w:val="none"/>
        </w:rPr>
        <w:t>投标报价汇总表的工程名称、合计金额为准。</w:t>
      </w:r>
    </w:p>
    <w:p w14:paraId="057774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⑶ 单项工程投标报价汇总表中单位工程名称、金额应按单位工程投标报价汇总</w:t>
      </w:r>
      <w:r>
        <w:rPr>
          <w:rFonts w:ascii="宋体" w:hAnsi="宋体" w:eastAsia="宋体" w:cs="宋体"/>
          <w:color w:val="auto"/>
          <w:spacing w:val="-1"/>
          <w:sz w:val="24"/>
          <w:szCs w:val="24"/>
          <w:highlight w:val="none"/>
        </w:rPr>
        <w:t>表的工程名称、合计金额填写。如不一致，以单位工程</w:t>
      </w:r>
      <w:r>
        <w:rPr>
          <w:rFonts w:ascii="宋体" w:hAnsi="宋体" w:eastAsia="宋体" w:cs="宋体"/>
          <w:color w:val="auto"/>
          <w:spacing w:val="-2"/>
          <w:sz w:val="24"/>
          <w:szCs w:val="24"/>
          <w:highlight w:val="none"/>
        </w:rPr>
        <w:t>投标报价汇总表的工程名称、合计金额为准。</w:t>
      </w:r>
    </w:p>
    <w:p w14:paraId="1D869C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⑷ 单位工程投标报价汇总表中的金额应分别按照分部分项工程和单价措施项目</w:t>
      </w:r>
      <w:r>
        <w:rPr>
          <w:rFonts w:ascii="宋体" w:hAnsi="宋体" w:eastAsia="宋体" w:cs="宋体"/>
          <w:color w:val="auto"/>
          <w:spacing w:val="-3"/>
          <w:sz w:val="24"/>
          <w:szCs w:val="24"/>
          <w:highlight w:val="none"/>
        </w:rPr>
        <w:t>清单与计价表、总价措施项目清单与计价表和其他项目清单与计价汇总表的合计金额填写，如不一致，以分部分项工程和单价措施项目清单与计价表、总价措施项目清单</w:t>
      </w:r>
      <w:r>
        <w:rPr>
          <w:rFonts w:ascii="宋体" w:hAnsi="宋体" w:eastAsia="宋体" w:cs="宋体"/>
          <w:color w:val="auto"/>
          <w:spacing w:val="-1"/>
          <w:sz w:val="24"/>
          <w:szCs w:val="24"/>
          <w:highlight w:val="none"/>
        </w:rPr>
        <w:t>与计价表和其他项目清单与计价汇总表的合计金额为准</w:t>
      </w:r>
      <w:r>
        <w:rPr>
          <w:rFonts w:ascii="宋体" w:hAnsi="宋体" w:eastAsia="宋体" w:cs="宋体"/>
          <w:color w:val="auto"/>
          <w:spacing w:val="-2"/>
          <w:sz w:val="24"/>
          <w:szCs w:val="24"/>
          <w:highlight w:val="none"/>
        </w:rPr>
        <w:t>。并按有关规定计算的规费、</w:t>
      </w:r>
      <w:r>
        <w:rPr>
          <w:rFonts w:ascii="宋体" w:hAnsi="宋体" w:eastAsia="宋体" w:cs="宋体"/>
          <w:color w:val="auto"/>
          <w:spacing w:val="-3"/>
          <w:sz w:val="24"/>
          <w:szCs w:val="24"/>
          <w:highlight w:val="none"/>
        </w:rPr>
        <w:t>税金填写（规费和税金应按国家或省级、行业建设主管部门的规定计算，不得作为竞</w:t>
      </w:r>
      <w:r>
        <w:rPr>
          <w:rFonts w:ascii="宋体" w:hAnsi="宋体" w:eastAsia="宋体" w:cs="宋体"/>
          <w:color w:val="auto"/>
          <w:spacing w:val="-2"/>
          <w:sz w:val="24"/>
          <w:szCs w:val="24"/>
          <w:highlight w:val="none"/>
        </w:rPr>
        <w:t>争性费用）。</w:t>
      </w:r>
    </w:p>
    <w:p w14:paraId="0D45F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⑸ 总价措施项目清单与计价表中投标人可根据工程实际情况结合施工组织设计，</w:t>
      </w:r>
      <w:r>
        <w:rPr>
          <w:rFonts w:ascii="宋体" w:hAnsi="宋体" w:eastAsia="宋体" w:cs="宋体"/>
          <w:color w:val="auto"/>
          <w:spacing w:val="-3"/>
          <w:sz w:val="24"/>
          <w:szCs w:val="24"/>
          <w:highlight w:val="none"/>
        </w:rPr>
        <w:t>对采购人所列的措施项目进行增补，其中安全文明施工费应按照国家或省级、行业建</w:t>
      </w:r>
      <w:r>
        <w:rPr>
          <w:rFonts w:ascii="宋体" w:hAnsi="宋体" w:eastAsia="宋体" w:cs="宋体"/>
          <w:color w:val="auto"/>
          <w:spacing w:val="-1"/>
          <w:sz w:val="24"/>
          <w:szCs w:val="24"/>
          <w:highlight w:val="none"/>
        </w:rPr>
        <w:t>设主管部门的规定计价，不得作为竞争性费用。</w:t>
      </w:r>
    </w:p>
    <w:p w14:paraId="356097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⑹ 其他项目清单与计价汇总表应按下列规定填报</w:t>
      </w:r>
    </w:p>
    <w:p w14:paraId="7CE6A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① 暂列金额应按采购人在其他项目清单中列出的</w:t>
      </w:r>
      <w:r>
        <w:rPr>
          <w:rFonts w:ascii="宋体" w:hAnsi="宋体" w:eastAsia="宋体" w:cs="宋体"/>
          <w:color w:val="auto"/>
          <w:spacing w:val="-1"/>
          <w:sz w:val="24"/>
          <w:szCs w:val="24"/>
          <w:highlight w:val="none"/>
        </w:rPr>
        <w:t>金额填写，不得变动。</w:t>
      </w:r>
    </w:p>
    <w:p w14:paraId="50BB0F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24" w:type="default"/>
          <w:pgSz w:w="11906" w:h="16839"/>
          <w:pgMar w:top="1440" w:right="1800" w:bottom="1440" w:left="1800" w:header="0" w:footer="973" w:gutter="0"/>
          <w:pgNumType w:fmt="decimal"/>
          <w:cols w:space="720" w:num="1"/>
        </w:sectPr>
      </w:pPr>
    </w:p>
    <w:p w14:paraId="5EFE32C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z w:val="24"/>
          <w:szCs w:val="24"/>
          <w:highlight w:val="none"/>
        </w:rPr>
      </w:pPr>
      <w:bookmarkStart w:id="18" w:name="bookmark13"/>
      <w:bookmarkEnd w:id="18"/>
      <w:r>
        <w:rPr>
          <w:rFonts w:ascii="宋体" w:hAnsi="宋体" w:eastAsia="宋体" w:cs="宋体"/>
          <w:color w:val="auto"/>
          <w:sz w:val="24"/>
          <w:szCs w:val="24"/>
          <w:highlight w:val="none"/>
        </w:rPr>
        <w:t>② 材料(工程设备)暂估价应按采购人在其他项目清单中列出的单价计入综合</w:t>
      </w:r>
      <w:r>
        <w:rPr>
          <w:rFonts w:ascii="宋体" w:hAnsi="宋体" w:eastAsia="宋体" w:cs="宋体"/>
          <w:color w:val="auto"/>
          <w:spacing w:val="-3"/>
          <w:sz w:val="24"/>
          <w:szCs w:val="24"/>
          <w:highlight w:val="none"/>
        </w:rPr>
        <w:t>单价；专业工程暂估价应按采购人在其他项目清单中列出的金额填写，不得变动和更</w:t>
      </w:r>
      <w:r>
        <w:rPr>
          <w:rFonts w:ascii="宋体" w:hAnsi="宋体" w:eastAsia="宋体" w:cs="宋体"/>
          <w:color w:val="auto"/>
          <w:spacing w:val="-6"/>
          <w:sz w:val="24"/>
          <w:szCs w:val="24"/>
          <w:highlight w:val="none"/>
        </w:rPr>
        <w:t>改。</w:t>
      </w:r>
    </w:p>
    <w:p w14:paraId="0F84651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 计日工按采购人在其他项目清单中列出的项目和数量，</w:t>
      </w:r>
      <w:r>
        <w:rPr>
          <w:rFonts w:ascii="宋体" w:hAnsi="宋体" w:eastAsia="宋体" w:cs="宋体"/>
          <w:color w:val="auto"/>
          <w:spacing w:val="-69"/>
          <w:sz w:val="24"/>
          <w:szCs w:val="24"/>
          <w:highlight w:val="none"/>
        </w:rPr>
        <w:t xml:space="preserve"> </w:t>
      </w:r>
      <w:r>
        <w:rPr>
          <w:rFonts w:ascii="宋体" w:hAnsi="宋体" w:eastAsia="宋体" w:cs="宋体"/>
          <w:color w:val="auto"/>
          <w:spacing w:val="-1"/>
          <w:sz w:val="24"/>
          <w:szCs w:val="24"/>
          <w:highlight w:val="none"/>
        </w:rPr>
        <w:t>自主确定综合单价</w:t>
      </w:r>
      <w:r>
        <w:rPr>
          <w:rFonts w:ascii="宋体" w:hAnsi="宋体" w:eastAsia="宋体" w:cs="宋体"/>
          <w:color w:val="auto"/>
          <w:spacing w:val="-2"/>
          <w:sz w:val="24"/>
          <w:szCs w:val="24"/>
          <w:highlight w:val="none"/>
        </w:rPr>
        <w:t>并计算计日工费用；</w:t>
      </w:r>
    </w:p>
    <w:p w14:paraId="2DC57A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④ 总承包服务费根据磋商文件中列出的内容和提</w:t>
      </w:r>
      <w:r>
        <w:rPr>
          <w:rFonts w:ascii="宋体" w:hAnsi="宋体" w:eastAsia="宋体" w:cs="宋体"/>
          <w:color w:val="auto"/>
          <w:spacing w:val="-1"/>
          <w:sz w:val="24"/>
          <w:szCs w:val="24"/>
          <w:highlight w:val="none"/>
        </w:rPr>
        <w:t>出的要求自主确定。</w:t>
      </w:r>
    </w:p>
    <w:p w14:paraId="17E877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pacing w:val="11"/>
          <w:sz w:val="24"/>
          <w:szCs w:val="24"/>
          <w:highlight w:val="none"/>
        </w:rPr>
      </w:pPr>
      <w:r>
        <w:rPr>
          <w:rFonts w:ascii="宋体" w:hAnsi="宋体" w:eastAsia="宋体" w:cs="宋体"/>
          <w:color w:val="auto"/>
          <w:spacing w:val="-1"/>
          <w:sz w:val="24"/>
          <w:szCs w:val="24"/>
          <w:highlight w:val="none"/>
        </w:rPr>
        <w:t>⑺ 投标报价当用数字表示的数额与用文字表示的数额不一致时，以文字为准。</w:t>
      </w:r>
      <w:r>
        <w:rPr>
          <w:rFonts w:ascii="宋体" w:hAnsi="宋体" w:eastAsia="宋体" w:cs="宋体"/>
          <w:color w:val="auto"/>
          <w:spacing w:val="11"/>
          <w:sz w:val="24"/>
          <w:szCs w:val="24"/>
          <w:highlight w:val="none"/>
        </w:rPr>
        <w:t xml:space="preserve"> </w:t>
      </w:r>
    </w:p>
    <w:p w14:paraId="5BD8B7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⑻ 当单价与工程量的乘积与细目总价不一致时，通常以该行填报的单价为准。</w:t>
      </w:r>
      <w:r>
        <w:rPr>
          <w:rFonts w:ascii="宋体" w:hAnsi="宋体" w:eastAsia="宋体" w:cs="宋体"/>
          <w:color w:val="auto"/>
          <w:spacing w:val="-3"/>
          <w:sz w:val="24"/>
          <w:szCs w:val="24"/>
          <w:highlight w:val="none"/>
        </w:rPr>
        <w:t>除非磋商小组认为单价有明显的小数点错位，此时应以填报的细目</w:t>
      </w:r>
      <w:r>
        <w:rPr>
          <w:rFonts w:ascii="宋体" w:hAnsi="宋体" w:eastAsia="宋体" w:cs="宋体"/>
          <w:color w:val="auto"/>
          <w:spacing w:val="-4"/>
          <w:sz w:val="24"/>
          <w:szCs w:val="24"/>
          <w:highlight w:val="none"/>
        </w:rPr>
        <w:t>总价为准，并修改单价。</w:t>
      </w:r>
    </w:p>
    <w:p w14:paraId="1F3CE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磋商小组通过上述评审和修正后的价格作为投标人的最终投标报价。投标人应当澄清和签字确认，否则采购人对投标人的响应文件将予以拒绝并且其投标保证金也将</w:t>
      </w:r>
      <w:r>
        <w:rPr>
          <w:rFonts w:ascii="宋体" w:hAnsi="宋体" w:eastAsia="宋体" w:cs="宋体"/>
          <w:color w:val="auto"/>
          <w:spacing w:val="-1"/>
          <w:sz w:val="24"/>
          <w:szCs w:val="24"/>
          <w:highlight w:val="none"/>
        </w:rPr>
        <w:t>被没收，并不影响评标工作。</w:t>
      </w:r>
    </w:p>
    <w:p w14:paraId="16943B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25" w:type="default"/>
          <w:pgSz w:w="11906" w:h="16839"/>
          <w:pgMar w:top="1440" w:right="1800" w:bottom="1440" w:left="1800" w:header="0" w:footer="973" w:gutter="0"/>
          <w:pgNumType w:fmt="decimal"/>
          <w:cols w:space="720" w:num="1"/>
        </w:sectPr>
      </w:pPr>
    </w:p>
    <w:p w14:paraId="38C0BE4A">
      <w:pPr>
        <w:pStyle w:val="2"/>
        <w:spacing w:line="282" w:lineRule="auto"/>
        <w:rPr>
          <w:color w:val="auto"/>
          <w:highlight w:val="none"/>
        </w:rPr>
      </w:pPr>
    </w:p>
    <w:p w14:paraId="270608C9">
      <w:pPr>
        <w:spacing w:before="101" w:line="224" w:lineRule="auto"/>
        <w:ind w:left="2788"/>
        <w:outlineLvl w:val="0"/>
        <w:rPr>
          <w:rFonts w:ascii="宋体" w:hAnsi="宋体" w:eastAsia="宋体" w:cs="宋体"/>
          <w:color w:val="auto"/>
          <w:sz w:val="31"/>
          <w:szCs w:val="31"/>
          <w:highlight w:val="none"/>
        </w:rPr>
      </w:pPr>
      <w:bookmarkStart w:id="19" w:name="_Toc10411"/>
      <w:r>
        <w:rPr>
          <w:rFonts w:ascii="宋体" w:hAnsi="宋体" w:eastAsia="宋体" w:cs="宋体"/>
          <w:b/>
          <w:bCs/>
          <w:color w:val="auto"/>
          <w:spacing w:val="6"/>
          <w:sz w:val="31"/>
          <w:szCs w:val="31"/>
          <w:highlight w:val="none"/>
        </w:rPr>
        <w:t>第五章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合同条款及格</w:t>
      </w:r>
      <w:bookmarkEnd w:id="19"/>
    </w:p>
    <w:p w14:paraId="1950FD38">
      <w:pPr>
        <w:spacing w:before="193" w:line="220" w:lineRule="auto"/>
        <w:ind w:left="2717"/>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（具体以实际签订的合同为准）</w:t>
      </w:r>
    </w:p>
    <w:p w14:paraId="2A3CE23B">
      <w:pPr>
        <w:pStyle w:val="2"/>
        <w:spacing w:line="432" w:lineRule="auto"/>
        <w:rPr>
          <w:color w:val="auto"/>
          <w:highlight w:val="none"/>
        </w:rPr>
      </w:pPr>
    </w:p>
    <w:p w14:paraId="5F238603">
      <w:pPr>
        <w:spacing w:before="78" w:line="219" w:lineRule="auto"/>
        <w:ind w:left="3186"/>
        <w:outlineLvl w:val="1"/>
        <w:rPr>
          <w:rFonts w:ascii="宋体" w:hAnsi="宋体" w:eastAsia="宋体" w:cs="宋体"/>
          <w:color w:val="auto"/>
          <w:sz w:val="24"/>
          <w:szCs w:val="24"/>
          <w:highlight w:val="none"/>
        </w:rPr>
      </w:pPr>
      <w:bookmarkStart w:id="20" w:name="_Toc5643"/>
      <w:r>
        <w:rPr>
          <w:rFonts w:ascii="宋体" w:hAnsi="宋体" w:eastAsia="宋体" w:cs="宋体"/>
          <w:b/>
          <w:bCs/>
          <w:color w:val="auto"/>
          <w:spacing w:val="-6"/>
          <w:sz w:val="24"/>
          <w:szCs w:val="24"/>
          <w:highlight w:val="none"/>
        </w:rPr>
        <w:t>第</w:t>
      </w:r>
      <w:r>
        <w:rPr>
          <w:rFonts w:ascii="宋体" w:hAnsi="宋体" w:eastAsia="宋体" w:cs="宋体"/>
          <w:color w:val="auto"/>
          <w:spacing w:val="-30"/>
          <w:sz w:val="24"/>
          <w:szCs w:val="24"/>
          <w:highlight w:val="none"/>
        </w:rPr>
        <w:t xml:space="preserve"> </w:t>
      </w:r>
      <w:r>
        <w:rPr>
          <w:rFonts w:ascii="宋体" w:hAnsi="宋体" w:eastAsia="宋体" w:cs="宋体"/>
          <w:b/>
          <w:bCs/>
          <w:color w:val="auto"/>
          <w:spacing w:val="-6"/>
          <w:sz w:val="24"/>
          <w:szCs w:val="24"/>
          <w:highlight w:val="none"/>
        </w:rPr>
        <w:t>1</w:t>
      </w:r>
      <w:r>
        <w:rPr>
          <w:rFonts w:ascii="宋体" w:hAnsi="宋体" w:eastAsia="宋体" w:cs="宋体"/>
          <w:color w:val="auto"/>
          <w:spacing w:val="-48"/>
          <w:sz w:val="24"/>
          <w:szCs w:val="24"/>
          <w:highlight w:val="none"/>
        </w:rPr>
        <w:t xml:space="preserve"> </w:t>
      </w:r>
      <w:r>
        <w:rPr>
          <w:rFonts w:ascii="宋体" w:hAnsi="宋体" w:eastAsia="宋体" w:cs="宋体"/>
          <w:b/>
          <w:bCs/>
          <w:color w:val="auto"/>
          <w:spacing w:val="-6"/>
          <w:sz w:val="24"/>
          <w:szCs w:val="24"/>
          <w:highlight w:val="none"/>
        </w:rPr>
        <w:t>节</w:t>
      </w:r>
      <w:r>
        <w:rPr>
          <w:rFonts w:ascii="宋体" w:hAnsi="宋体" w:eastAsia="宋体" w:cs="宋体"/>
          <w:color w:val="auto"/>
          <w:spacing w:val="-6"/>
          <w:sz w:val="24"/>
          <w:szCs w:val="24"/>
          <w:highlight w:val="none"/>
        </w:rPr>
        <w:t xml:space="preserve">  </w:t>
      </w:r>
      <w:r>
        <w:rPr>
          <w:rFonts w:ascii="宋体" w:hAnsi="宋体" w:eastAsia="宋体" w:cs="宋体"/>
          <w:b/>
          <w:bCs/>
          <w:color w:val="auto"/>
          <w:spacing w:val="-6"/>
          <w:sz w:val="24"/>
          <w:szCs w:val="24"/>
          <w:highlight w:val="none"/>
        </w:rPr>
        <w:t>通用合同条款</w:t>
      </w:r>
      <w:bookmarkEnd w:id="20"/>
    </w:p>
    <w:p w14:paraId="39423266">
      <w:pPr>
        <w:spacing w:before="232" w:line="221" w:lineRule="auto"/>
        <w:ind w:left="404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（略）</w:t>
      </w:r>
    </w:p>
    <w:p w14:paraId="5686F0F8">
      <w:pPr>
        <w:pStyle w:val="2"/>
        <w:spacing w:line="312" w:lineRule="auto"/>
        <w:rPr>
          <w:color w:val="auto"/>
          <w:highlight w:val="none"/>
        </w:rPr>
      </w:pPr>
    </w:p>
    <w:p w14:paraId="3A1F3E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ascii="宋体" w:hAnsi="宋体" w:eastAsia="宋体" w:cs="宋体"/>
          <w:color w:val="auto"/>
          <w:sz w:val="28"/>
          <w:szCs w:val="28"/>
          <w:highlight w:val="none"/>
        </w:rPr>
      </w:pPr>
      <w:bookmarkStart w:id="21" w:name="_Toc241"/>
      <w:r>
        <w:rPr>
          <w:rFonts w:ascii="宋体" w:hAnsi="宋体" w:eastAsia="宋体" w:cs="宋体"/>
          <w:b/>
          <w:bCs/>
          <w:color w:val="auto"/>
          <w:spacing w:val="-5"/>
          <w:sz w:val="28"/>
          <w:szCs w:val="28"/>
          <w:highlight w:val="none"/>
        </w:rPr>
        <w:t>第</w:t>
      </w:r>
      <w:r>
        <w:rPr>
          <w:rFonts w:ascii="宋体" w:hAnsi="宋体" w:eastAsia="宋体" w:cs="宋体"/>
          <w:color w:val="auto"/>
          <w:spacing w:val="-55"/>
          <w:sz w:val="28"/>
          <w:szCs w:val="28"/>
          <w:highlight w:val="none"/>
        </w:rPr>
        <w:t xml:space="preserve"> </w:t>
      </w:r>
      <w:r>
        <w:rPr>
          <w:rFonts w:ascii="宋体" w:hAnsi="宋体" w:eastAsia="宋体" w:cs="宋体"/>
          <w:b/>
          <w:bCs/>
          <w:color w:val="auto"/>
          <w:spacing w:val="-5"/>
          <w:sz w:val="28"/>
          <w:szCs w:val="28"/>
          <w:highlight w:val="none"/>
        </w:rPr>
        <w:t>2</w:t>
      </w:r>
      <w:r>
        <w:rPr>
          <w:rFonts w:ascii="宋体" w:hAnsi="宋体" w:eastAsia="宋体" w:cs="宋体"/>
          <w:color w:val="auto"/>
          <w:spacing w:val="-58"/>
          <w:sz w:val="28"/>
          <w:szCs w:val="28"/>
          <w:highlight w:val="none"/>
        </w:rPr>
        <w:t xml:space="preserve"> </w:t>
      </w:r>
      <w:r>
        <w:rPr>
          <w:rFonts w:ascii="宋体" w:hAnsi="宋体" w:eastAsia="宋体" w:cs="宋体"/>
          <w:b/>
          <w:bCs/>
          <w:color w:val="auto"/>
          <w:spacing w:val="-5"/>
          <w:sz w:val="28"/>
          <w:szCs w:val="28"/>
          <w:highlight w:val="none"/>
        </w:rPr>
        <w:t>节</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专用合同条款</w:t>
      </w:r>
      <w:bookmarkEnd w:id="21"/>
    </w:p>
    <w:p w14:paraId="1D765F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1"/>
          <w:sz w:val="24"/>
          <w:szCs w:val="24"/>
          <w:highlight w:val="none"/>
        </w:rPr>
        <w:t>1</w:t>
      </w:r>
      <w:r>
        <w:rPr>
          <w:rFonts w:ascii="宋体" w:hAnsi="宋体" w:eastAsia="宋体" w:cs="宋体"/>
          <w:color w:val="auto"/>
          <w:spacing w:val="9"/>
          <w:sz w:val="24"/>
          <w:szCs w:val="24"/>
          <w:highlight w:val="none"/>
        </w:rPr>
        <w:t xml:space="preserve">  </w:t>
      </w:r>
      <w:r>
        <w:rPr>
          <w:rFonts w:ascii="宋体" w:hAnsi="宋体" w:eastAsia="宋体" w:cs="宋体"/>
          <w:b/>
          <w:bCs/>
          <w:color w:val="auto"/>
          <w:spacing w:val="-11"/>
          <w:sz w:val="24"/>
          <w:szCs w:val="24"/>
          <w:highlight w:val="none"/>
        </w:rPr>
        <w:t>一般约定</w:t>
      </w:r>
    </w:p>
    <w:p w14:paraId="7AAEB19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《专用合同条款》中的各条款是补充和修改《通用合同条款》中相同的条款</w:t>
      </w:r>
      <w:r>
        <w:rPr>
          <w:rFonts w:ascii="宋体" w:hAnsi="宋体" w:eastAsia="宋体" w:cs="宋体"/>
          <w:color w:val="auto"/>
          <w:spacing w:val="-3"/>
          <w:sz w:val="24"/>
          <w:szCs w:val="24"/>
          <w:highlight w:val="none"/>
        </w:rPr>
        <w:t>或当需要时增加的新的条款，两者应对照阅读。一旦出现矛盾或不一致，则以《专用</w:t>
      </w:r>
      <w:r>
        <w:rPr>
          <w:rFonts w:ascii="宋体" w:hAnsi="宋体" w:eastAsia="宋体" w:cs="宋体"/>
          <w:color w:val="auto"/>
          <w:spacing w:val="-1"/>
          <w:sz w:val="24"/>
          <w:szCs w:val="24"/>
          <w:highlight w:val="none"/>
        </w:rPr>
        <w:t>合同条款》为准，《通用合同条款》中未补充和修改的部分仍有效。</w:t>
      </w:r>
    </w:p>
    <w:p w14:paraId="74FBEE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w:t>
      </w:r>
      <w:r>
        <w:rPr>
          <w:rFonts w:ascii="宋体" w:hAnsi="宋体" w:eastAsia="宋体" w:cs="宋体"/>
          <w:color w:val="auto"/>
          <w:spacing w:val="-47"/>
          <w:sz w:val="24"/>
          <w:szCs w:val="24"/>
          <w:highlight w:val="none"/>
        </w:rPr>
        <w:t xml:space="preserve"> </w:t>
      </w:r>
      <w:r>
        <w:rPr>
          <w:rFonts w:ascii="宋体" w:hAnsi="宋体" w:eastAsia="宋体" w:cs="宋体"/>
          <w:color w:val="auto"/>
          <w:spacing w:val="-6"/>
          <w:sz w:val="24"/>
          <w:szCs w:val="24"/>
          <w:highlight w:val="none"/>
        </w:rPr>
        <w:t>词语定义</w:t>
      </w:r>
    </w:p>
    <w:p w14:paraId="7EE299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1.1.2</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合同当事人和人员</w:t>
      </w:r>
      <w:r>
        <w:rPr>
          <w:rFonts w:ascii="宋体" w:hAnsi="宋体" w:eastAsia="宋体" w:cs="宋体"/>
          <w:color w:val="auto"/>
          <w:sz w:val="24"/>
          <w:szCs w:val="24"/>
          <w:highlight w:val="none"/>
        </w:rPr>
        <w:t xml:space="preserve"> </w:t>
      </w: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ascii="宋体" w:hAnsi="宋体" w:eastAsia="宋体" w:cs="宋体"/>
          <w:color w:val="auto"/>
          <w:spacing w:val="-4"/>
          <w:sz w:val="24"/>
          <w:szCs w:val="24"/>
          <w:highlight w:val="none"/>
        </w:rPr>
        <w:t>1.1.2.2</w:t>
      </w:r>
      <w:r>
        <w:rPr>
          <w:rFonts w:ascii="宋体" w:hAnsi="宋体" w:eastAsia="宋体" w:cs="宋体"/>
          <w:color w:val="auto"/>
          <w:spacing w:val="-4"/>
          <w:sz w:val="24"/>
          <w:szCs w:val="24"/>
          <w:highlight w:val="none"/>
        </w:rPr>
        <w:fldChar w:fldCharType="end"/>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发包人：</w:t>
      </w:r>
    </w:p>
    <w:p w14:paraId="45C3CA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ascii="宋体" w:hAnsi="宋体" w:eastAsia="宋体" w:cs="宋体"/>
          <w:color w:val="auto"/>
          <w:spacing w:val="-3"/>
          <w:sz w:val="24"/>
          <w:szCs w:val="24"/>
          <w:highlight w:val="none"/>
        </w:rPr>
        <w:t>1.1.2.3</w:t>
      </w:r>
      <w:r>
        <w:rPr>
          <w:rFonts w:ascii="宋体" w:hAnsi="宋体" w:eastAsia="宋体" w:cs="宋体"/>
          <w:color w:val="auto"/>
          <w:spacing w:val="-3"/>
          <w:sz w:val="24"/>
          <w:szCs w:val="24"/>
          <w:highlight w:val="none"/>
        </w:rPr>
        <w:fldChar w:fldCharType="end"/>
      </w:r>
      <w:r>
        <w:rPr>
          <w:rFonts w:ascii="宋体" w:hAnsi="宋体" w:eastAsia="宋体" w:cs="宋体"/>
          <w:color w:val="auto"/>
          <w:spacing w:val="-35"/>
          <w:sz w:val="24"/>
          <w:szCs w:val="24"/>
          <w:highlight w:val="none"/>
        </w:rPr>
        <w:t xml:space="preserve"> </w:t>
      </w:r>
      <w:r>
        <w:rPr>
          <w:rFonts w:ascii="宋体" w:hAnsi="宋体" w:eastAsia="宋体" w:cs="宋体"/>
          <w:color w:val="auto"/>
          <w:spacing w:val="-3"/>
          <w:sz w:val="24"/>
          <w:szCs w:val="24"/>
          <w:highlight w:val="none"/>
        </w:rPr>
        <w:t>承包人：</w:t>
      </w:r>
      <w:r>
        <w:rPr>
          <w:rFonts w:ascii="宋体" w:hAnsi="宋体" w:eastAsia="宋体" w:cs="宋体"/>
          <w:color w:val="auto"/>
          <w:spacing w:val="-3"/>
          <w:sz w:val="24"/>
          <w:szCs w:val="24"/>
          <w:highlight w:val="none"/>
          <w:u w:val="single" w:color="auto"/>
        </w:rPr>
        <w:t>由本次采购选定</w:t>
      </w:r>
      <w:r>
        <w:rPr>
          <w:rFonts w:ascii="宋体" w:hAnsi="宋体" w:eastAsia="宋体" w:cs="宋体"/>
          <w:color w:val="auto"/>
          <w:sz w:val="24"/>
          <w:szCs w:val="24"/>
          <w:highlight w:val="none"/>
          <w:u w:val="single" w:color="auto"/>
        </w:rPr>
        <w:t xml:space="preserve">    </w:t>
      </w:r>
    </w:p>
    <w:p w14:paraId="040BC3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2"/>
          <w:sz w:val="24"/>
          <w:szCs w:val="24"/>
          <w:highlight w:val="none"/>
        </w:rPr>
        <w:t>1.1.2.5</w:t>
      </w:r>
      <w:r>
        <w:rPr>
          <w:rFonts w:ascii="宋体" w:hAnsi="宋体" w:eastAsia="宋体" w:cs="宋体"/>
          <w:color w:val="auto"/>
          <w:spacing w:val="-2"/>
          <w:sz w:val="24"/>
          <w:szCs w:val="24"/>
          <w:highlight w:val="none"/>
        </w:rPr>
        <w:fldChar w:fldCharType="end"/>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分包人：</w:t>
      </w:r>
      <w:r>
        <w:rPr>
          <w:rFonts w:ascii="宋体" w:hAnsi="宋体" w:eastAsia="宋体" w:cs="宋体"/>
          <w:color w:val="auto"/>
          <w:spacing w:val="-2"/>
          <w:sz w:val="24"/>
          <w:szCs w:val="24"/>
          <w:highlight w:val="none"/>
          <w:u w:val="single" w:color="auto"/>
        </w:rPr>
        <w:t xml:space="preserve">本工程不允许分包  </w:t>
      </w:r>
      <w:r>
        <w:rPr>
          <w:rFonts w:ascii="宋体" w:hAnsi="宋体" w:eastAsia="宋体" w:cs="宋体"/>
          <w:color w:val="auto"/>
          <w:sz w:val="24"/>
          <w:szCs w:val="24"/>
          <w:highlight w:val="none"/>
        </w:rPr>
        <w:t xml:space="preserve"> </w:t>
      </w:r>
    </w:p>
    <w:p w14:paraId="789AE0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ascii="宋体" w:hAnsi="宋体" w:eastAsia="宋体" w:cs="宋体"/>
          <w:color w:val="auto"/>
          <w:spacing w:val="-4"/>
          <w:sz w:val="24"/>
          <w:szCs w:val="24"/>
          <w:highlight w:val="none"/>
        </w:rPr>
        <w:t>1.1.2.6</w:t>
      </w:r>
      <w:r>
        <w:rPr>
          <w:rFonts w:ascii="宋体" w:hAnsi="宋体" w:eastAsia="宋体" w:cs="宋体"/>
          <w:color w:val="auto"/>
          <w:spacing w:val="-4"/>
          <w:sz w:val="24"/>
          <w:szCs w:val="24"/>
          <w:highlight w:val="none"/>
        </w:rPr>
        <w:fldChar w:fldCharType="end"/>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监理人：</w:t>
      </w:r>
      <w:r>
        <w:rPr>
          <w:rFonts w:ascii="宋体" w:hAnsi="宋体" w:eastAsia="宋体" w:cs="宋体"/>
          <w:color w:val="auto"/>
          <w:sz w:val="24"/>
          <w:szCs w:val="24"/>
          <w:highlight w:val="none"/>
          <w:u w:val="single" w:color="auto"/>
        </w:rPr>
        <w:t xml:space="preserve">         </w:t>
      </w:r>
    </w:p>
    <w:p w14:paraId="4BA49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1.1.3 工程和设备</w:t>
      </w:r>
    </w:p>
    <w:p w14:paraId="7034BC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1"/>
        <w:textAlignment w:val="baseline"/>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"1.1.3.3" </w:instrText>
      </w:r>
      <w:r>
        <w:rPr>
          <w:color w:val="auto"/>
          <w:highlight w:val="none"/>
        </w:rPr>
        <w:fldChar w:fldCharType="separate"/>
      </w:r>
      <w:r>
        <w:rPr>
          <w:rFonts w:ascii="宋体" w:hAnsi="宋体" w:eastAsia="宋体" w:cs="宋体"/>
          <w:color w:val="auto"/>
          <w:spacing w:val="-6"/>
          <w:sz w:val="24"/>
          <w:szCs w:val="24"/>
          <w:highlight w:val="none"/>
        </w:rPr>
        <w:t>1.1.3.3</w:t>
      </w:r>
      <w:r>
        <w:rPr>
          <w:rFonts w:ascii="宋体" w:hAnsi="宋体" w:eastAsia="宋体" w:cs="宋体"/>
          <w:color w:val="auto"/>
          <w:spacing w:val="-6"/>
          <w:sz w:val="24"/>
          <w:szCs w:val="24"/>
          <w:highlight w:val="none"/>
        </w:rPr>
        <w:fldChar w:fldCharType="end"/>
      </w:r>
      <w:r>
        <w:rPr>
          <w:rFonts w:ascii="宋体" w:hAnsi="宋体" w:eastAsia="宋体" w:cs="宋体"/>
          <w:color w:val="auto"/>
          <w:spacing w:val="-6"/>
          <w:sz w:val="24"/>
          <w:szCs w:val="24"/>
          <w:highlight w:val="none"/>
        </w:rPr>
        <w:t xml:space="preserve"> 临时工程：包括施工道路、施工供电、施工供水、施工</w:t>
      </w:r>
      <w:r>
        <w:rPr>
          <w:rFonts w:ascii="宋体" w:hAnsi="宋体" w:eastAsia="宋体" w:cs="宋体"/>
          <w:color w:val="auto"/>
          <w:spacing w:val="-7"/>
          <w:sz w:val="24"/>
          <w:szCs w:val="24"/>
          <w:highlight w:val="none"/>
        </w:rPr>
        <w:t>照明、施工通信，</w:t>
      </w:r>
      <w:r>
        <w:rPr>
          <w:rFonts w:ascii="宋体" w:hAnsi="宋体" w:eastAsia="宋体" w:cs="宋体"/>
          <w:color w:val="auto"/>
          <w:spacing w:val="-1"/>
          <w:sz w:val="24"/>
          <w:szCs w:val="24"/>
          <w:highlight w:val="none"/>
        </w:rPr>
        <w:t>临时仓库、临时房屋建筑、临时办公设施和其</w:t>
      </w:r>
      <w:r>
        <w:rPr>
          <w:rFonts w:ascii="宋体" w:hAnsi="宋体" w:eastAsia="宋体" w:cs="宋体"/>
          <w:color w:val="auto"/>
          <w:spacing w:val="-2"/>
          <w:sz w:val="24"/>
          <w:szCs w:val="24"/>
          <w:highlight w:val="none"/>
        </w:rPr>
        <w:t>他。</w:t>
      </w:r>
    </w:p>
    <w:p w14:paraId="4885179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"1.1.3.4" </w:instrText>
      </w:r>
      <w:r>
        <w:rPr>
          <w:color w:val="auto"/>
          <w:highlight w:val="none"/>
        </w:rPr>
        <w:fldChar w:fldCharType="separate"/>
      </w:r>
      <w:r>
        <w:rPr>
          <w:rFonts w:ascii="宋体" w:hAnsi="宋体" w:eastAsia="宋体" w:cs="宋体"/>
          <w:color w:val="auto"/>
          <w:spacing w:val="-2"/>
          <w:sz w:val="24"/>
          <w:szCs w:val="24"/>
          <w:highlight w:val="none"/>
        </w:rPr>
        <w:t>1.1.3.4</w:t>
      </w:r>
      <w:r>
        <w:rPr>
          <w:rFonts w:ascii="宋体" w:hAnsi="宋体" w:eastAsia="宋体" w:cs="宋体"/>
          <w:color w:val="auto"/>
          <w:spacing w:val="-2"/>
          <w:sz w:val="24"/>
          <w:szCs w:val="24"/>
          <w:highlight w:val="none"/>
        </w:rPr>
        <w:fldChar w:fldCharType="end"/>
      </w:r>
      <w:r>
        <w:rPr>
          <w:rFonts w:ascii="宋体" w:hAnsi="宋体" w:eastAsia="宋体" w:cs="宋体"/>
          <w:color w:val="auto"/>
          <w:spacing w:val="-2"/>
          <w:sz w:val="24"/>
          <w:szCs w:val="24"/>
          <w:highlight w:val="none"/>
        </w:rPr>
        <w:t xml:space="preserve"> 单位工程: 。</w:t>
      </w:r>
    </w:p>
    <w:p w14:paraId="4C7BAA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1.1.4 日期</w:t>
      </w:r>
    </w:p>
    <w:p w14:paraId="53B667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ascii="宋体" w:hAnsi="宋体" w:eastAsia="宋体" w:cs="宋体"/>
          <w:color w:val="auto"/>
          <w:spacing w:val="-1"/>
          <w:sz w:val="24"/>
          <w:szCs w:val="24"/>
          <w:highlight w:val="none"/>
        </w:rPr>
        <w:t>1.1.4.5</w:t>
      </w:r>
      <w:r>
        <w:rPr>
          <w:rFonts w:ascii="宋体" w:hAnsi="宋体" w:eastAsia="宋体" w:cs="宋体"/>
          <w:color w:val="auto"/>
          <w:spacing w:val="-1"/>
          <w:sz w:val="24"/>
          <w:szCs w:val="24"/>
          <w:highlight w:val="none"/>
        </w:rPr>
        <w:fldChar w:fldCharType="end"/>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缺陷责任期(工程质量保修期)：</w:t>
      </w:r>
      <w:r>
        <w:rPr>
          <w:rFonts w:ascii="宋体" w:hAnsi="宋体" w:eastAsia="宋体" w:cs="宋体"/>
          <w:color w:val="auto"/>
          <w:spacing w:val="-2"/>
          <w:sz w:val="24"/>
          <w:szCs w:val="24"/>
          <w:highlight w:val="none"/>
          <w:u w:val="single" w:color="auto"/>
        </w:rPr>
        <w:t>竣工验收后</w:t>
      </w:r>
      <w:r>
        <w:rPr>
          <w:rFonts w:hint="eastAsia" w:ascii="宋体" w:hAnsi="宋体" w:eastAsia="宋体" w:cs="宋体"/>
          <w:color w:val="auto"/>
          <w:spacing w:val="-2"/>
          <w:sz w:val="24"/>
          <w:szCs w:val="24"/>
          <w:highlight w:val="none"/>
          <w:u w:val="single" w:color="auto"/>
          <w:lang w:val="en-US" w:eastAsia="zh-CN"/>
        </w:rPr>
        <w:t>二</w:t>
      </w:r>
      <w:r>
        <w:rPr>
          <w:rFonts w:ascii="宋体" w:hAnsi="宋体" w:eastAsia="宋体" w:cs="宋体"/>
          <w:color w:val="auto"/>
          <w:spacing w:val="-2"/>
          <w:sz w:val="24"/>
          <w:szCs w:val="24"/>
          <w:highlight w:val="none"/>
          <w:u w:val="single" w:color="auto"/>
        </w:rPr>
        <w:t>年</w:t>
      </w:r>
      <w:r>
        <w:rPr>
          <w:rFonts w:ascii="宋体" w:hAnsi="宋体" w:eastAsia="宋体" w:cs="宋体"/>
          <w:color w:val="auto"/>
          <w:spacing w:val="-2"/>
          <w:sz w:val="24"/>
          <w:szCs w:val="24"/>
          <w:highlight w:val="none"/>
        </w:rPr>
        <w:t>。</w:t>
      </w:r>
    </w:p>
    <w:p w14:paraId="373963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 合同文件的优先顺序</w:t>
      </w:r>
    </w:p>
    <w:p w14:paraId="2DB268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除合同另有规定外，解释合同文件的优先顺序如</w:t>
      </w:r>
      <w:r>
        <w:rPr>
          <w:rFonts w:ascii="宋体" w:hAnsi="宋体" w:eastAsia="宋体" w:cs="宋体"/>
          <w:color w:val="auto"/>
          <w:spacing w:val="-2"/>
          <w:sz w:val="24"/>
          <w:szCs w:val="24"/>
          <w:highlight w:val="none"/>
        </w:rPr>
        <w:t>下：</w:t>
      </w:r>
    </w:p>
    <w:p w14:paraId="229548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(1)协议书(包括协议书备忘录、补充协议)；</w:t>
      </w:r>
    </w:p>
    <w:p w14:paraId="313A21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(2)中标通知书；</w:t>
      </w:r>
    </w:p>
    <w:p w14:paraId="0481A6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(3)投标报价书；</w:t>
      </w:r>
    </w:p>
    <w:p w14:paraId="1EA88A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(4)专用合同条款；</w:t>
      </w:r>
    </w:p>
    <w:p w14:paraId="6CE08F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(5)通用合同条款；</w:t>
      </w:r>
    </w:p>
    <w:p w14:paraId="02A9E4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(6)技术条款；</w:t>
      </w:r>
    </w:p>
    <w:p w14:paraId="498B4C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(7)图纸；</w:t>
      </w:r>
    </w:p>
    <w:p w14:paraId="500962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(8)已标价工程量清单；</w:t>
      </w:r>
    </w:p>
    <w:p w14:paraId="5C5B6F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(9)经双方确认进入合同的其它文件。</w:t>
      </w:r>
    </w:p>
    <w:p w14:paraId="1CDC99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1.7</w:t>
      </w:r>
      <w:r>
        <w:rPr>
          <w:rFonts w:ascii="宋体" w:hAnsi="宋体" w:eastAsia="宋体" w:cs="宋体"/>
          <w:color w:val="auto"/>
          <w:spacing w:val="11"/>
          <w:sz w:val="24"/>
          <w:szCs w:val="24"/>
          <w:highlight w:val="none"/>
        </w:rPr>
        <w:t xml:space="preserve"> </w:t>
      </w:r>
      <w:r>
        <w:rPr>
          <w:rFonts w:ascii="宋体" w:hAnsi="宋体" w:eastAsia="宋体" w:cs="宋体"/>
          <w:color w:val="auto"/>
          <w:spacing w:val="-8"/>
          <w:sz w:val="24"/>
          <w:szCs w:val="24"/>
          <w:highlight w:val="none"/>
        </w:rPr>
        <w:t>联络</w:t>
      </w:r>
    </w:p>
    <w:p w14:paraId="3DF2B8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2"/>
          <w:sz w:val="24"/>
          <w:szCs w:val="24"/>
          <w:highlight w:val="none"/>
          <w:u w:val="single" w:color="auto"/>
        </w:rPr>
      </w:pP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rPr>
        <w:t>1.7.2</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来往函件均应按技术标准和要求(合同技术条款)约定的期限送达</w:t>
      </w:r>
      <w:r>
        <w:rPr>
          <w:rFonts w:ascii="宋体" w:hAnsi="宋体" w:eastAsia="宋体" w:cs="宋体"/>
          <w:color w:val="auto"/>
          <w:spacing w:val="-2"/>
          <w:sz w:val="24"/>
          <w:szCs w:val="24"/>
          <w:highlight w:val="none"/>
          <w:u w:val="single" w:color="auto"/>
        </w:rPr>
        <w:t>采购人</w:t>
      </w:r>
    </w:p>
    <w:p w14:paraId="491B3F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处</w:t>
      </w:r>
      <w:r>
        <w:rPr>
          <w:rFonts w:ascii="宋体" w:hAnsi="宋体" w:eastAsia="宋体" w:cs="宋体"/>
          <w:color w:val="auto"/>
          <w:spacing w:val="-2"/>
          <w:sz w:val="24"/>
          <w:szCs w:val="24"/>
          <w:highlight w:val="none"/>
        </w:rPr>
        <w:t>。</w:t>
      </w:r>
    </w:p>
    <w:p w14:paraId="59DE69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发包人的一般义务和责任</w:t>
      </w:r>
    </w:p>
    <w:p w14:paraId="487D70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2.3</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sz w:val="24"/>
          <w:szCs w:val="24"/>
          <w:highlight w:val="none"/>
        </w:rPr>
        <w:t>提供施工用地</w:t>
      </w:r>
    </w:p>
    <w:p w14:paraId="72DC4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2.3.2</w:t>
      </w:r>
      <w:r>
        <w:rPr>
          <w:rFonts w:ascii="宋体" w:hAnsi="宋体" w:eastAsia="宋体" w:cs="宋体"/>
          <w:color w:val="auto"/>
          <w:spacing w:val="-47"/>
          <w:sz w:val="24"/>
          <w:szCs w:val="24"/>
          <w:highlight w:val="none"/>
        </w:rPr>
        <w:t xml:space="preserve"> </w:t>
      </w:r>
      <w:r>
        <w:rPr>
          <w:rFonts w:ascii="宋体" w:hAnsi="宋体" w:eastAsia="宋体" w:cs="宋体"/>
          <w:color w:val="auto"/>
          <w:sz w:val="24"/>
          <w:szCs w:val="24"/>
          <w:highlight w:val="none"/>
        </w:rPr>
        <w:t>发包人负责向承包人提供施工用地，承包人负责拆除征</w:t>
      </w:r>
      <w:r>
        <w:rPr>
          <w:rFonts w:ascii="宋体" w:hAnsi="宋体" w:eastAsia="宋体" w:cs="宋体"/>
          <w:color w:val="auto"/>
          <w:spacing w:val="-1"/>
          <w:sz w:val="24"/>
          <w:szCs w:val="24"/>
          <w:highlight w:val="none"/>
        </w:rPr>
        <w:t>地范围内的原有设</w:t>
      </w:r>
      <w:r>
        <w:rPr>
          <w:rFonts w:ascii="宋体" w:hAnsi="宋体" w:eastAsia="宋体" w:cs="宋体"/>
          <w:color w:val="auto"/>
          <w:spacing w:val="-3"/>
          <w:sz w:val="24"/>
          <w:szCs w:val="24"/>
          <w:highlight w:val="none"/>
        </w:rPr>
        <w:t>施，承包人负责征地范围内的场地清理、平整并承担其相应费用。承包人只能在指定用地范围内安排施工，超出指定范围的用地由承包人自行解决并承担由此发生的一切费用。</w:t>
      </w:r>
    </w:p>
    <w:p w14:paraId="0F04D5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2.3.3</w:t>
      </w:r>
      <w:r>
        <w:rPr>
          <w:rFonts w:ascii="宋体" w:hAnsi="宋体" w:eastAsia="宋体" w:cs="宋体"/>
          <w:color w:val="auto"/>
          <w:spacing w:val="-51"/>
          <w:sz w:val="24"/>
          <w:szCs w:val="24"/>
          <w:highlight w:val="none"/>
        </w:rPr>
        <w:t xml:space="preserve"> </w:t>
      </w:r>
      <w:r>
        <w:rPr>
          <w:rFonts w:ascii="宋体" w:hAnsi="宋体" w:eastAsia="宋体" w:cs="宋体"/>
          <w:color w:val="auto"/>
          <w:sz w:val="24"/>
          <w:szCs w:val="24"/>
          <w:highlight w:val="none"/>
        </w:rPr>
        <w:t>承包人自行勘察的施工场地范围</w:t>
      </w:r>
      <w:r>
        <w:rPr>
          <w:rFonts w:ascii="宋体" w:hAnsi="宋体" w:eastAsia="宋体" w:cs="宋体"/>
          <w:color w:val="auto"/>
          <w:spacing w:val="-1"/>
          <w:sz w:val="24"/>
          <w:szCs w:val="24"/>
          <w:highlight w:val="none"/>
        </w:rPr>
        <w:t>为：</w:t>
      </w:r>
      <w:r>
        <w:rPr>
          <w:rFonts w:ascii="宋体" w:hAnsi="宋体" w:eastAsia="宋体" w:cs="宋体"/>
          <w:color w:val="auto"/>
          <w:spacing w:val="-1"/>
          <w:sz w:val="24"/>
          <w:szCs w:val="24"/>
          <w:highlight w:val="none"/>
          <w:u w:val="single" w:color="auto"/>
        </w:rPr>
        <w:t xml:space="preserve">         /           </w:t>
      </w:r>
      <w:r>
        <w:rPr>
          <w:rFonts w:ascii="宋体" w:hAnsi="宋体" w:eastAsia="宋体" w:cs="宋体"/>
          <w:color w:val="auto"/>
          <w:spacing w:val="-1"/>
          <w:sz w:val="24"/>
          <w:szCs w:val="24"/>
          <w:highlight w:val="none"/>
        </w:rPr>
        <w:t>。</w:t>
      </w:r>
    </w:p>
    <w:p w14:paraId="73E74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2.8</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其他一般义务和责任</w:t>
      </w:r>
    </w:p>
    <w:p w14:paraId="32ADEF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发包人负责本工程施工阶段期间的统一协调、指挥。</w:t>
      </w:r>
    </w:p>
    <w:p w14:paraId="0E4CA6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3</w:t>
      </w:r>
      <w:r>
        <w:rPr>
          <w:rFonts w:ascii="宋体" w:hAnsi="宋体" w:eastAsia="宋体" w:cs="宋体"/>
          <w:color w:val="auto"/>
          <w:spacing w:val="7"/>
          <w:sz w:val="24"/>
          <w:szCs w:val="24"/>
          <w:highlight w:val="none"/>
        </w:rPr>
        <w:t xml:space="preserve">  </w:t>
      </w:r>
      <w:r>
        <w:rPr>
          <w:rFonts w:ascii="宋体" w:hAnsi="宋体" w:eastAsia="宋体" w:cs="宋体"/>
          <w:b/>
          <w:bCs/>
          <w:color w:val="auto"/>
          <w:spacing w:val="-9"/>
          <w:sz w:val="24"/>
          <w:szCs w:val="24"/>
          <w:highlight w:val="none"/>
        </w:rPr>
        <w:t>监理人</w:t>
      </w:r>
    </w:p>
    <w:p w14:paraId="37E4CD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w:t>
      </w:r>
      <w:r>
        <w:rPr>
          <w:rFonts w:ascii="宋体" w:hAnsi="宋体" w:eastAsia="宋体" w:cs="宋体"/>
          <w:color w:val="auto"/>
          <w:spacing w:val="-40"/>
          <w:sz w:val="24"/>
          <w:szCs w:val="24"/>
          <w:highlight w:val="none"/>
        </w:rPr>
        <w:t xml:space="preserve"> </w:t>
      </w:r>
      <w:r>
        <w:rPr>
          <w:rFonts w:ascii="宋体" w:hAnsi="宋体" w:eastAsia="宋体" w:cs="宋体"/>
          <w:color w:val="auto"/>
          <w:spacing w:val="-3"/>
          <w:sz w:val="24"/>
          <w:szCs w:val="24"/>
          <w:highlight w:val="none"/>
        </w:rPr>
        <w:t>监理人的职责和权力</w:t>
      </w:r>
    </w:p>
    <w:p w14:paraId="18E83E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3.1.1</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监理人的权力范围：</w:t>
      </w:r>
    </w:p>
    <w:p w14:paraId="2327C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(1)组织图纸会审、管理施工承包合同。</w:t>
      </w:r>
    </w:p>
    <w:p w14:paraId="5D5D59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highlight w:val="none"/>
        </w:rPr>
      </w:pPr>
      <w:r>
        <w:rPr>
          <w:rFonts w:ascii="宋体" w:hAnsi="宋体" w:eastAsia="宋体" w:cs="宋体"/>
          <w:color w:val="auto"/>
          <w:spacing w:val="-1"/>
          <w:sz w:val="24"/>
          <w:szCs w:val="24"/>
          <w:highlight w:val="none"/>
        </w:rPr>
        <w:t>(2)审核承包人对设计的意见或建议，需设计单位答复的上报发包人，由发包人通知设计单位进行研究并给于答复。</w:t>
      </w:r>
    </w:p>
    <w:p w14:paraId="2F454B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(3)拥有对本工程的质量否决权，发布开工、停工、返工和复工令权。</w:t>
      </w:r>
    </w:p>
    <w:p w14:paraId="0BA0DD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(4)经发包人同意，审批承包人提交的施工组织设计、施工技术措施、临时工程设计、工艺试验成果、使用的原材料及试验成果。</w:t>
      </w:r>
    </w:p>
    <w:p w14:paraId="570436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(5)审查承包人的质量控制体系和措施，现场动态跟踪监督施工质量，并进行检查和认可，对施工全过程的质量进行监督。</w:t>
      </w:r>
    </w:p>
    <w:p w14:paraId="2CFDDF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(6)受理索赔申请，进行索赔调查和谈判，提出处理意见。</w:t>
      </w:r>
    </w:p>
    <w:p w14:paraId="1B3851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(7)督促、检查施工现场的安全生产措施和防护措施及汛前防洪设施等，参与重</w:t>
      </w:r>
      <w:r>
        <w:rPr>
          <w:rFonts w:ascii="宋体" w:hAnsi="宋体" w:eastAsia="宋体" w:cs="宋体"/>
          <w:color w:val="auto"/>
          <w:spacing w:val="-2"/>
          <w:sz w:val="24"/>
          <w:szCs w:val="24"/>
          <w:highlight w:val="none"/>
        </w:rPr>
        <w:t>大安全事故的调查处理。</w:t>
      </w:r>
    </w:p>
    <w:p w14:paraId="51901E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(8)所有往来函件，须及时报发包人备案。</w:t>
      </w:r>
    </w:p>
    <w:p w14:paraId="070860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(9)监理对造成工程质量、工期延误经多次督导仍无改进的施工单位，有权做出</w:t>
      </w:r>
      <w:r>
        <w:rPr>
          <w:rFonts w:ascii="宋体" w:hAnsi="宋体" w:eastAsia="宋体" w:cs="宋体"/>
          <w:color w:val="auto"/>
          <w:spacing w:val="-2"/>
          <w:sz w:val="24"/>
          <w:szCs w:val="24"/>
          <w:highlight w:val="none"/>
        </w:rPr>
        <w:t>清退施工单位。</w:t>
      </w:r>
    </w:p>
    <w:p w14:paraId="5D27F9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(10)每月的月末组织承包人召开监理例会，对本月的施工进度、质量进行评比，</w:t>
      </w:r>
      <w:r>
        <w:rPr>
          <w:rFonts w:ascii="宋体" w:hAnsi="宋体" w:eastAsia="宋体" w:cs="宋体"/>
          <w:color w:val="auto"/>
          <w:spacing w:val="-2"/>
          <w:sz w:val="24"/>
          <w:szCs w:val="24"/>
          <w:highlight w:val="none"/>
        </w:rPr>
        <w:t>并对下月的施工情况作出计划</w:t>
      </w:r>
    </w:p>
    <w:p w14:paraId="5620A7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3.1.2</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监理人须经发包人批准才行使的权力范</w:t>
      </w:r>
      <w:r>
        <w:rPr>
          <w:rFonts w:ascii="宋体" w:hAnsi="宋体" w:eastAsia="宋体" w:cs="宋体"/>
          <w:color w:val="auto"/>
          <w:spacing w:val="-2"/>
          <w:sz w:val="24"/>
          <w:szCs w:val="24"/>
          <w:highlight w:val="none"/>
        </w:rPr>
        <w:t>围：</w:t>
      </w:r>
    </w:p>
    <w:p w14:paraId="1A7CCB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(1)按第</w:t>
      </w:r>
      <w:r>
        <w:rPr>
          <w:rFonts w:ascii="宋体" w:hAnsi="宋体" w:eastAsia="宋体" w:cs="宋体"/>
          <w:color w:val="auto"/>
          <w:spacing w:val="-32"/>
          <w:sz w:val="24"/>
          <w:szCs w:val="24"/>
          <w:highlight w:val="none"/>
        </w:rPr>
        <w:t xml:space="preserve"> </w:t>
      </w:r>
      <w:r>
        <w:rPr>
          <w:rFonts w:ascii="宋体" w:hAnsi="宋体" w:eastAsia="宋体" w:cs="宋体"/>
          <w:color w:val="auto"/>
          <w:spacing w:val="-4"/>
          <w:sz w:val="24"/>
          <w:szCs w:val="24"/>
          <w:highlight w:val="none"/>
        </w:rPr>
        <w:t>11.3</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款约定，确定延长完工</w:t>
      </w:r>
      <w:r>
        <w:rPr>
          <w:rFonts w:ascii="宋体" w:hAnsi="宋体" w:eastAsia="宋体" w:cs="宋体"/>
          <w:color w:val="auto"/>
          <w:spacing w:val="-5"/>
          <w:sz w:val="24"/>
          <w:szCs w:val="24"/>
          <w:highlight w:val="none"/>
        </w:rPr>
        <w:t>期限；</w:t>
      </w:r>
    </w:p>
    <w:p w14:paraId="78D3D0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(2)按第</w:t>
      </w:r>
      <w:r>
        <w:rPr>
          <w:rFonts w:ascii="宋体" w:hAnsi="宋体" w:eastAsia="宋体" w:cs="宋体"/>
          <w:color w:val="auto"/>
          <w:spacing w:val="-31"/>
          <w:sz w:val="24"/>
          <w:szCs w:val="24"/>
          <w:highlight w:val="none"/>
        </w:rPr>
        <w:t xml:space="preserve"> </w:t>
      </w:r>
      <w:r>
        <w:rPr>
          <w:rFonts w:ascii="宋体" w:hAnsi="宋体" w:eastAsia="宋体" w:cs="宋体"/>
          <w:color w:val="auto"/>
          <w:spacing w:val="-4"/>
          <w:sz w:val="24"/>
          <w:szCs w:val="24"/>
          <w:highlight w:val="none"/>
        </w:rPr>
        <w:t>15.6</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款约定，批准暂列金额的使用；</w:t>
      </w:r>
    </w:p>
    <w:p w14:paraId="45AD30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(3)按第</w:t>
      </w:r>
      <w:r>
        <w:rPr>
          <w:rFonts w:ascii="宋体" w:hAnsi="宋体" w:eastAsia="宋体" w:cs="宋体"/>
          <w:color w:val="auto"/>
          <w:spacing w:val="-31"/>
          <w:sz w:val="24"/>
          <w:szCs w:val="24"/>
          <w:highlight w:val="none"/>
        </w:rPr>
        <w:t xml:space="preserve"> </w:t>
      </w:r>
      <w:r>
        <w:rPr>
          <w:rFonts w:ascii="宋体" w:hAnsi="宋体" w:eastAsia="宋体" w:cs="宋体"/>
          <w:color w:val="auto"/>
          <w:spacing w:val="-4"/>
          <w:sz w:val="24"/>
          <w:szCs w:val="24"/>
          <w:highlight w:val="none"/>
        </w:rPr>
        <w:t>23.2</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款约定，确定索赔工期和费用。</w:t>
      </w:r>
    </w:p>
    <w:p w14:paraId="2F500F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尽管有以上规定，但当监理人认为出现了危及生命、工程或毗邻财产等安全的紧急时间时，在不免除合同规定的承包人责任的情况下，监理人可以指示承包人实施为消除或减少这种危险所必须进行的工作，即使没有发包人事先批准，承包人也应立即</w:t>
      </w:r>
      <w:r>
        <w:rPr>
          <w:rFonts w:ascii="宋体" w:hAnsi="宋体" w:eastAsia="宋体" w:cs="宋体"/>
          <w:color w:val="auto"/>
          <w:sz w:val="24"/>
          <w:szCs w:val="24"/>
          <w:highlight w:val="none"/>
        </w:rPr>
        <w:t>遵照执行。监理人应按相关规定增加相应的费用，并通知</w:t>
      </w:r>
      <w:r>
        <w:rPr>
          <w:rFonts w:ascii="宋体" w:hAnsi="宋体" w:eastAsia="宋体" w:cs="宋体"/>
          <w:color w:val="auto"/>
          <w:spacing w:val="-1"/>
          <w:sz w:val="24"/>
          <w:szCs w:val="24"/>
          <w:highlight w:val="none"/>
        </w:rPr>
        <w:t>承包人和抄送发包人。</w:t>
      </w:r>
    </w:p>
    <w:p w14:paraId="631FF0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4</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7"/>
          <w:sz w:val="24"/>
          <w:szCs w:val="24"/>
          <w:highlight w:val="none"/>
        </w:rPr>
        <w:t>承包人</w:t>
      </w:r>
    </w:p>
    <w:p w14:paraId="35194583">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right="0" w:firstLine="416" w:firstLineChars="17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 承包人的一般义务</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4.1.10  其它义务</w:t>
      </w:r>
    </w:p>
    <w:p w14:paraId="7B7F83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本款补充：</w:t>
      </w:r>
    </w:p>
    <w:p w14:paraId="2F3285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9"/>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(1)由发包人提供的和由承包人修建的临时设施，在工程完工后，承包人应按监</w:t>
      </w:r>
      <w:r>
        <w:rPr>
          <w:rFonts w:ascii="宋体" w:hAnsi="宋体" w:eastAsia="宋体" w:cs="宋体"/>
          <w:color w:val="auto"/>
          <w:sz w:val="24"/>
          <w:szCs w:val="24"/>
          <w:highlight w:val="none"/>
        </w:rPr>
        <w:t>理人的指示拆除及清理或移交给发包人。拆除</w:t>
      </w:r>
      <w:r>
        <w:rPr>
          <w:rFonts w:ascii="宋体" w:hAnsi="宋体" w:eastAsia="宋体" w:cs="宋体"/>
          <w:color w:val="auto"/>
          <w:spacing w:val="-1"/>
          <w:sz w:val="24"/>
          <w:szCs w:val="24"/>
          <w:highlight w:val="none"/>
        </w:rPr>
        <w:t>、清理费用发包人不另行支付。</w:t>
      </w:r>
    </w:p>
    <w:p w14:paraId="611B8E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3"/>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(2)承包人应按监理人的指示为其他承包人工作提供必要的配合，包括清理、移</w:t>
      </w:r>
      <w:r>
        <w:rPr>
          <w:rFonts w:ascii="宋体" w:hAnsi="宋体" w:eastAsia="宋体" w:cs="宋体"/>
          <w:color w:val="auto"/>
          <w:spacing w:val="-3"/>
          <w:sz w:val="24"/>
          <w:szCs w:val="24"/>
          <w:highlight w:val="none"/>
        </w:rPr>
        <w:t>交工作面等，并对设备进行保护。因本标承包人原因导致其他承包人的设备损坏，由本标承包人负责赔偿。对布置有其他承包人设备的工作面的验收应通知相关监理人到场参加，经监理人会签后方可进行下一道工序的施工。承包人应充分考虑这种配合对</w:t>
      </w:r>
      <w:r>
        <w:rPr>
          <w:rFonts w:ascii="宋体" w:hAnsi="宋体" w:eastAsia="宋体" w:cs="宋体"/>
          <w:color w:val="auto"/>
          <w:sz w:val="24"/>
          <w:szCs w:val="24"/>
          <w:highlight w:val="none"/>
        </w:rPr>
        <w:t>施工进度的影响，发包人不另行支付这种配合</w:t>
      </w:r>
      <w:r>
        <w:rPr>
          <w:rFonts w:ascii="宋体" w:hAnsi="宋体" w:eastAsia="宋体" w:cs="宋体"/>
          <w:color w:val="auto"/>
          <w:spacing w:val="-1"/>
          <w:sz w:val="24"/>
          <w:szCs w:val="24"/>
          <w:highlight w:val="none"/>
        </w:rPr>
        <w:t>和保护所发生的费用。</w:t>
      </w:r>
    </w:p>
    <w:p w14:paraId="3B4395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1"/>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(3)承包人应与其他承包人和供货厂(商)就图纸、样板、尺寸及其他资料互通信</w:t>
      </w:r>
      <w:r>
        <w:rPr>
          <w:rFonts w:ascii="宋体" w:hAnsi="宋体" w:eastAsia="宋体" w:cs="宋体"/>
          <w:color w:val="auto"/>
          <w:spacing w:val="-2"/>
          <w:sz w:val="24"/>
          <w:szCs w:val="24"/>
          <w:highlight w:val="none"/>
        </w:rPr>
        <w:t>息，以保证施工和安装的顺利进行。</w:t>
      </w:r>
    </w:p>
    <w:p w14:paraId="3FBCD3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1"/>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 承包人应主动接受公安、环保、水保、地方劳动、技术监督、计量管理等部</w:t>
      </w:r>
      <w:r>
        <w:rPr>
          <w:rFonts w:ascii="宋体" w:hAnsi="宋体" w:eastAsia="宋体" w:cs="宋体"/>
          <w:color w:val="auto"/>
          <w:spacing w:val="-3"/>
          <w:sz w:val="24"/>
          <w:szCs w:val="24"/>
          <w:highlight w:val="none"/>
        </w:rPr>
        <w:t>门的监督管理；依照有关政策法规开展的对其使用的各项仪器设备检验、检查、登记</w:t>
      </w:r>
      <w:r>
        <w:rPr>
          <w:rFonts w:ascii="宋体" w:hAnsi="宋体" w:eastAsia="宋体" w:cs="宋体"/>
          <w:color w:val="auto"/>
          <w:spacing w:val="-1"/>
          <w:sz w:val="24"/>
          <w:szCs w:val="24"/>
          <w:highlight w:val="none"/>
        </w:rPr>
        <w:t>和发证工作，如压力容器和特种设备的安装检验与</w:t>
      </w:r>
      <w:r>
        <w:rPr>
          <w:rFonts w:ascii="宋体" w:hAnsi="宋体" w:eastAsia="宋体" w:cs="宋体"/>
          <w:color w:val="auto"/>
          <w:spacing w:val="-2"/>
          <w:sz w:val="24"/>
          <w:szCs w:val="24"/>
          <w:highlight w:val="none"/>
        </w:rPr>
        <w:t>定期检验等，费用由承包人承担。</w:t>
      </w:r>
    </w:p>
    <w:p w14:paraId="2AD76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(5)投标人应严格按招标文件中要求的工期和质量标准编制投标文件，中标后严格执行；如在施工过程中工期明显滞后，经赶工后仍</w:t>
      </w:r>
      <w:r>
        <w:rPr>
          <w:rFonts w:ascii="宋体" w:hAnsi="宋体" w:eastAsia="宋体" w:cs="宋体"/>
          <w:color w:val="auto"/>
          <w:spacing w:val="-2"/>
          <w:sz w:val="24"/>
          <w:szCs w:val="24"/>
          <w:highlight w:val="none"/>
        </w:rPr>
        <w:t>不能满足计划和进度，招标人、</w:t>
      </w:r>
      <w:r>
        <w:rPr>
          <w:rFonts w:ascii="宋体" w:hAnsi="宋体" w:eastAsia="宋体" w:cs="宋体"/>
          <w:color w:val="auto"/>
          <w:spacing w:val="-3"/>
          <w:sz w:val="24"/>
          <w:szCs w:val="24"/>
          <w:highlight w:val="none"/>
        </w:rPr>
        <w:t>监理单位、质监部门认为投标人不能保证工程质量时，招标人有权终止合同，另行选</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择承包人。</w:t>
      </w:r>
    </w:p>
    <w:p w14:paraId="7F0EFE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7"/>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(6)承包人在管边开挖、砌筑等施工过程中，应有序堆放和处理施工废弃物，原</w:t>
      </w:r>
      <w:r>
        <w:rPr>
          <w:rFonts w:ascii="宋体" w:hAnsi="宋体" w:eastAsia="宋体" w:cs="宋体"/>
          <w:color w:val="auto"/>
          <w:spacing w:val="-4"/>
          <w:sz w:val="24"/>
          <w:szCs w:val="24"/>
          <w:highlight w:val="none"/>
        </w:rPr>
        <w:t>则在施工现场</w:t>
      </w:r>
      <w:r>
        <w:rPr>
          <w:rFonts w:ascii="宋体" w:hAnsi="宋体" w:eastAsia="宋体" w:cs="宋体"/>
          <w:color w:val="auto"/>
          <w:spacing w:val="-29"/>
          <w:sz w:val="24"/>
          <w:szCs w:val="24"/>
          <w:highlight w:val="none"/>
        </w:rPr>
        <w:t xml:space="preserve"> </w:t>
      </w:r>
      <w:r>
        <w:rPr>
          <w:rFonts w:ascii="宋体" w:hAnsi="宋体" w:eastAsia="宋体" w:cs="宋体"/>
          <w:color w:val="auto"/>
          <w:spacing w:val="-4"/>
          <w:sz w:val="24"/>
          <w:szCs w:val="24"/>
          <w:highlight w:val="none"/>
        </w:rPr>
        <w:t>50m</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之内堆放，以免对现有农田及设施造成破坏。对施工开挖的边坡及</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时进行支护，维护排水设施，并进行水土保持，避免因施工造成的地质灾害。</w:t>
      </w:r>
    </w:p>
    <w:p w14:paraId="54BC543C">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right="0" w:firstLine="457" w:firstLineChars="194"/>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4.2履约担保</w:t>
      </w:r>
      <w:r>
        <w:rPr>
          <w:rFonts w:ascii="宋体" w:hAnsi="宋体" w:eastAsia="宋体" w:cs="宋体"/>
          <w:color w:val="auto"/>
          <w:spacing w:val="-12"/>
          <w:sz w:val="24"/>
          <w:szCs w:val="24"/>
          <w:highlight w:val="none"/>
        </w:rPr>
        <w:t>本款修改为：</w:t>
      </w:r>
    </w:p>
    <w:p w14:paraId="6A4FE8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4.2.1</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履约担保的形式采用银行保函的形式，履约担保</w:t>
      </w:r>
      <w:r>
        <w:rPr>
          <w:rFonts w:ascii="宋体" w:hAnsi="宋体" w:eastAsia="宋体" w:cs="宋体"/>
          <w:color w:val="auto"/>
          <w:spacing w:val="-2"/>
          <w:sz w:val="24"/>
          <w:szCs w:val="24"/>
          <w:highlight w:val="none"/>
        </w:rPr>
        <w:t>的金额为中标价的</w:t>
      </w:r>
      <w:r>
        <w:rPr>
          <w:rFonts w:ascii="宋体" w:hAnsi="宋体" w:eastAsia="宋体" w:cs="宋体"/>
          <w:color w:val="auto"/>
          <w:spacing w:val="-33"/>
          <w:sz w:val="24"/>
          <w:szCs w:val="24"/>
          <w:highlight w:val="none"/>
        </w:rPr>
        <w:t xml:space="preserve"> </w:t>
      </w:r>
      <w:r>
        <w:rPr>
          <w:rFonts w:ascii="宋体" w:hAnsi="宋体" w:eastAsia="宋体" w:cs="宋体"/>
          <w:color w:val="auto"/>
          <w:spacing w:val="-2"/>
          <w:sz w:val="24"/>
          <w:szCs w:val="24"/>
          <w:highlight w:val="none"/>
        </w:rPr>
        <w:t>10%。</w:t>
      </w:r>
    </w:p>
    <w:p w14:paraId="119EB6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4.2.2</w:t>
      </w:r>
      <w:r>
        <w:rPr>
          <w:rFonts w:ascii="宋体" w:hAnsi="宋体" w:eastAsia="宋体" w:cs="宋体"/>
          <w:color w:val="auto"/>
          <w:spacing w:val="-51"/>
          <w:sz w:val="24"/>
          <w:szCs w:val="24"/>
          <w:highlight w:val="none"/>
        </w:rPr>
        <w:t xml:space="preserve"> </w:t>
      </w:r>
      <w:r>
        <w:rPr>
          <w:rFonts w:ascii="宋体" w:hAnsi="宋体" w:eastAsia="宋体" w:cs="宋体"/>
          <w:color w:val="auto"/>
          <w:sz w:val="24"/>
          <w:szCs w:val="24"/>
          <w:highlight w:val="none"/>
        </w:rPr>
        <w:t>承包人应保证其履约担保在发包人颁发合同工程完工证书前一直有效。发</w:t>
      </w:r>
      <w:r>
        <w:rPr>
          <w:rFonts w:ascii="宋体" w:hAnsi="宋体" w:eastAsia="宋体" w:cs="宋体"/>
          <w:color w:val="auto"/>
          <w:spacing w:val="-1"/>
          <w:sz w:val="24"/>
          <w:szCs w:val="24"/>
          <w:highlight w:val="none"/>
        </w:rPr>
        <w:t>包人应在合同工程完工证书颁发后</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28</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天内把履约担保退</w:t>
      </w:r>
      <w:r>
        <w:rPr>
          <w:rFonts w:ascii="宋体" w:hAnsi="宋体" w:eastAsia="宋体" w:cs="宋体"/>
          <w:color w:val="auto"/>
          <w:spacing w:val="-2"/>
          <w:sz w:val="24"/>
          <w:szCs w:val="24"/>
          <w:highlight w:val="none"/>
        </w:rPr>
        <w:t>还给承包人。</w:t>
      </w:r>
    </w:p>
    <w:p w14:paraId="6D6CDB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4.3.分包</w:t>
      </w:r>
    </w:p>
    <w:p w14:paraId="160E86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本合同工程不允许承包人分包。承包人擅自转包、分包，发包人有权解除合同，</w:t>
      </w:r>
      <w:r>
        <w:rPr>
          <w:rFonts w:ascii="宋体" w:hAnsi="宋体" w:eastAsia="宋体" w:cs="宋体"/>
          <w:color w:val="auto"/>
          <w:spacing w:val="-6"/>
          <w:sz w:val="24"/>
          <w:szCs w:val="24"/>
          <w:highlight w:val="none"/>
        </w:rPr>
        <w:t>由承包人支付合同总价</w:t>
      </w:r>
      <w:r>
        <w:rPr>
          <w:rFonts w:ascii="宋体" w:hAnsi="宋体" w:eastAsia="宋体" w:cs="宋体"/>
          <w:color w:val="auto"/>
          <w:spacing w:val="-20"/>
          <w:sz w:val="24"/>
          <w:szCs w:val="24"/>
          <w:highlight w:val="none"/>
        </w:rPr>
        <w:t xml:space="preserve"> </w:t>
      </w:r>
      <w:r>
        <w:rPr>
          <w:rFonts w:ascii="宋体" w:hAnsi="宋体" w:eastAsia="宋体" w:cs="宋体"/>
          <w:color w:val="auto"/>
          <w:spacing w:val="-6"/>
          <w:sz w:val="24"/>
          <w:szCs w:val="24"/>
          <w:highlight w:val="none"/>
        </w:rPr>
        <w:t>10%的违约金，并按合同价的</w:t>
      </w:r>
      <w:r>
        <w:rPr>
          <w:rFonts w:ascii="宋体" w:hAnsi="宋体" w:eastAsia="宋体" w:cs="宋体"/>
          <w:color w:val="auto"/>
          <w:spacing w:val="-33"/>
          <w:sz w:val="24"/>
          <w:szCs w:val="24"/>
          <w:highlight w:val="none"/>
        </w:rPr>
        <w:t xml:space="preserve"> </w:t>
      </w:r>
      <w:r>
        <w:rPr>
          <w:rFonts w:ascii="宋体" w:hAnsi="宋体" w:eastAsia="宋体" w:cs="宋体"/>
          <w:color w:val="auto"/>
          <w:spacing w:val="-6"/>
          <w:sz w:val="24"/>
          <w:szCs w:val="24"/>
          <w:highlight w:val="none"/>
        </w:rPr>
        <w:t>10%赔偿发包人的其他经济损失。</w:t>
      </w:r>
    </w:p>
    <w:p w14:paraId="1FD175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4.5 承包人项目经理</w:t>
      </w:r>
    </w:p>
    <w:p w14:paraId="7EC8E5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4.5.1 承包人应按投标文件约定的项目项目负责人指派的项目经理。项目经理和</w:t>
      </w:r>
      <w:r>
        <w:rPr>
          <w:rFonts w:ascii="宋体" w:hAnsi="宋体" w:eastAsia="宋体" w:cs="宋体"/>
          <w:color w:val="auto"/>
          <w:spacing w:val="-1"/>
          <w:sz w:val="24"/>
          <w:szCs w:val="24"/>
          <w:highlight w:val="none"/>
        </w:rPr>
        <w:t>项目技术负责人离开工地需经监理人批准。</w:t>
      </w:r>
    </w:p>
    <w:p w14:paraId="7E3E57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2" w:firstLineChars="253"/>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4.6.承包人人员的管理</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本款增加：</w:t>
      </w:r>
    </w:p>
    <w:p w14:paraId="4D347B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jc w:val="both"/>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4.6.1</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承包人必须按照投标文件第八章第六项“施工组织设计</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”中“</w:t>
      </w:r>
      <w:r>
        <w:rPr>
          <w:rFonts w:ascii="宋体" w:hAnsi="宋体" w:eastAsia="宋体" w:cs="宋体"/>
          <w:color w:val="auto"/>
          <w:spacing w:val="-92"/>
          <w:sz w:val="24"/>
          <w:szCs w:val="24"/>
          <w:highlight w:val="none"/>
        </w:rPr>
        <w:t xml:space="preserve"> </w:t>
      </w:r>
      <w:r>
        <w:rPr>
          <w:rFonts w:ascii="宋体" w:hAnsi="宋体" w:eastAsia="宋体" w:cs="宋体"/>
          <w:color w:val="auto"/>
          <w:spacing w:val="-2"/>
          <w:sz w:val="24"/>
          <w:szCs w:val="24"/>
          <w:highlight w:val="none"/>
        </w:rPr>
        <w:t>附件三：拟</w:t>
      </w:r>
      <w:r>
        <w:rPr>
          <w:rFonts w:ascii="宋体" w:hAnsi="宋体" w:eastAsia="宋体" w:cs="宋体"/>
          <w:color w:val="auto"/>
          <w:spacing w:val="-5"/>
          <w:sz w:val="24"/>
          <w:szCs w:val="24"/>
          <w:highlight w:val="none"/>
        </w:rPr>
        <w:t>投入本工程的劳动力计划表</w:t>
      </w:r>
      <w:r>
        <w:rPr>
          <w:rFonts w:ascii="宋体" w:hAnsi="宋体" w:eastAsia="宋体" w:cs="宋体"/>
          <w:color w:val="auto"/>
          <w:spacing w:val="-71"/>
          <w:sz w:val="24"/>
          <w:szCs w:val="24"/>
          <w:highlight w:val="none"/>
        </w:rPr>
        <w:t xml:space="preserve"> </w:t>
      </w:r>
      <w:r>
        <w:rPr>
          <w:rFonts w:ascii="宋体" w:hAnsi="宋体" w:eastAsia="宋体" w:cs="宋体"/>
          <w:color w:val="auto"/>
          <w:spacing w:val="-5"/>
          <w:sz w:val="24"/>
          <w:szCs w:val="24"/>
          <w:highlight w:val="none"/>
        </w:rPr>
        <w:t>”以及第八章第七节“项目管理机构</w:t>
      </w:r>
      <w:r>
        <w:rPr>
          <w:rFonts w:ascii="宋体" w:hAnsi="宋体" w:eastAsia="宋体" w:cs="宋体"/>
          <w:color w:val="auto"/>
          <w:spacing w:val="-88"/>
          <w:sz w:val="24"/>
          <w:szCs w:val="24"/>
          <w:highlight w:val="none"/>
        </w:rPr>
        <w:t xml:space="preserve"> </w:t>
      </w:r>
      <w:r>
        <w:rPr>
          <w:rFonts w:ascii="宋体" w:hAnsi="宋体" w:eastAsia="宋体" w:cs="宋体"/>
          <w:color w:val="auto"/>
          <w:spacing w:val="-5"/>
          <w:sz w:val="24"/>
          <w:szCs w:val="24"/>
          <w:highlight w:val="none"/>
        </w:rPr>
        <w:t>”的承诺执行。项目</w:t>
      </w:r>
      <w:r>
        <w:rPr>
          <w:rFonts w:ascii="宋体" w:hAnsi="宋体" w:eastAsia="宋体" w:cs="宋体"/>
          <w:color w:val="auto"/>
          <w:spacing w:val="-3"/>
          <w:sz w:val="24"/>
          <w:szCs w:val="24"/>
          <w:highlight w:val="none"/>
        </w:rPr>
        <w:t>经理、技术负责人应与投标文件中的承诺一致，不得随意更换，且各专业施工人员数</w:t>
      </w:r>
      <w:r>
        <w:rPr>
          <w:rFonts w:ascii="宋体" w:hAnsi="宋体" w:eastAsia="宋体" w:cs="宋体"/>
          <w:color w:val="auto"/>
          <w:spacing w:val="-1"/>
          <w:sz w:val="24"/>
          <w:szCs w:val="24"/>
          <w:highlight w:val="none"/>
        </w:rPr>
        <w:t>量必须符合投标文件中的承诺。</w:t>
      </w:r>
    </w:p>
    <w:p w14:paraId="4942D8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1"/>
        <w:jc w:val="both"/>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项目经理、技术负责人、质检员或质量管理人员、专职安全员原则上不得更换，</w:t>
      </w:r>
      <w:r>
        <w:rPr>
          <w:rFonts w:ascii="宋体" w:hAnsi="宋体" w:eastAsia="宋体" w:cs="宋体"/>
          <w:b/>
          <w:bCs/>
          <w:color w:val="auto"/>
          <w:spacing w:val="8"/>
          <w:sz w:val="24"/>
          <w:szCs w:val="24"/>
          <w:highlight w:val="none"/>
        </w:rPr>
        <w:t>如有特殊原因确需更换的，需经发包人同意，每更换一人由承包人向发包人支付</w:t>
      </w:r>
      <w:r>
        <w:rPr>
          <w:rFonts w:ascii="宋体" w:hAnsi="宋体" w:eastAsia="宋体" w:cs="宋体"/>
          <w:color w:val="auto"/>
          <w:spacing w:val="7"/>
          <w:sz w:val="24"/>
          <w:szCs w:val="24"/>
          <w:highlight w:val="none"/>
        </w:rPr>
        <w:t xml:space="preserve"> </w:t>
      </w:r>
      <w:r>
        <w:rPr>
          <w:rFonts w:ascii="宋体" w:hAnsi="宋体" w:eastAsia="宋体" w:cs="宋体"/>
          <w:b/>
          <w:bCs/>
          <w:color w:val="auto"/>
          <w:spacing w:val="-4"/>
          <w:sz w:val="24"/>
          <w:szCs w:val="24"/>
          <w:highlight w:val="none"/>
        </w:rPr>
        <w:t>50000</w:t>
      </w:r>
      <w:r>
        <w:rPr>
          <w:rFonts w:ascii="宋体" w:hAnsi="宋体" w:eastAsia="宋体" w:cs="宋体"/>
          <w:color w:val="auto"/>
          <w:spacing w:val="-47"/>
          <w:sz w:val="24"/>
          <w:szCs w:val="24"/>
          <w:highlight w:val="none"/>
        </w:rPr>
        <w:t xml:space="preserve"> </w:t>
      </w:r>
      <w:r>
        <w:rPr>
          <w:rFonts w:ascii="宋体" w:hAnsi="宋体" w:eastAsia="宋体" w:cs="宋体"/>
          <w:b/>
          <w:bCs/>
          <w:color w:val="auto"/>
          <w:spacing w:val="-4"/>
          <w:sz w:val="24"/>
          <w:szCs w:val="24"/>
          <w:highlight w:val="none"/>
        </w:rPr>
        <w:t>元的违约金；未经发包人同意，擅自更换项目经理、技术负责人及其它专业施</w:t>
      </w:r>
      <w:r>
        <w:rPr>
          <w:rFonts w:ascii="宋体" w:hAnsi="宋体" w:eastAsia="宋体" w:cs="宋体"/>
          <w:b/>
          <w:bCs/>
          <w:color w:val="auto"/>
          <w:spacing w:val="1"/>
          <w:sz w:val="24"/>
          <w:szCs w:val="24"/>
          <w:highlight w:val="none"/>
        </w:rPr>
        <w:t>工人员，按照《关于印发新疆维吾尔自治区水利工程建设市场主体不良行为管理办</w:t>
      </w:r>
      <w:r>
        <w:rPr>
          <w:rFonts w:ascii="宋体" w:hAnsi="宋体" w:eastAsia="宋体" w:cs="宋体"/>
          <w:b/>
          <w:bCs/>
          <w:color w:val="auto"/>
          <w:spacing w:val="-1"/>
          <w:sz w:val="24"/>
          <w:szCs w:val="24"/>
          <w:highlight w:val="none"/>
        </w:rPr>
        <w:t>法的通知》（新水厅〔2009〕58</w:t>
      </w:r>
      <w:r>
        <w:rPr>
          <w:rFonts w:ascii="宋体" w:hAnsi="宋体" w:eastAsia="宋体" w:cs="宋体"/>
          <w:color w:val="auto"/>
          <w:spacing w:val="-45"/>
          <w:sz w:val="24"/>
          <w:szCs w:val="24"/>
          <w:highlight w:val="none"/>
        </w:rPr>
        <w:t xml:space="preserve"> </w:t>
      </w:r>
      <w:r>
        <w:rPr>
          <w:rFonts w:ascii="宋体" w:hAnsi="宋体" w:eastAsia="宋体" w:cs="宋体"/>
          <w:b/>
          <w:bCs/>
          <w:color w:val="auto"/>
          <w:spacing w:val="-1"/>
          <w:sz w:val="24"/>
          <w:szCs w:val="24"/>
          <w:highlight w:val="none"/>
        </w:rPr>
        <w:t>号）的规定，发包人认定为承包人不良行为</w:t>
      </w:r>
      <w:r>
        <w:rPr>
          <w:rFonts w:hint="eastAsia" w:ascii="宋体" w:hAnsi="宋体" w:eastAsia="宋体" w:cs="宋体"/>
          <w:b/>
          <w:bCs/>
          <w:color w:val="auto"/>
          <w:spacing w:val="-1"/>
          <w:sz w:val="24"/>
          <w:szCs w:val="24"/>
          <w:highlight w:val="none"/>
          <w:lang w:eastAsia="zh-CN"/>
        </w:rPr>
        <w:t>，</w:t>
      </w:r>
      <w:r>
        <w:rPr>
          <w:rFonts w:ascii="宋体" w:hAnsi="宋体" w:eastAsia="宋体" w:cs="宋体"/>
          <w:b/>
          <w:bCs/>
          <w:color w:val="auto"/>
          <w:spacing w:val="-1"/>
          <w:sz w:val="24"/>
          <w:szCs w:val="24"/>
          <w:highlight w:val="none"/>
        </w:rPr>
        <w:t>由承</w:t>
      </w:r>
      <w:r>
        <w:rPr>
          <w:rFonts w:ascii="宋体" w:hAnsi="宋体" w:eastAsia="宋体" w:cs="宋体"/>
          <w:b/>
          <w:bCs/>
          <w:color w:val="auto"/>
          <w:spacing w:val="-2"/>
          <w:sz w:val="24"/>
          <w:szCs w:val="24"/>
          <w:highlight w:val="none"/>
        </w:rPr>
        <w:t>包人向发包人支付合同价</w:t>
      </w:r>
      <w:r>
        <w:rPr>
          <w:rFonts w:ascii="宋体" w:hAnsi="宋体" w:eastAsia="宋体" w:cs="宋体"/>
          <w:color w:val="auto"/>
          <w:spacing w:val="-46"/>
          <w:sz w:val="24"/>
          <w:szCs w:val="24"/>
          <w:highlight w:val="none"/>
        </w:rPr>
        <w:t xml:space="preserve"> </w:t>
      </w:r>
      <w:r>
        <w:rPr>
          <w:rFonts w:ascii="宋体" w:hAnsi="宋体" w:eastAsia="宋体" w:cs="宋体"/>
          <w:b/>
          <w:bCs/>
          <w:color w:val="auto"/>
          <w:spacing w:val="-2"/>
          <w:sz w:val="24"/>
          <w:szCs w:val="24"/>
          <w:highlight w:val="none"/>
        </w:rPr>
        <w:t>5%的违约金，并将施工单位不良</w:t>
      </w:r>
      <w:r>
        <w:rPr>
          <w:rFonts w:ascii="宋体" w:hAnsi="宋体" w:eastAsia="宋体" w:cs="宋体"/>
          <w:b/>
          <w:bCs/>
          <w:color w:val="auto"/>
          <w:spacing w:val="-3"/>
          <w:sz w:val="24"/>
          <w:szCs w:val="24"/>
          <w:highlight w:val="none"/>
        </w:rPr>
        <w:t>记录报水利厅记录在案。</w:t>
      </w:r>
    </w:p>
    <w:p w14:paraId="7D1C1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6"/>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4.6.2</w:t>
      </w:r>
      <w:r>
        <w:rPr>
          <w:rFonts w:ascii="宋体" w:hAnsi="宋体" w:eastAsia="宋体" w:cs="宋体"/>
          <w:color w:val="auto"/>
          <w:spacing w:val="-49"/>
          <w:sz w:val="24"/>
          <w:szCs w:val="24"/>
          <w:highlight w:val="none"/>
        </w:rPr>
        <w:t xml:space="preserve"> </w:t>
      </w:r>
      <w:r>
        <w:rPr>
          <w:rFonts w:ascii="宋体" w:hAnsi="宋体" w:eastAsia="宋体" w:cs="宋体"/>
          <w:color w:val="auto"/>
          <w:sz w:val="24"/>
          <w:szCs w:val="24"/>
          <w:highlight w:val="none"/>
        </w:rPr>
        <w:t>派驻工地的项目经理必须取得二级(含二级)以上水利水电专业注册建</w:t>
      </w:r>
      <w:r>
        <w:rPr>
          <w:rFonts w:ascii="宋体" w:hAnsi="宋体" w:eastAsia="宋体" w:cs="宋体"/>
          <w:color w:val="auto"/>
          <w:spacing w:val="-1"/>
          <w:sz w:val="24"/>
          <w:szCs w:val="24"/>
          <w:highlight w:val="none"/>
        </w:rPr>
        <w:t>造师</w:t>
      </w:r>
      <w:r>
        <w:rPr>
          <w:rFonts w:ascii="宋体" w:hAnsi="宋体" w:eastAsia="宋体" w:cs="宋体"/>
          <w:color w:val="auto"/>
          <w:spacing w:val="-3"/>
          <w:sz w:val="24"/>
          <w:szCs w:val="24"/>
          <w:highlight w:val="none"/>
        </w:rPr>
        <w:t>执业资格证书及注册证书，且必须是法定代表人的授权委托代理人，且不得兼任其它</w:t>
      </w:r>
      <w:r>
        <w:rPr>
          <w:rFonts w:ascii="宋体" w:hAnsi="宋体" w:eastAsia="宋体" w:cs="宋体"/>
          <w:color w:val="auto"/>
          <w:sz w:val="24"/>
          <w:szCs w:val="24"/>
          <w:highlight w:val="none"/>
        </w:rPr>
        <w:t>工程的项目经理或主要负责人，也不得兼任</w:t>
      </w:r>
      <w:r>
        <w:rPr>
          <w:rFonts w:ascii="宋体" w:hAnsi="宋体" w:eastAsia="宋体" w:cs="宋体"/>
          <w:color w:val="auto"/>
          <w:spacing w:val="-1"/>
          <w:sz w:val="24"/>
          <w:szCs w:val="24"/>
          <w:highlight w:val="none"/>
        </w:rPr>
        <w:t>本工程以外的现场职务。</w:t>
      </w:r>
    </w:p>
    <w:p w14:paraId="1B199F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1"/>
        <w:jc w:val="both"/>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项目经理、技术负责人、质检员或质量管理人员、专职安全员在施工期</w:t>
      </w:r>
      <w:r>
        <w:rPr>
          <w:rFonts w:ascii="宋体" w:hAnsi="宋体" w:eastAsia="宋体" w:cs="宋体"/>
          <w:b/>
          <w:bCs/>
          <w:color w:val="auto"/>
          <w:spacing w:val="-5"/>
          <w:sz w:val="24"/>
          <w:szCs w:val="24"/>
          <w:highlight w:val="none"/>
        </w:rPr>
        <w:t>每月在工</w:t>
      </w:r>
      <w:r>
        <w:rPr>
          <w:rFonts w:ascii="宋体" w:hAnsi="宋体" w:eastAsia="宋体" w:cs="宋体"/>
          <w:b/>
          <w:bCs/>
          <w:color w:val="auto"/>
          <w:spacing w:val="-3"/>
          <w:sz w:val="24"/>
          <w:szCs w:val="24"/>
          <w:highlight w:val="none"/>
        </w:rPr>
        <w:t>地时间不得少</w:t>
      </w:r>
      <w:r>
        <w:rPr>
          <w:rFonts w:ascii="宋体" w:hAnsi="宋体" w:eastAsia="宋体" w:cs="宋体"/>
          <w:b/>
          <w:bCs/>
          <w:color w:val="auto"/>
          <w:spacing w:val="-3"/>
          <w:sz w:val="24"/>
          <w:szCs w:val="24"/>
          <w:highlight w:val="none"/>
          <w:u w:val="single" w:color="auto"/>
        </w:rPr>
        <w:t>于</w:t>
      </w:r>
      <w:r>
        <w:rPr>
          <w:rFonts w:ascii="宋体" w:hAnsi="宋体" w:eastAsia="宋体" w:cs="宋体"/>
          <w:color w:val="auto"/>
          <w:spacing w:val="-43"/>
          <w:sz w:val="24"/>
          <w:szCs w:val="24"/>
          <w:highlight w:val="none"/>
          <w:u w:val="single" w:color="auto"/>
        </w:rPr>
        <w:t xml:space="preserve"> </w:t>
      </w:r>
      <w:r>
        <w:rPr>
          <w:rFonts w:ascii="宋体" w:hAnsi="宋体" w:eastAsia="宋体" w:cs="宋体"/>
          <w:b/>
          <w:bCs/>
          <w:color w:val="auto"/>
          <w:spacing w:val="-3"/>
          <w:sz w:val="24"/>
          <w:szCs w:val="24"/>
          <w:highlight w:val="none"/>
          <w:u w:val="single" w:color="auto"/>
        </w:rPr>
        <w:t>25</w:t>
      </w:r>
      <w:r>
        <w:rPr>
          <w:rFonts w:ascii="宋体" w:hAnsi="宋体" w:eastAsia="宋体" w:cs="宋体"/>
          <w:color w:val="auto"/>
          <w:spacing w:val="-46"/>
          <w:sz w:val="24"/>
          <w:szCs w:val="24"/>
          <w:highlight w:val="none"/>
          <w:u w:val="single" w:color="auto"/>
        </w:rPr>
        <w:t xml:space="preserve"> </w:t>
      </w:r>
      <w:r>
        <w:rPr>
          <w:rFonts w:ascii="宋体" w:hAnsi="宋体" w:eastAsia="宋体" w:cs="宋体"/>
          <w:b/>
          <w:bCs/>
          <w:color w:val="auto"/>
          <w:spacing w:val="-3"/>
          <w:sz w:val="24"/>
          <w:szCs w:val="24"/>
          <w:highlight w:val="none"/>
        </w:rPr>
        <w:t>天，如有特殊情况需要离开，必须经业主同意，未经业主同意擅</w:t>
      </w:r>
      <w:r>
        <w:rPr>
          <w:rFonts w:ascii="宋体" w:hAnsi="宋体" w:eastAsia="宋体" w:cs="宋体"/>
          <w:b/>
          <w:bCs/>
          <w:color w:val="auto"/>
          <w:spacing w:val="-4"/>
          <w:sz w:val="24"/>
          <w:szCs w:val="24"/>
          <w:highlight w:val="none"/>
        </w:rPr>
        <w:t>自离开施工现场的，每人每天支付违约金</w:t>
      </w:r>
      <w:r>
        <w:rPr>
          <w:rFonts w:ascii="宋体" w:hAnsi="宋体" w:eastAsia="宋体" w:cs="宋体"/>
          <w:color w:val="auto"/>
          <w:spacing w:val="-53"/>
          <w:sz w:val="24"/>
          <w:szCs w:val="24"/>
          <w:highlight w:val="none"/>
        </w:rPr>
        <w:t xml:space="preserve"> </w:t>
      </w:r>
      <w:r>
        <w:rPr>
          <w:rFonts w:ascii="宋体" w:hAnsi="宋体" w:eastAsia="宋体" w:cs="宋体"/>
          <w:color w:val="auto"/>
          <w:spacing w:val="-93"/>
          <w:sz w:val="24"/>
          <w:szCs w:val="24"/>
          <w:highlight w:val="none"/>
          <w:u w:val="single" w:color="auto"/>
        </w:rPr>
        <w:t xml:space="preserve"> </w:t>
      </w:r>
      <w:r>
        <w:rPr>
          <w:rFonts w:ascii="宋体" w:hAnsi="宋体" w:eastAsia="宋体" w:cs="宋体"/>
          <w:b/>
          <w:bCs/>
          <w:color w:val="auto"/>
          <w:spacing w:val="-4"/>
          <w:sz w:val="24"/>
          <w:szCs w:val="24"/>
          <w:highlight w:val="none"/>
          <w:u w:val="single" w:color="auto"/>
        </w:rPr>
        <w:t>10000</w:t>
      </w:r>
      <w:r>
        <w:rPr>
          <w:rFonts w:ascii="宋体" w:hAnsi="宋体" w:eastAsia="宋体" w:cs="宋体"/>
          <w:color w:val="auto"/>
          <w:spacing w:val="-49"/>
          <w:sz w:val="24"/>
          <w:szCs w:val="24"/>
          <w:highlight w:val="none"/>
          <w:u w:val="single" w:color="auto"/>
        </w:rPr>
        <w:t xml:space="preserve"> </w:t>
      </w:r>
      <w:r>
        <w:rPr>
          <w:rFonts w:ascii="宋体" w:hAnsi="宋体" w:eastAsia="宋体" w:cs="宋体"/>
          <w:b/>
          <w:bCs/>
          <w:color w:val="auto"/>
          <w:spacing w:val="-4"/>
          <w:sz w:val="24"/>
          <w:szCs w:val="24"/>
          <w:highlight w:val="none"/>
        </w:rPr>
        <w:t>元。</w:t>
      </w:r>
    </w:p>
    <w:p w14:paraId="63895D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5"/>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4.6.3</w:t>
      </w:r>
      <w:r>
        <w:rPr>
          <w:rFonts w:ascii="宋体" w:hAnsi="宋体" w:eastAsia="宋体" w:cs="宋体"/>
          <w:color w:val="auto"/>
          <w:spacing w:val="-51"/>
          <w:sz w:val="24"/>
          <w:szCs w:val="24"/>
          <w:highlight w:val="none"/>
        </w:rPr>
        <w:t xml:space="preserve"> </w:t>
      </w:r>
      <w:r>
        <w:rPr>
          <w:rFonts w:ascii="宋体" w:hAnsi="宋体" w:eastAsia="宋体" w:cs="宋体"/>
          <w:color w:val="auto"/>
          <w:sz w:val="24"/>
          <w:szCs w:val="24"/>
          <w:highlight w:val="none"/>
        </w:rPr>
        <w:t>承包人拟投入本工程的项目经理、技术负责人、质检员或质量管理人员、</w:t>
      </w:r>
      <w:r>
        <w:rPr>
          <w:rFonts w:ascii="宋体" w:hAnsi="宋体" w:eastAsia="宋体" w:cs="宋体"/>
          <w:color w:val="auto"/>
          <w:spacing w:val="-3"/>
          <w:sz w:val="24"/>
          <w:szCs w:val="24"/>
          <w:highlight w:val="none"/>
        </w:rPr>
        <w:t>专职安全员应按投标文件及承诺书列示人员按期足额到场，每差一名技术人员，承包人须向发包人支付违约金</w:t>
      </w:r>
      <w:r>
        <w:rPr>
          <w:rFonts w:ascii="宋体" w:hAnsi="宋体" w:eastAsia="宋体" w:cs="宋体"/>
          <w:color w:val="auto"/>
          <w:spacing w:val="-34"/>
          <w:sz w:val="24"/>
          <w:szCs w:val="24"/>
          <w:highlight w:val="none"/>
        </w:rPr>
        <w:t xml:space="preserve"> </w:t>
      </w:r>
      <w:r>
        <w:rPr>
          <w:rFonts w:ascii="宋体" w:hAnsi="宋体" w:eastAsia="宋体" w:cs="宋体"/>
          <w:b/>
          <w:bCs/>
          <w:color w:val="auto"/>
          <w:spacing w:val="-3"/>
          <w:sz w:val="24"/>
          <w:szCs w:val="24"/>
          <w:highlight w:val="none"/>
          <w:u w:val="single" w:color="auto"/>
        </w:rPr>
        <w:t>50000</w:t>
      </w:r>
      <w:r>
        <w:rPr>
          <w:rFonts w:ascii="宋体" w:hAnsi="宋体" w:eastAsia="宋体" w:cs="宋体"/>
          <w:color w:val="auto"/>
          <w:spacing w:val="-51"/>
          <w:sz w:val="24"/>
          <w:szCs w:val="24"/>
          <w:highlight w:val="none"/>
          <w:u w:val="single" w:color="auto"/>
        </w:rPr>
        <w:t xml:space="preserve"> </w:t>
      </w:r>
      <w:r>
        <w:rPr>
          <w:rFonts w:ascii="宋体" w:hAnsi="宋体" w:eastAsia="宋体" w:cs="宋体"/>
          <w:b/>
          <w:bCs/>
          <w:color w:val="auto"/>
          <w:spacing w:val="-3"/>
          <w:sz w:val="24"/>
          <w:szCs w:val="24"/>
          <w:highlight w:val="none"/>
        </w:rPr>
        <w:t>元</w:t>
      </w:r>
      <w:r>
        <w:rPr>
          <w:rFonts w:ascii="宋体" w:hAnsi="宋体" w:eastAsia="宋体" w:cs="宋体"/>
          <w:color w:val="auto"/>
          <w:spacing w:val="-3"/>
          <w:sz w:val="24"/>
          <w:szCs w:val="24"/>
          <w:highlight w:val="none"/>
        </w:rPr>
        <w:t>，并且不经发包人同意不能更换，否则亦按</w:t>
      </w:r>
      <w:r>
        <w:rPr>
          <w:rFonts w:ascii="宋体" w:hAnsi="宋体" w:eastAsia="宋体" w:cs="宋体"/>
          <w:color w:val="auto"/>
          <w:spacing w:val="-46"/>
          <w:sz w:val="24"/>
          <w:szCs w:val="24"/>
          <w:highlight w:val="none"/>
        </w:rPr>
        <w:t xml:space="preserve"> </w:t>
      </w:r>
      <w:r>
        <w:rPr>
          <w:rFonts w:ascii="宋体" w:hAnsi="宋体" w:eastAsia="宋体" w:cs="宋体"/>
          <w:b/>
          <w:bCs/>
          <w:color w:val="auto"/>
          <w:spacing w:val="-3"/>
          <w:sz w:val="24"/>
          <w:szCs w:val="24"/>
          <w:highlight w:val="none"/>
          <w:u w:val="single" w:color="auto"/>
        </w:rPr>
        <w:t>50000</w:t>
      </w:r>
      <w:r>
        <w:rPr>
          <w:rFonts w:ascii="宋体" w:hAnsi="宋体" w:eastAsia="宋体" w:cs="宋体"/>
          <w:color w:val="auto"/>
          <w:sz w:val="24"/>
          <w:szCs w:val="24"/>
          <w:highlight w:val="none"/>
        </w:rPr>
        <w:t xml:space="preserve"> </w:t>
      </w:r>
      <w:r>
        <w:rPr>
          <w:rFonts w:ascii="宋体" w:hAnsi="宋体" w:eastAsia="宋体" w:cs="宋体"/>
          <w:b/>
          <w:bCs/>
          <w:color w:val="auto"/>
          <w:spacing w:val="-2"/>
          <w:sz w:val="24"/>
          <w:szCs w:val="24"/>
          <w:highlight w:val="none"/>
        </w:rPr>
        <w:t>元/人</w:t>
      </w:r>
      <w:r>
        <w:rPr>
          <w:rFonts w:ascii="宋体" w:hAnsi="宋体" w:eastAsia="宋体" w:cs="宋体"/>
          <w:color w:val="auto"/>
          <w:spacing w:val="-2"/>
          <w:sz w:val="24"/>
          <w:szCs w:val="24"/>
          <w:highlight w:val="none"/>
        </w:rPr>
        <w:t>，向发包人支付违约金。</w:t>
      </w:r>
    </w:p>
    <w:p w14:paraId="5776FF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5"/>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4.6.4</w:t>
      </w:r>
      <w:r>
        <w:rPr>
          <w:rFonts w:ascii="宋体" w:hAnsi="宋体" w:eastAsia="宋体" w:cs="宋体"/>
          <w:color w:val="auto"/>
          <w:spacing w:val="-51"/>
          <w:sz w:val="24"/>
          <w:szCs w:val="24"/>
          <w:highlight w:val="none"/>
        </w:rPr>
        <w:t xml:space="preserve"> </w:t>
      </w:r>
      <w:r>
        <w:rPr>
          <w:rFonts w:ascii="宋体" w:hAnsi="宋体" w:eastAsia="宋体" w:cs="宋体"/>
          <w:color w:val="auto"/>
          <w:spacing w:val="-1"/>
          <w:sz w:val="24"/>
          <w:szCs w:val="24"/>
          <w:highlight w:val="none"/>
        </w:rPr>
        <w:t>承包人应指派不少于</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1</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名具有丰富经验、并持有自治区水利厅主管部</w:t>
      </w:r>
      <w:r>
        <w:rPr>
          <w:rFonts w:ascii="宋体" w:hAnsi="宋体" w:eastAsia="宋体" w:cs="宋体"/>
          <w:color w:val="auto"/>
          <w:spacing w:val="-2"/>
          <w:sz w:val="24"/>
          <w:szCs w:val="24"/>
          <w:highlight w:val="none"/>
        </w:rPr>
        <w:t>门颁发的安全生产考核合格</w:t>
      </w:r>
      <w:r>
        <w:rPr>
          <w:rFonts w:ascii="宋体" w:hAnsi="宋体" w:eastAsia="宋体" w:cs="宋体"/>
          <w:color w:val="auto"/>
          <w:spacing w:val="-53"/>
          <w:sz w:val="24"/>
          <w:szCs w:val="24"/>
          <w:highlight w:val="none"/>
        </w:rPr>
        <w:t xml:space="preserve"> </w:t>
      </w:r>
      <w:r>
        <w:rPr>
          <w:rFonts w:ascii="宋体" w:hAnsi="宋体" w:eastAsia="宋体" w:cs="宋体"/>
          <w:color w:val="auto"/>
          <w:spacing w:val="-2"/>
          <w:sz w:val="24"/>
          <w:szCs w:val="24"/>
          <w:highlight w:val="none"/>
        </w:rPr>
        <w:t>C</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类证书的专职安全员负责承包</w:t>
      </w:r>
      <w:r>
        <w:rPr>
          <w:rFonts w:ascii="宋体" w:hAnsi="宋体" w:eastAsia="宋体" w:cs="宋体"/>
          <w:color w:val="auto"/>
          <w:spacing w:val="-3"/>
          <w:sz w:val="24"/>
          <w:szCs w:val="24"/>
          <w:highlight w:val="none"/>
        </w:rPr>
        <w:t>人所辖工地的施工安全工作，</w:t>
      </w:r>
      <w:r>
        <w:rPr>
          <w:rFonts w:ascii="宋体" w:hAnsi="宋体" w:eastAsia="宋体" w:cs="宋体"/>
          <w:color w:val="auto"/>
          <w:sz w:val="24"/>
          <w:szCs w:val="24"/>
          <w:highlight w:val="none"/>
        </w:rPr>
        <w:t>杜绝重大安全事故的发生。并于每月固定时间向</w:t>
      </w:r>
      <w:r>
        <w:rPr>
          <w:rFonts w:ascii="宋体" w:hAnsi="宋体" w:eastAsia="宋体" w:cs="宋体"/>
          <w:color w:val="auto"/>
          <w:spacing w:val="-1"/>
          <w:sz w:val="24"/>
          <w:szCs w:val="24"/>
          <w:highlight w:val="none"/>
        </w:rPr>
        <w:t>监理人提交本月安全报告。</w:t>
      </w:r>
    </w:p>
    <w:p w14:paraId="11DBFF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7"/>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4.6.5</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中标人在雇用民工时，须与农民工签订劳动合同，并按月向发包人报用工名</w:t>
      </w:r>
      <w:r>
        <w:rPr>
          <w:rFonts w:ascii="宋体" w:hAnsi="宋体" w:eastAsia="宋体" w:cs="宋体"/>
          <w:color w:val="auto"/>
          <w:spacing w:val="-1"/>
          <w:sz w:val="24"/>
          <w:szCs w:val="24"/>
          <w:highlight w:val="none"/>
        </w:rPr>
        <w:t>单（身份证件、银行卡号、联系电话等相关材料复印件）和民工工资单，在劳务合同中</w:t>
      </w:r>
      <w:r>
        <w:rPr>
          <w:rFonts w:ascii="宋体" w:hAnsi="宋体" w:eastAsia="宋体" w:cs="宋体"/>
          <w:color w:val="auto"/>
          <w:spacing w:val="-5"/>
          <w:sz w:val="24"/>
          <w:szCs w:val="24"/>
          <w:highlight w:val="none"/>
        </w:rPr>
        <w:t>承包人必须标明工种、工作范围、权力、义务、报酬(劳保、福利、养老统筹、</w:t>
      </w:r>
      <w:r>
        <w:rPr>
          <w:rFonts w:ascii="宋体" w:hAnsi="宋体" w:eastAsia="宋体" w:cs="宋体"/>
          <w:color w:val="auto"/>
          <w:spacing w:val="-6"/>
          <w:sz w:val="24"/>
          <w:szCs w:val="24"/>
          <w:highlight w:val="none"/>
        </w:rPr>
        <w:t>保险等)，</w:t>
      </w:r>
      <w:r>
        <w:rPr>
          <w:rFonts w:ascii="宋体" w:hAnsi="宋体" w:eastAsia="宋体" w:cs="宋体"/>
          <w:color w:val="auto"/>
          <w:spacing w:val="-1"/>
          <w:sz w:val="24"/>
          <w:szCs w:val="24"/>
          <w:highlight w:val="none"/>
        </w:rPr>
        <w:t>标明结算方式、付款期限，最后标明发包人有权将工程进度款优先付给雇佣民工。承包人必须按时足额发放农民工工资，发包人有权监管；中标人应向当地劳动监察部门缴纳</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足额的农民工工资保证金，</w:t>
      </w:r>
      <w:r>
        <w:rPr>
          <w:rFonts w:ascii="宋体" w:hAnsi="宋体" w:eastAsia="宋体" w:cs="宋体"/>
          <w:b/>
          <w:bCs/>
          <w:color w:val="auto"/>
          <w:spacing w:val="-1"/>
          <w:sz w:val="24"/>
          <w:szCs w:val="24"/>
          <w:highlight w:val="none"/>
        </w:rPr>
        <w:t>发包人同时查验交费证明原件并将复印件在发包人处备案。</w:t>
      </w:r>
      <w:r>
        <w:rPr>
          <w:rFonts w:ascii="宋体" w:hAnsi="宋体" w:eastAsia="宋体" w:cs="宋体"/>
          <w:color w:val="auto"/>
          <w:spacing w:val="7"/>
          <w:sz w:val="24"/>
          <w:szCs w:val="24"/>
          <w:highlight w:val="none"/>
        </w:rPr>
        <w:t xml:space="preserve"> </w:t>
      </w:r>
      <w:r>
        <w:rPr>
          <w:rFonts w:ascii="宋体" w:hAnsi="宋体" w:eastAsia="宋体" w:cs="宋体"/>
          <w:color w:val="auto"/>
          <w:spacing w:val="-1"/>
          <w:sz w:val="24"/>
          <w:szCs w:val="24"/>
          <w:highlight w:val="none"/>
        </w:rPr>
        <w:t>农民保证金按照《新疆维吾尔自治区农民工工资保证金管理暂行办法》相关规定执行如遇承包人恶意拖欠、克扣农民工工资的行为，如承包人不按时发放民工工资，由当地劳动监察部门协调解决。</w:t>
      </w:r>
    </w:p>
    <w:p w14:paraId="4D1FE3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4.11</w:t>
      </w:r>
      <w:r>
        <w:rPr>
          <w:rFonts w:ascii="宋体" w:hAnsi="宋体" w:eastAsia="宋体" w:cs="宋体"/>
          <w:color w:val="auto"/>
          <w:spacing w:val="-40"/>
          <w:sz w:val="24"/>
          <w:szCs w:val="24"/>
          <w:highlight w:val="none"/>
        </w:rPr>
        <w:t xml:space="preserve"> </w:t>
      </w:r>
      <w:r>
        <w:rPr>
          <w:rFonts w:ascii="宋体" w:hAnsi="宋体" w:eastAsia="宋体" w:cs="宋体"/>
          <w:color w:val="auto"/>
          <w:spacing w:val="-3"/>
          <w:sz w:val="24"/>
          <w:szCs w:val="24"/>
          <w:highlight w:val="none"/>
        </w:rPr>
        <w:t>不利物质条件</w:t>
      </w:r>
    </w:p>
    <w:p w14:paraId="6BCE9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4.11.1</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不利物质条件的范围：</w:t>
      </w:r>
      <w:r>
        <w:rPr>
          <w:rFonts w:ascii="宋体" w:hAnsi="宋体" w:eastAsia="宋体" w:cs="宋体"/>
          <w:color w:val="auto"/>
          <w:spacing w:val="-1"/>
          <w:sz w:val="24"/>
          <w:szCs w:val="24"/>
          <w:highlight w:val="none"/>
          <w:u w:val="single" w:color="auto"/>
        </w:rPr>
        <w:t>执行通用条款</w:t>
      </w:r>
    </w:p>
    <w:p w14:paraId="07AC64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5</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材料和工程设备：</w:t>
      </w:r>
    </w:p>
    <w:p w14:paraId="587B0BE1">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right="0" w:firstLine="283" w:firstLineChars="12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5.1</w:t>
      </w:r>
      <w:r>
        <w:rPr>
          <w:rFonts w:ascii="宋体" w:hAnsi="宋体" w:eastAsia="宋体" w:cs="宋体"/>
          <w:color w:val="auto"/>
          <w:spacing w:val="-44"/>
          <w:sz w:val="24"/>
          <w:szCs w:val="24"/>
          <w:highlight w:val="none"/>
        </w:rPr>
        <w:t xml:space="preserve"> </w:t>
      </w:r>
      <w:r>
        <w:rPr>
          <w:rFonts w:ascii="宋体" w:hAnsi="宋体" w:eastAsia="宋体" w:cs="宋体"/>
          <w:color w:val="auto"/>
          <w:spacing w:val="-2"/>
          <w:sz w:val="24"/>
          <w:szCs w:val="24"/>
          <w:highlight w:val="none"/>
        </w:rPr>
        <w:t>承包人提供的材料和工程设备</w:t>
      </w:r>
      <w:r>
        <w:rPr>
          <w:rFonts w:ascii="宋体" w:hAnsi="宋体" w:eastAsia="宋体" w:cs="宋体"/>
          <w:color w:val="auto"/>
          <w:spacing w:val="-3"/>
          <w:sz w:val="24"/>
          <w:szCs w:val="24"/>
          <w:highlight w:val="none"/>
        </w:rPr>
        <w:t>本款增加：</w:t>
      </w:r>
    </w:p>
    <w:p w14:paraId="66CAC2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9"/>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（1）本工程由承包人自行采购材料，承包人应负责所</w:t>
      </w:r>
      <w:r>
        <w:rPr>
          <w:rFonts w:ascii="宋体" w:hAnsi="宋体" w:eastAsia="宋体" w:cs="宋体"/>
          <w:color w:val="auto"/>
          <w:spacing w:val="-3"/>
          <w:sz w:val="24"/>
          <w:szCs w:val="24"/>
          <w:highlight w:val="none"/>
        </w:rPr>
        <w:t>有材料和工程设备的采购、</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验收、运输、保管等，并承担上述工作所需的全部</w:t>
      </w:r>
      <w:r>
        <w:rPr>
          <w:rFonts w:ascii="宋体" w:hAnsi="宋体" w:eastAsia="宋体" w:cs="宋体"/>
          <w:color w:val="auto"/>
          <w:spacing w:val="-7"/>
          <w:sz w:val="24"/>
          <w:szCs w:val="24"/>
          <w:highlight w:val="none"/>
        </w:rPr>
        <w:t>费用。要求承包人自行采购（准备）</w:t>
      </w:r>
      <w:r>
        <w:rPr>
          <w:rFonts w:ascii="宋体" w:hAnsi="宋体" w:eastAsia="宋体" w:cs="宋体"/>
          <w:color w:val="auto"/>
          <w:spacing w:val="-1"/>
          <w:sz w:val="24"/>
          <w:szCs w:val="24"/>
          <w:highlight w:val="none"/>
        </w:rPr>
        <w:t>的建筑材料在同等条件下应优先考虑使用当地的材料。</w:t>
      </w:r>
    </w:p>
    <w:p w14:paraId="087967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4"/>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（2）承包人应按合同进度计划的安排及监理人指</w:t>
      </w:r>
      <w:r>
        <w:rPr>
          <w:rFonts w:ascii="宋体" w:hAnsi="宋体" w:eastAsia="宋体" w:cs="宋体"/>
          <w:color w:val="auto"/>
          <w:spacing w:val="1"/>
          <w:sz w:val="24"/>
          <w:szCs w:val="24"/>
          <w:highlight w:val="none"/>
        </w:rPr>
        <w:t>定的格式和期限，提交一份满</w:t>
      </w:r>
      <w:r>
        <w:rPr>
          <w:rFonts w:ascii="宋体" w:hAnsi="宋体" w:eastAsia="宋体" w:cs="宋体"/>
          <w:color w:val="auto"/>
          <w:spacing w:val="-1"/>
          <w:sz w:val="24"/>
          <w:szCs w:val="24"/>
          <w:highlight w:val="none"/>
        </w:rPr>
        <w:t>足施工进度要求的材料进场计划报送监理人审批，并抄送发包人。</w:t>
      </w:r>
    </w:p>
    <w:p w14:paraId="7F3D9E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（3）承包人应负责材料的质量检测、验收、场内</w:t>
      </w:r>
      <w:r>
        <w:rPr>
          <w:rFonts w:ascii="宋体" w:hAnsi="宋体" w:eastAsia="宋体" w:cs="宋体"/>
          <w:color w:val="auto"/>
          <w:spacing w:val="1"/>
          <w:sz w:val="24"/>
          <w:szCs w:val="24"/>
          <w:highlight w:val="none"/>
        </w:rPr>
        <w:t>运输和保管，并承担上述工作</w:t>
      </w:r>
      <w:r>
        <w:rPr>
          <w:rFonts w:ascii="宋体" w:hAnsi="宋体" w:eastAsia="宋体" w:cs="宋体"/>
          <w:color w:val="auto"/>
          <w:spacing w:val="-2"/>
          <w:sz w:val="24"/>
          <w:szCs w:val="24"/>
          <w:highlight w:val="none"/>
        </w:rPr>
        <w:t>所需的全部费用。每批材料进场后，承包人应提交一份材料进场报告，报送监理人，</w:t>
      </w:r>
      <w:r>
        <w:rPr>
          <w:rFonts w:ascii="宋体" w:hAnsi="宋体" w:eastAsia="宋体" w:cs="宋体"/>
          <w:color w:val="auto"/>
          <w:spacing w:val="-3"/>
          <w:sz w:val="24"/>
          <w:szCs w:val="24"/>
          <w:highlight w:val="none"/>
        </w:rPr>
        <w:t>并抄送发包人。</w:t>
      </w:r>
    </w:p>
    <w:p w14:paraId="38EA23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5.2 发包人提供的材料和工程设备</w:t>
      </w:r>
    </w:p>
    <w:p w14:paraId="7D02DB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本工程发包人不提供材料和工程设备。</w:t>
      </w:r>
    </w:p>
    <w:p w14:paraId="0B5C96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6</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施工设备和临时设施</w:t>
      </w:r>
    </w:p>
    <w:p w14:paraId="51CEA9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 承包人提供的施工设备和临时设施</w:t>
      </w:r>
      <w:r>
        <w:rPr>
          <w:rFonts w:ascii="宋体" w:hAnsi="宋体" w:eastAsia="宋体" w:cs="宋体"/>
          <w:color w:val="auto"/>
          <w:spacing w:val="6"/>
          <w:sz w:val="24"/>
          <w:szCs w:val="24"/>
          <w:highlight w:val="none"/>
        </w:rPr>
        <w:t xml:space="preserve"> </w:t>
      </w:r>
      <w:r>
        <w:rPr>
          <w:rFonts w:ascii="宋体" w:hAnsi="宋体" w:eastAsia="宋体" w:cs="宋体"/>
          <w:color w:val="auto"/>
          <w:spacing w:val="-3"/>
          <w:sz w:val="24"/>
          <w:szCs w:val="24"/>
          <w:highlight w:val="none"/>
        </w:rPr>
        <w:t>本款补充：</w:t>
      </w:r>
    </w:p>
    <w:p w14:paraId="4F2C2B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6.1.3</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承包人提供的施工设备必须按照投标文件第六章“施工组织设</w:t>
      </w:r>
      <w:r>
        <w:rPr>
          <w:rFonts w:ascii="宋体" w:hAnsi="宋体" w:eastAsia="宋体" w:cs="宋体"/>
          <w:color w:val="auto"/>
          <w:spacing w:val="-4"/>
          <w:sz w:val="24"/>
          <w:szCs w:val="24"/>
          <w:highlight w:val="none"/>
        </w:rPr>
        <w:t>计</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”中“</w:t>
      </w:r>
      <w:r>
        <w:rPr>
          <w:rFonts w:ascii="宋体" w:hAnsi="宋体" w:eastAsia="宋体" w:cs="宋体"/>
          <w:color w:val="auto"/>
          <w:spacing w:val="-92"/>
          <w:sz w:val="24"/>
          <w:szCs w:val="24"/>
          <w:highlight w:val="none"/>
        </w:rPr>
        <w:t xml:space="preserve"> </w:t>
      </w:r>
      <w:r>
        <w:rPr>
          <w:rFonts w:ascii="宋体" w:hAnsi="宋体" w:eastAsia="宋体" w:cs="宋体"/>
          <w:color w:val="auto"/>
          <w:spacing w:val="-4"/>
          <w:sz w:val="24"/>
          <w:szCs w:val="24"/>
          <w:highlight w:val="none"/>
        </w:rPr>
        <w:t>附件一：拟投入本工程的主要施工设备表</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”以及“</w:t>
      </w:r>
      <w:r>
        <w:rPr>
          <w:rFonts w:ascii="宋体" w:hAnsi="宋体" w:eastAsia="宋体" w:cs="宋体"/>
          <w:color w:val="auto"/>
          <w:spacing w:val="-92"/>
          <w:sz w:val="24"/>
          <w:szCs w:val="24"/>
          <w:highlight w:val="none"/>
        </w:rPr>
        <w:t xml:space="preserve"> </w:t>
      </w:r>
      <w:r>
        <w:rPr>
          <w:rFonts w:ascii="宋体" w:hAnsi="宋体" w:eastAsia="宋体" w:cs="宋体"/>
          <w:color w:val="auto"/>
          <w:spacing w:val="-5"/>
          <w:sz w:val="24"/>
          <w:szCs w:val="24"/>
          <w:highlight w:val="none"/>
        </w:rPr>
        <w:t>附件二：拟投入本工程的试验和检测</w:t>
      </w:r>
      <w:r>
        <w:rPr>
          <w:rFonts w:ascii="宋体" w:hAnsi="宋体" w:eastAsia="宋体" w:cs="宋体"/>
          <w:color w:val="auto"/>
          <w:spacing w:val="-4"/>
          <w:sz w:val="24"/>
          <w:szCs w:val="24"/>
          <w:highlight w:val="none"/>
        </w:rPr>
        <w:t>仪器设备表</w:t>
      </w:r>
      <w:r>
        <w:rPr>
          <w:rFonts w:ascii="宋体" w:hAnsi="宋体" w:eastAsia="宋体" w:cs="宋体"/>
          <w:color w:val="auto"/>
          <w:spacing w:val="-76"/>
          <w:sz w:val="24"/>
          <w:szCs w:val="24"/>
          <w:highlight w:val="none"/>
        </w:rPr>
        <w:t xml:space="preserve"> </w:t>
      </w:r>
      <w:r>
        <w:rPr>
          <w:rFonts w:ascii="宋体" w:hAnsi="宋体" w:eastAsia="宋体" w:cs="宋体"/>
          <w:color w:val="auto"/>
          <w:spacing w:val="-4"/>
          <w:sz w:val="24"/>
          <w:szCs w:val="24"/>
          <w:highlight w:val="none"/>
        </w:rPr>
        <w:t>”中所列示的施工设备按期足额完好到场且必须满足本合同工程的施工要</w:t>
      </w:r>
      <w:r>
        <w:rPr>
          <w:rFonts w:ascii="宋体" w:hAnsi="宋体" w:eastAsia="宋体" w:cs="宋体"/>
          <w:color w:val="auto"/>
          <w:spacing w:val="-3"/>
          <w:sz w:val="24"/>
          <w:szCs w:val="24"/>
          <w:highlight w:val="none"/>
        </w:rPr>
        <w:t>求及进度需要。由于承包人的主要设备不能按投标文件及承诺书所列示设备数量和日</w:t>
      </w:r>
      <w:r>
        <w:rPr>
          <w:rFonts w:ascii="宋体" w:hAnsi="宋体" w:eastAsia="宋体" w:cs="宋体"/>
          <w:color w:val="auto"/>
          <w:spacing w:val="-6"/>
          <w:sz w:val="24"/>
          <w:szCs w:val="24"/>
          <w:highlight w:val="none"/>
        </w:rPr>
        <w:t>期到场，承包人需向发包人缴纳违约金</w:t>
      </w:r>
      <w:r>
        <w:rPr>
          <w:rFonts w:ascii="宋体" w:hAnsi="宋体" w:eastAsia="宋体" w:cs="宋体"/>
          <w:color w:val="auto"/>
          <w:spacing w:val="-29"/>
          <w:sz w:val="24"/>
          <w:szCs w:val="24"/>
          <w:highlight w:val="none"/>
        </w:rPr>
        <w:t xml:space="preserve"> </w:t>
      </w:r>
      <w:r>
        <w:rPr>
          <w:rFonts w:ascii="宋体" w:hAnsi="宋体" w:eastAsia="宋体" w:cs="宋体"/>
          <w:b/>
          <w:bCs/>
          <w:color w:val="auto"/>
          <w:spacing w:val="-6"/>
          <w:sz w:val="24"/>
          <w:szCs w:val="24"/>
          <w:highlight w:val="none"/>
          <w:u w:val="single" w:color="auto"/>
        </w:rPr>
        <w:t>2</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6"/>
          <w:sz w:val="24"/>
          <w:szCs w:val="24"/>
          <w:highlight w:val="none"/>
        </w:rPr>
        <w:t>万元；并且每台设备迟到一天违约金为</w:t>
      </w:r>
      <w:r>
        <w:rPr>
          <w:rFonts w:ascii="宋体" w:hAnsi="宋体" w:eastAsia="宋体" w:cs="宋体"/>
          <w:color w:val="auto"/>
          <w:spacing w:val="-48"/>
          <w:sz w:val="24"/>
          <w:szCs w:val="24"/>
          <w:highlight w:val="none"/>
        </w:rPr>
        <w:t xml:space="preserve"> </w:t>
      </w:r>
      <w:r>
        <w:rPr>
          <w:rFonts w:ascii="宋体" w:hAnsi="宋体" w:eastAsia="宋体" w:cs="宋体"/>
          <w:b/>
          <w:bCs/>
          <w:color w:val="auto"/>
          <w:spacing w:val="-6"/>
          <w:sz w:val="24"/>
          <w:szCs w:val="24"/>
          <w:highlight w:val="none"/>
          <w:u w:val="single" w:color="auto"/>
        </w:rPr>
        <w:t>2000</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元。严重影响工期时，按以下原则处理：耽误工期的应由承包人增补部分设备，为赶</w:t>
      </w:r>
      <w:r>
        <w:rPr>
          <w:rFonts w:ascii="宋体" w:hAnsi="宋体" w:eastAsia="宋体" w:cs="宋体"/>
          <w:color w:val="auto"/>
          <w:spacing w:val="-1"/>
          <w:sz w:val="24"/>
          <w:szCs w:val="24"/>
          <w:highlight w:val="none"/>
        </w:rPr>
        <w:t>工期所增加的设备而发生的各项费用应由承包人自行负担。</w:t>
      </w:r>
    </w:p>
    <w:p w14:paraId="3712A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6.1.5</w:t>
      </w:r>
      <w:r>
        <w:rPr>
          <w:rFonts w:ascii="宋体" w:hAnsi="宋体" w:eastAsia="宋体" w:cs="宋体"/>
          <w:color w:val="auto"/>
          <w:spacing w:val="-32"/>
          <w:sz w:val="24"/>
          <w:szCs w:val="24"/>
          <w:highlight w:val="none"/>
        </w:rPr>
        <w:t xml:space="preserve"> </w:t>
      </w:r>
      <w:r>
        <w:rPr>
          <w:rFonts w:ascii="宋体" w:hAnsi="宋体" w:eastAsia="宋体" w:cs="宋体"/>
          <w:color w:val="auto"/>
          <w:spacing w:val="-2"/>
          <w:sz w:val="24"/>
          <w:szCs w:val="24"/>
          <w:highlight w:val="none"/>
        </w:rPr>
        <w:t>承包人的主要施工设备、试验检测仪器等专用于本合同工程，调出这些设</w:t>
      </w:r>
      <w:r>
        <w:rPr>
          <w:rFonts w:ascii="宋体" w:hAnsi="宋体" w:eastAsia="宋体" w:cs="宋体"/>
          <w:color w:val="auto"/>
          <w:spacing w:val="-1"/>
          <w:sz w:val="24"/>
          <w:szCs w:val="24"/>
          <w:highlight w:val="none"/>
        </w:rPr>
        <w:t>备、仪器时必须征得发包人同意。</w:t>
      </w:r>
    </w:p>
    <w:p w14:paraId="390A7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发包人提供的施工设备和临时设施</w:t>
      </w:r>
    </w:p>
    <w:p w14:paraId="008567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本工程发包人不提供施工设备和临时设施。</w:t>
      </w:r>
    </w:p>
    <w:p w14:paraId="28C299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7</w:t>
      </w:r>
      <w:r>
        <w:rPr>
          <w:rFonts w:ascii="宋体" w:hAnsi="宋体" w:eastAsia="宋体" w:cs="宋体"/>
          <w:color w:val="auto"/>
          <w:spacing w:val="7"/>
          <w:sz w:val="24"/>
          <w:szCs w:val="24"/>
          <w:highlight w:val="none"/>
        </w:rPr>
        <w:t xml:space="preserve">  </w:t>
      </w:r>
      <w:r>
        <w:rPr>
          <w:rFonts w:ascii="宋体" w:hAnsi="宋体" w:eastAsia="宋体" w:cs="宋体"/>
          <w:b/>
          <w:bCs/>
          <w:color w:val="auto"/>
          <w:spacing w:val="-8"/>
          <w:sz w:val="24"/>
          <w:szCs w:val="24"/>
          <w:highlight w:val="none"/>
        </w:rPr>
        <w:t>交通运输</w:t>
      </w:r>
    </w:p>
    <w:p w14:paraId="7308C5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7.1 道路通行权和场外设施：</w:t>
      </w:r>
      <w:r>
        <w:rPr>
          <w:rFonts w:ascii="宋体" w:hAnsi="宋体" w:eastAsia="宋体" w:cs="宋体"/>
          <w:color w:val="auto"/>
          <w:spacing w:val="-3"/>
          <w:sz w:val="24"/>
          <w:szCs w:val="24"/>
          <w:highlight w:val="none"/>
          <w:u w:val="single" w:color="auto"/>
        </w:rPr>
        <w:t>办理道路通行权及修建场外临时设施权均由承包人</w:t>
      </w:r>
      <w:r>
        <w:rPr>
          <w:rFonts w:ascii="宋体" w:hAnsi="宋体" w:eastAsia="宋体" w:cs="宋体"/>
          <w:color w:val="auto"/>
          <w:spacing w:val="1"/>
          <w:sz w:val="24"/>
          <w:szCs w:val="24"/>
          <w:highlight w:val="none"/>
          <w:u w:val="single" w:color="auto"/>
        </w:rPr>
        <w:t>负责，并承担相应的费用。</w:t>
      </w:r>
    </w:p>
    <w:p w14:paraId="251191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7.4 若实际运输中的超大件或超重件超过合同规定的尺寸或重量时，由承包人承</w:t>
      </w:r>
      <w:r>
        <w:rPr>
          <w:rFonts w:ascii="宋体" w:hAnsi="宋体" w:eastAsia="宋体" w:cs="宋体"/>
          <w:color w:val="auto"/>
          <w:spacing w:val="-1"/>
          <w:sz w:val="24"/>
          <w:szCs w:val="24"/>
          <w:highlight w:val="none"/>
        </w:rPr>
        <w:t>担其费用，发包人不予分担。</w:t>
      </w:r>
    </w:p>
    <w:p w14:paraId="7B8813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8</w:t>
      </w:r>
      <w:r>
        <w:rPr>
          <w:rFonts w:ascii="宋体" w:hAnsi="宋体" w:eastAsia="宋体" w:cs="宋体"/>
          <w:color w:val="auto"/>
          <w:spacing w:val="6"/>
          <w:sz w:val="24"/>
          <w:szCs w:val="24"/>
          <w:highlight w:val="none"/>
        </w:rPr>
        <w:t xml:space="preserve">  </w:t>
      </w:r>
      <w:r>
        <w:rPr>
          <w:rFonts w:ascii="宋体" w:hAnsi="宋体" w:eastAsia="宋体" w:cs="宋体"/>
          <w:b/>
          <w:bCs/>
          <w:color w:val="auto"/>
          <w:spacing w:val="-7"/>
          <w:sz w:val="24"/>
          <w:szCs w:val="24"/>
          <w:highlight w:val="none"/>
        </w:rPr>
        <w:t>测量放线</w:t>
      </w:r>
    </w:p>
    <w:p w14:paraId="79B38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color w:val="auto"/>
          <w:highlight w:val="none"/>
        </w:rPr>
      </w:pPr>
      <w:r>
        <w:rPr>
          <w:rFonts w:ascii="宋体" w:hAnsi="宋体" w:eastAsia="宋体" w:cs="宋体"/>
          <w:color w:val="auto"/>
          <w:spacing w:val="-3"/>
          <w:sz w:val="24"/>
          <w:szCs w:val="24"/>
          <w:highlight w:val="none"/>
        </w:rPr>
        <w:t>8.1</w:t>
      </w:r>
      <w:r>
        <w:rPr>
          <w:rFonts w:ascii="宋体" w:hAnsi="宋体" w:eastAsia="宋体" w:cs="宋体"/>
          <w:color w:val="auto"/>
          <w:spacing w:val="-48"/>
          <w:sz w:val="24"/>
          <w:szCs w:val="24"/>
          <w:highlight w:val="none"/>
        </w:rPr>
        <w:t xml:space="preserve"> </w:t>
      </w:r>
      <w:r>
        <w:rPr>
          <w:rFonts w:ascii="宋体" w:hAnsi="宋体" w:eastAsia="宋体" w:cs="宋体"/>
          <w:color w:val="auto"/>
          <w:spacing w:val="-3"/>
          <w:sz w:val="24"/>
          <w:szCs w:val="24"/>
          <w:highlight w:val="none"/>
        </w:rPr>
        <w:t>施工控制网</w:t>
      </w:r>
    </w:p>
    <w:p w14:paraId="48B5D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8.1.1</w:t>
      </w:r>
      <w:r>
        <w:rPr>
          <w:rFonts w:ascii="宋体" w:hAnsi="宋体" w:eastAsia="宋体" w:cs="宋体"/>
          <w:color w:val="auto"/>
          <w:spacing w:val="-38"/>
          <w:sz w:val="24"/>
          <w:szCs w:val="24"/>
          <w:highlight w:val="none"/>
        </w:rPr>
        <w:t xml:space="preserve"> </w:t>
      </w:r>
      <w:r>
        <w:rPr>
          <w:rFonts w:ascii="宋体" w:hAnsi="宋体" w:eastAsia="宋体" w:cs="宋体"/>
          <w:color w:val="auto"/>
          <w:spacing w:val="-4"/>
          <w:sz w:val="24"/>
          <w:szCs w:val="24"/>
          <w:highlight w:val="none"/>
        </w:rPr>
        <w:t>发包人在合同约定的开工日期前</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21</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天提供测量基准点、基准线和水准点，</w:t>
      </w:r>
      <w:r>
        <w:rPr>
          <w:rFonts w:ascii="宋体" w:hAnsi="宋体" w:eastAsia="宋体" w:cs="宋体"/>
          <w:color w:val="auto"/>
          <w:spacing w:val="-3"/>
          <w:sz w:val="24"/>
          <w:szCs w:val="24"/>
          <w:highlight w:val="none"/>
        </w:rPr>
        <w:t>承包人取得相关资料后，10 日内完成施工控制网测设工作。</w:t>
      </w:r>
    </w:p>
    <w:p w14:paraId="568B58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9</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施工安全、治安保卫和环境保护</w:t>
      </w:r>
    </w:p>
    <w:p w14:paraId="4C23EA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发包人的施工安全责任</w:t>
      </w:r>
    </w:p>
    <w:p w14:paraId="4EAF7A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9.1.4</w:t>
      </w:r>
      <w:r>
        <w:rPr>
          <w:rFonts w:ascii="宋体" w:hAnsi="宋体" w:eastAsia="宋体" w:cs="宋体"/>
          <w:color w:val="auto"/>
          <w:spacing w:val="-31"/>
          <w:sz w:val="24"/>
          <w:szCs w:val="24"/>
          <w:highlight w:val="none"/>
        </w:rPr>
        <w:t xml:space="preserve"> </w:t>
      </w:r>
      <w:r>
        <w:rPr>
          <w:rFonts w:ascii="宋体" w:hAnsi="宋体" w:eastAsia="宋体" w:cs="宋体"/>
          <w:color w:val="auto"/>
          <w:spacing w:val="-2"/>
          <w:sz w:val="24"/>
          <w:szCs w:val="24"/>
          <w:highlight w:val="none"/>
        </w:rPr>
        <w:t>发包人负责提供</w:t>
      </w:r>
      <w:r>
        <w:rPr>
          <w:rFonts w:ascii="宋体" w:hAnsi="宋体" w:eastAsia="宋体" w:cs="宋体"/>
          <w:color w:val="auto"/>
          <w:spacing w:val="-2"/>
          <w:sz w:val="24"/>
          <w:szCs w:val="24"/>
          <w:highlight w:val="none"/>
          <w:u w:val="single" w:color="auto"/>
        </w:rPr>
        <w:t>项目实施方案、工程施工图纸，其余资料由承包人负责收</w:t>
      </w:r>
      <w:r>
        <w:rPr>
          <w:rFonts w:ascii="宋体" w:hAnsi="宋体" w:eastAsia="宋体" w:cs="宋体"/>
          <w:color w:val="auto"/>
          <w:spacing w:val="11"/>
          <w:sz w:val="24"/>
          <w:szCs w:val="24"/>
          <w:highlight w:val="none"/>
          <w:u w:val="single" w:color="auto"/>
        </w:rPr>
        <w:t>集。</w:t>
      </w:r>
    </w:p>
    <w:p w14:paraId="34EBCC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9.2</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承包人的施工安全责任</w:t>
      </w:r>
    </w:p>
    <w:p w14:paraId="202A60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9.2.12</w:t>
      </w:r>
      <w:r>
        <w:rPr>
          <w:rFonts w:ascii="宋体" w:hAnsi="宋体" w:eastAsia="宋体" w:cs="宋体"/>
          <w:color w:val="auto"/>
          <w:spacing w:val="-41"/>
          <w:sz w:val="24"/>
          <w:szCs w:val="24"/>
          <w:highlight w:val="none"/>
        </w:rPr>
        <w:t xml:space="preserve"> </w:t>
      </w:r>
      <w:r>
        <w:rPr>
          <w:rFonts w:ascii="宋体" w:hAnsi="宋体" w:eastAsia="宋体" w:cs="宋体"/>
          <w:color w:val="auto"/>
          <w:spacing w:val="-1"/>
          <w:sz w:val="24"/>
          <w:szCs w:val="24"/>
          <w:highlight w:val="none"/>
        </w:rPr>
        <w:t>承包人按项目所在地公安、政法部门要求办理相关手续。</w:t>
      </w:r>
    </w:p>
    <w:p w14:paraId="4469D2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下列工程应编制专项施工方案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z w:val="24"/>
          <w:szCs w:val="24"/>
          <w:highlight w:val="none"/>
        </w:rPr>
        <w:t>,均按要求组织</w:t>
      </w:r>
      <w:r>
        <w:rPr>
          <w:rFonts w:ascii="宋体" w:hAnsi="宋体" w:eastAsia="宋体" w:cs="宋体"/>
          <w:color w:val="auto"/>
          <w:spacing w:val="-1"/>
          <w:sz w:val="24"/>
          <w:szCs w:val="24"/>
          <w:highlight w:val="none"/>
        </w:rPr>
        <w:t>专家论证和审</w:t>
      </w:r>
      <w:r>
        <w:rPr>
          <w:rFonts w:ascii="宋体" w:hAnsi="宋体" w:eastAsia="宋体" w:cs="宋体"/>
          <w:color w:val="auto"/>
          <w:spacing w:val="-7"/>
          <w:sz w:val="24"/>
          <w:szCs w:val="24"/>
          <w:highlight w:val="none"/>
        </w:rPr>
        <w:t>查。</w:t>
      </w:r>
    </w:p>
    <w:p w14:paraId="535E5B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9.7</w:t>
      </w:r>
      <w:r>
        <w:rPr>
          <w:rFonts w:ascii="宋体" w:hAnsi="宋体" w:eastAsia="宋体" w:cs="宋体"/>
          <w:color w:val="auto"/>
          <w:spacing w:val="-44"/>
          <w:sz w:val="24"/>
          <w:szCs w:val="24"/>
          <w:highlight w:val="none"/>
        </w:rPr>
        <w:t xml:space="preserve"> </w:t>
      </w:r>
      <w:r>
        <w:rPr>
          <w:rFonts w:ascii="宋体" w:hAnsi="宋体" w:eastAsia="宋体" w:cs="宋体"/>
          <w:color w:val="auto"/>
          <w:spacing w:val="-4"/>
          <w:sz w:val="24"/>
          <w:szCs w:val="24"/>
          <w:highlight w:val="none"/>
        </w:rPr>
        <w:t>文明施工</w:t>
      </w:r>
    </w:p>
    <w:p w14:paraId="2BBDA7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9.7.1</w:t>
      </w:r>
      <w:r>
        <w:rPr>
          <w:rFonts w:ascii="宋体" w:hAnsi="宋体" w:eastAsia="宋体" w:cs="宋体"/>
          <w:color w:val="auto"/>
          <w:spacing w:val="-47"/>
          <w:sz w:val="24"/>
          <w:szCs w:val="24"/>
          <w:highlight w:val="none"/>
        </w:rPr>
        <w:t xml:space="preserve"> </w:t>
      </w:r>
      <w:r>
        <w:rPr>
          <w:rFonts w:ascii="宋体" w:hAnsi="宋体" w:eastAsia="宋体" w:cs="宋体"/>
          <w:color w:val="auto"/>
          <w:spacing w:val="-1"/>
          <w:sz w:val="24"/>
          <w:szCs w:val="24"/>
          <w:highlight w:val="none"/>
        </w:rPr>
        <w:t>本合同文明工地的约定：</w:t>
      </w:r>
      <w:r>
        <w:rPr>
          <w:rFonts w:ascii="宋体" w:hAnsi="宋体" w:eastAsia="宋体" w:cs="宋体"/>
          <w:color w:val="auto"/>
          <w:spacing w:val="-1"/>
          <w:sz w:val="24"/>
          <w:szCs w:val="24"/>
          <w:highlight w:val="none"/>
          <w:u w:val="single" w:color="auto"/>
        </w:rPr>
        <w:t>按国家相关规定执行</w:t>
      </w:r>
    </w:p>
    <w:p w14:paraId="7F1CD1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11</w:t>
      </w:r>
      <w:r>
        <w:rPr>
          <w:rFonts w:ascii="宋体" w:hAnsi="宋体" w:eastAsia="宋体" w:cs="宋体"/>
          <w:color w:val="auto"/>
          <w:spacing w:val="-53"/>
          <w:sz w:val="24"/>
          <w:szCs w:val="24"/>
          <w:highlight w:val="none"/>
        </w:rPr>
        <w:t xml:space="preserve"> </w:t>
      </w:r>
      <w:r>
        <w:rPr>
          <w:rFonts w:ascii="宋体" w:hAnsi="宋体" w:eastAsia="宋体" w:cs="宋体"/>
          <w:b/>
          <w:bCs/>
          <w:color w:val="auto"/>
          <w:spacing w:val="-6"/>
          <w:sz w:val="24"/>
          <w:szCs w:val="24"/>
          <w:highlight w:val="none"/>
        </w:rPr>
        <w:t>承包人工期延误</w:t>
      </w:r>
    </w:p>
    <w:p w14:paraId="0835E9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增加条款：</w:t>
      </w:r>
    </w:p>
    <w:p w14:paraId="557E2E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（1）逾期完工违约金为</w:t>
      </w:r>
      <w:r>
        <w:rPr>
          <w:rFonts w:ascii="宋体" w:hAnsi="宋体" w:eastAsia="宋体" w:cs="宋体"/>
          <w:color w:val="auto"/>
          <w:spacing w:val="-44"/>
          <w:sz w:val="24"/>
          <w:szCs w:val="24"/>
          <w:highlight w:val="none"/>
        </w:rPr>
        <w:t xml:space="preserve"> </w:t>
      </w:r>
      <w:r>
        <w:rPr>
          <w:rFonts w:ascii="宋体" w:hAnsi="宋体" w:eastAsia="宋体" w:cs="宋体"/>
          <w:b/>
          <w:bCs/>
          <w:color w:val="auto"/>
          <w:spacing w:val="-3"/>
          <w:sz w:val="24"/>
          <w:szCs w:val="24"/>
          <w:highlight w:val="none"/>
          <w:u w:val="single" w:color="auto"/>
        </w:rPr>
        <w:t>2000</w:t>
      </w:r>
      <w:r>
        <w:rPr>
          <w:rFonts w:ascii="宋体" w:hAnsi="宋体" w:eastAsia="宋体" w:cs="宋体"/>
          <w:color w:val="auto"/>
          <w:spacing w:val="-49"/>
          <w:sz w:val="24"/>
          <w:szCs w:val="24"/>
          <w:highlight w:val="none"/>
          <w:u w:val="single" w:color="auto"/>
        </w:rPr>
        <w:t xml:space="preserve"> </w:t>
      </w:r>
      <w:r>
        <w:rPr>
          <w:rFonts w:ascii="宋体" w:hAnsi="宋体" w:eastAsia="宋体" w:cs="宋体"/>
          <w:color w:val="auto"/>
          <w:spacing w:val="-3"/>
          <w:sz w:val="24"/>
          <w:szCs w:val="24"/>
          <w:highlight w:val="none"/>
        </w:rPr>
        <w:t>元/天。</w:t>
      </w:r>
    </w:p>
    <w:p w14:paraId="37C099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（2）全部逾期完工违约金的总限额为：不超过签约合同价的</w:t>
      </w:r>
      <w:r>
        <w:rPr>
          <w:rFonts w:ascii="宋体" w:hAnsi="宋体" w:eastAsia="宋体" w:cs="宋体"/>
          <w:color w:val="auto"/>
          <w:spacing w:val="-20"/>
          <w:sz w:val="24"/>
          <w:szCs w:val="24"/>
          <w:highlight w:val="none"/>
        </w:rPr>
        <w:t xml:space="preserve"> </w:t>
      </w:r>
      <w:r>
        <w:rPr>
          <w:rFonts w:ascii="宋体" w:hAnsi="宋体" w:eastAsia="宋体" w:cs="宋体"/>
          <w:color w:val="auto"/>
          <w:spacing w:val="-2"/>
          <w:sz w:val="24"/>
          <w:szCs w:val="24"/>
          <w:highlight w:val="none"/>
        </w:rPr>
        <w:t>10%。</w:t>
      </w:r>
    </w:p>
    <w:p w14:paraId="06ADA7A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（3）由于承包人原因未能按控制性节点合同要求的完工日期完工，承包人应按第l0.2</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款(2)项的规定采取赶工措施赶上进度。若采</w:t>
      </w:r>
      <w:r>
        <w:rPr>
          <w:rFonts w:ascii="宋体" w:hAnsi="宋体" w:eastAsia="宋体" w:cs="宋体"/>
          <w:color w:val="auto"/>
          <w:spacing w:val="-2"/>
          <w:sz w:val="24"/>
          <w:szCs w:val="24"/>
          <w:highlight w:val="none"/>
        </w:rPr>
        <w:t>取赶工措施后仍未能按合同规定的</w:t>
      </w:r>
      <w:r>
        <w:rPr>
          <w:rFonts w:ascii="宋体" w:hAnsi="宋体" w:eastAsia="宋体" w:cs="宋体"/>
          <w:color w:val="auto"/>
          <w:spacing w:val="-3"/>
          <w:sz w:val="24"/>
          <w:szCs w:val="24"/>
          <w:highlight w:val="none"/>
        </w:rPr>
        <w:t>完工日期完工，承包人除自行承担采取赶工措施所增加的费用外，还应支付逾期完工</w:t>
      </w:r>
      <w:r>
        <w:rPr>
          <w:rFonts w:ascii="宋体" w:hAnsi="宋体" w:eastAsia="宋体" w:cs="宋体"/>
          <w:color w:val="auto"/>
          <w:sz w:val="24"/>
          <w:szCs w:val="24"/>
          <w:highlight w:val="none"/>
        </w:rPr>
        <w:t>违约金。若承包人的工期延误构成违约时，应按第</w:t>
      </w:r>
      <w:r>
        <w:rPr>
          <w:rFonts w:ascii="宋体" w:hAnsi="宋体" w:eastAsia="宋体" w:cs="宋体"/>
          <w:color w:val="auto"/>
          <w:spacing w:val="-48"/>
          <w:sz w:val="24"/>
          <w:szCs w:val="24"/>
          <w:highlight w:val="none"/>
        </w:rPr>
        <w:t xml:space="preserve"> </w:t>
      </w:r>
      <w:r>
        <w:rPr>
          <w:rFonts w:ascii="宋体" w:hAnsi="宋体" w:eastAsia="宋体" w:cs="宋体"/>
          <w:color w:val="auto"/>
          <w:sz w:val="24"/>
          <w:szCs w:val="24"/>
          <w:highlight w:val="none"/>
        </w:rPr>
        <w:t>22.1</w:t>
      </w:r>
      <w:r>
        <w:rPr>
          <w:rFonts w:ascii="宋体" w:hAnsi="宋体" w:eastAsia="宋体" w:cs="宋体"/>
          <w:color w:val="auto"/>
          <w:spacing w:val="-49"/>
          <w:sz w:val="24"/>
          <w:szCs w:val="24"/>
          <w:highlight w:val="none"/>
        </w:rPr>
        <w:t xml:space="preserve"> </w:t>
      </w:r>
      <w:r>
        <w:rPr>
          <w:rFonts w:ascii="宋体" w:hAnsi="宋体" w:eastAsia="宋体" w:cs="宋体"/>
          <w:color w:val="auto"/>
          <w:sz w:val="24"/>
          <w:szCs w:val="24"/>
          <w:highlight w:val="none"/>
        </w:rPr>
        <w:t>条的规定</w:t>
      </w:r>
      <w:r>
        <w:rPr>
          <w:rFonts w:ascii="宋体" w:hAnsi="宋体" w:eastAsia="宋体" w:cs="宋体"/>
          <w:color w:val="auto"/>
          <w:spacing w:val="-1"/>
          <w:sz w:val="24"/>
          <w:szCs w:val="24"/>
          <w:highlight w:val="none"/>
        </w:rPr>
        <w:t>办理。逾期完工违</w:t>
      </w:r>
      <w:r>
        <w:rPr>
          <w:rFonts w:ascii="宋体" w:hAnsi="宋体" w:eastAsia="宋体" w:cs="宋体"/>
          <w:color w:val="auto"/>
          <w:spacing w:val="-4"/>
          <w:sz w:val="24"/>
          <w:szCs w:val="24"/>
          <w:highlight w:val="none"/>
        </w:rPr>
        <w:t>约金为10</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天以内</w:t>
      </w:r>
      <w:r>
        <w:rPr>
          <w:rFonts w:ascii="宋体" w:hAnsi="宋体" w:eastAsia="宋体" w:cs="宋体"/>
          <w:color w:val="auto"/>
          <w:spacing w:val="-48"/>
          <w:sz w:val="24"/>
          <w:szCs w:val="24"/>
          <w:highlight w:val="none"/>
        </w:rPr>
        <w:t xml:space="preserve"> </w:t>
      </w:r>
      <w:r>
        <w:rPr>
          <w:rFonts w:ascii="宋体" w:hAnsi="宋体" w:eastAsia="宋体" w:cs="宋体"/>
          <w:b/>
          <w:bCs/>
          <w:color w:val="auto"/>
          <w:spacing w:val="-4"/>
          <w:sz w:val="24"/>
          <w:szCs w:val="24"/>
          <w:highlight w:val="none"/>
          <w:u w:val="single" w:color="auto"/>
        </w:rPr>
        <w:t>2000</w:t>
      </w:r>
      <w:r>
        <w:rPr>
          <w:rFonts w:ascii="宋体" w:hAnsi="宋体" w:eastAsia="宋体" w:cs="宋体"/>
          <w:color w:val="auto"/>
          <w:spacing w:val="-49"/>
          <w:sz w:val="24"/>
          <w:szCs w:val="24"/>
          <w:highlight w:val="none"/>
          <w:u w:val="single" w:color="auto"/>
        </w:rPr>
        <w:t xml:space="preserve"> </w:t>
      </w:r>
      <w:r>
        <w:rPr>
          <w:rFonts w:ascii="宋体" w:hAnsi="宋体" w:eastAsia="宋体" w:cs="宋体"/>
          <w:color w:val="auto"/>
          <w:spacing w:val="-4"/>
          <w:sz w:val="24"/>
          <w:szCs w:val="24"/>
          <w:highlight w:val="none"/>
        </w:rPr>
        <w:t>元/天，10</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天以上</w:t>
      </w:r>
      <w:r>
        <w:rPr>
          <w:rFonts w:ascii="宋体" w:hAnsi="宋体" w:eastAsia="宋体" w:cs="宋体"/>
          <w:color w:val="auto"/>
          <w:spacing w:val="-45"/>
          <w:sz w:val="24"/>
          <w:szCs w:val="24"/>
          <w:highlight w:val="none"/>
        </w:rPr>
        <w:t xml:space="preserve"> </w:t>
      </w:r>
      <w:r>
        <w:rPr>
          <w:rFonts w:ascii="宋体" w:hAnsi="宋体" w:eastAsia="宋体" w:cs="宋体"/>
          <w:b/>
          <w:bCs/>
          <w:color w:val="auto"/>
          <w:spacing w:val="-4"/>
          <w:sz w:val="24"/>
          <w:szCs w:val="24"/>
          <w:highlight w:val="none"/>
          <w:u w:val="single" w:color="auto"/>
        </w:rPr>
        <w:t>3000</w:t>
      </w:r>
      <w:r>
        <w:rPr>
          <w:rFonts w:ascii="宋体" w:hAnsi="宋体" w:eastAsia="宋体" w:cs="宋体"/>
          <w:color w:val="auto"/>
          <w:spacing w:val="-52"/>
          <w:sz w:val="24"/>
          <w:szCs w:val="24"/>
          <w:highlight w:val="none"/>
          <w:u w:val="single" w:color="auto"/>
        </w:rPr>
        <w:t xml:space="preserve"> </w:t>
      </w:r>
      <w:r>
        <w:rPr>
          <w:rFonts w:ascii="宋体" w:hAnsi="宋体" w:eastAsia="宋体" w:cs="宋体"/>
          <w:color w:val="auto"/>
          <w:spacing w:val="-4"/>
          <w:sz w:val="24"/>
          <w:szCs w:val="24"/>
          <w:highlight w:val="none"/>
        </w:rPr>
        <w:t>元/天，但其最终的累计总金额不超过</w:t>
      </w:r>
      <w:r>
        <w:rPr>
          <w:rFonts w:ascii="宋体" w:hAnsi="宋体" w:eastAsia="宋体" w:cs="宋体"/>
          <w:color w:val="auto"/>
          <w:spacing w:val="1"/>
          <w:sz w:val="24"/>
          <w:szCs w:val="24"/>
          <w:highlight w:val="none"/>
        </w:rPr>
        <w:t>签约合同价格的10 %；若承包人工期的拖延将承担给工程带来一切损失的责任。承</w:t>
      </w:r>
      <w:r>
        <w:rPr>
          <w:rFonts w:ascii="宋体" w:hAnsi="宋体" w:eastAsia="宋体" w:cs="宋体"/>
          <w:color w:val="auto"/>
          <w:sz w:val="24"/>
          <w:szCs w:val="24"/>
          <w:highlight w:val="none"/>
        </w:rPr>
        <w:t>包人必须合理安排施工工期、施工方案，并配备充足</w:t>
      </w:r>
      <w:r>
        <w:rPr>
          <w:rFonts w:ascii="宋体" w:hAnsi="宋体" w:eastAsia="宋体" w:cs="宋体"/>
          <w:color w:val="auto"/>
          <w:spacing w:val="-1"/>
          <w:sz w:val="24"/>
          <w:szCs w:val="24"/>
          <w:highlight w:val="none"/>
        </w:rPr>
        <w:t>的人力和施工机械设备。</w:t>
      </w:r>
    </w:p>
    <w:p w14:paraId="6170974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（4）承包人的各种机械设备不能按投标文件所列的时间按期足额完好到场并严重</w:t>
      </w:r>
      <w:r>
        <w:rPr>
          <w:rFonts w:ascii="宋体" w:hAnsi="宋体" w:eastAsia="宋体" w:cs="宋体"/>
          <w:color w:val="auto"/>
          <w:spacing w:val="-3"/>
          <w:sz w:val="24"/>
          <w:szCs w:val="24"/>
          <w:highlight w:val="none"/>
        </w:rPr>
        <w:t>影响工期时，发包人将指示监理人进行标段切割，由于切割所造成的差价应由承包人承担；必要时，发包人还将清退承包人，并报请有关部门予以通报；由于清退而引起</w:t>
      </w:r>
      <w:r>
        <w:rPr>
          <w:rFonts w:ascii="宋体" w:hAnsi="宋体" w:eastAsia="宋体" w:cs="宋体"/>
          <w:color w:val="auto"/>
          <w:sz w:val="24"/>
          <w:szCs w:val="24"/>
          <w:highlight w:val="none"/>
        </w:rPr>
        <w:t>的一切经济损失均由承包人承担(其中含承包人的自身损失和发包人需重新寻选施工</w:t>
      </w:r>
      <w:r>
        <w:rPr>
          <w:rFonts w:ascii="宋体" w:hAnsi="宋体" w:eastAsia="宋体" w:cs="宋体"/>
          <w:color w:val="auto"/>
          <w:spacing w:val="-3"/>
          <w:sz w:val="24"/>
          <w:szCs w:val="24"/>
          <w:highlight w:val="none"/>
        </w:rPr>
        <w:t>单位、进行工程维护，对施工场地进行植护、尾工价格差异等一系列工期与经济连带损失)。</w:t>
      </w:r>
    </w:p>
    <w:p w14:paraId="5494CA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11.6</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工期提前：发包人不要求提前工期。</w:t>
      </w:r>
    </w:p>
    <w:p w14:paraId="7AA283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0"/>
          <w:sz w:val="24"/>
          <w:szCs w:val="24"/>
          <w:highlight w:val="none"/>
        </w:rPr>
        <w:t>12</w:t>
      </w:r>
      <w:r>
        <w:rPr>
          <w:rFonts w:ascii="宋体" w:hAnsi="宋体" w:eastAsia="宋体" w:cs="宋体"/>
          <w:color w:val="auto"/>
          <w:spacing w:val="10"/>
          <w:sz w:val="24"/>
          <w:szCs w:val="24"/>
          <w:highlight w:val="none"/>
        </w:rPr>
        <w:t xml:space="preserve">  </w:t>
      </w:r>
      <w:r>
        <w:rPr>
          <w:rFonts w:ascii="宋体" w:hAnsi="宋体" w:eastAsia="宋体" w:cs="宋体"/>
          <w:b/>
          <w:bCs/>
          <w:color w:val="auto"/>
          <w:spacing w:val="-10"/>
          <w:sz w:val="24"/>
          <w:szCs w:val="24"/>
          <w:highlight w:val="none"/>
        </w:rPr>
        <w:t>暂停施工</w:t>
      </w:r>
    </w:p>
    <w:p w14:paraId="213C09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12.1</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sz w:val="24"/>
          <w:szCs w:val="24"/>
          <w:highlight w:val="none"/>
        </w:rPr>
        <w:t>承包人暂停施工的责任</w:t>
      </w:r>
    </w:p>
    <w:p w14:paraId="5E1EB5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(5)承包人承担暂停施工责任的其它情形：</w:t>
      </w:r>
    </w:p>
    <w:p w14:paraId="617AE9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1)承包人施工中应充分考虑的现场非异常恶劣气候条件引起的正常停工；</w:t>
      </w:r>
    </w:p>
    <w:p w14:paraId="2C8D3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2)承包人自或供的材料工程设备的供应中断；</w:t>
      </w:r>
    </w:p>
    <w:p w14:paraId="39AECB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3)隐蔽工程未经检查擅自覆盖；</w:t>
      </w:r>
    </w:p>
    <w:p w14:paraId="58A417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4)质量事故未及时处理等由于承包人自身</w:t>
      </w:r>
      <w:r>
        <w:rPr>
          <w:rFonts w:ascii="宋体" w:hAnsi="宋体" w:eastAsia="宋体" w:cs="宋体"/>
          <w:color w:val="auto"/>
          <w:spacing w:val="-1"/>
          <w:sz w:val="24"/>
          <w:szCs w:val="24"/>
          <w:highlight w:val="none"/>
        </w:rPr>
        <w:t>原因造成的暂停施工。</w:t>
      </w:r>
    </w:p>
    <w:p w14:paraId="7123FE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13</w:t>
      </w:r>
      <w:r>
        <w:rPr>
          <w:rFonts w:ascii="宋体" w:hAnsi="宋体" w:eastAsia="宋体" w:cs="宋体"/>
          <w:color w:val="auto"/>
          <w:spacing w:val="7"/>
          <w:sz w:val="24"/>
          <w:szCs w:val="24"/>
          <w:highlight w:val="none"/>
        </w:rPr>
        <w:t xml:space="preserve">  </w:t>
      </w:r>
      <w:r>
        <w:rPr>
          <w:rFonts w:ascii="宋体" w:hAnsi="宋体" w:eastAsia="宋体" w:cs="宋体"/>
          <w:b/>
          <w:bCs/>
          <w:color w:val="auto"/>
          <w:spacing w:val="-9"/>
          <w:sz w:val="24"/>
          <w:szCs w:val="24"/>
          <w:highlight w:val="none"/>
        </w:rPr>
        <w:t>工程质量</w:t>
      </w:r>
    </w:p>
    <w:p w14:paraId="25857C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13.1</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工程质量要求</w:t>
      </w:r>
    </w:p>
    <w:p w14:paraId="454B08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13.1.1</w:t>
      </w:r>
      <w:r>
        <w:rPr>
          <w:rFonts w:ascii="宋体" w:hAnsi="宋体" w:eastAsia="宋体" w:cs="宋体"/>
          <w:color w:val="auto"/>
          <w:spacing w:val="-37"/>
          <w:sz w:val="24"/>
          <w:szCs w:val="24"/>
          <w:highlight w:val="none"/>
        </w:rPr>
        <w:t xml:space="preserve"> </w:t>
      </w:r>
      <w:r>
        <w:rPr>
          <w:rFonts w:ascii="宋体" w:hAnsi="宋体" w:eastAsia="宋体" w:cs="宋体"/>
          <w:color w:val="auto"/>
          <w:spacing w:val="-3"/>
          <w:sz w:val="24"/>
          <w:szCs w:val="24"/>
          <w:highlight w:val="none"/>
        </w:rPr>
        <w:t>本工程质量验收标准为</w:t>
      </w:r>
      <w:r>
        <w:rPr>
          <w:rFonts w:ascii="宋体" w:hAnsi="宋体" w:eastAsia="宋体" w:cs="宋体"/>
          <w:b/>
          <w:bCs/>
          <w:color w:val="auto"/>
          <w:spacing w:val="-3"/>
          <w:sz w:val="24"/>
          <w:szCs w:val="24"/>
          <w:highlight w:val="none"/>
          <w:u w:val="single" w:color="auto"/>
        </w:rPr>
        <w:t>合格</w:t>
      </w:r>
      <w:r>
        <w:rPr>
          <w:rFonts w:ascii="宋体" w:hAnsi="宋体" w:eastAsia="宋体" w:cs="宋体"/>
          <w:color w:val="auto"/>
          <w:spacing w:val="-3"/>
          <w:sz w:val="24"/>
          <w:szCs w:val="24"/>
          <w:highlight w:val="none"/>
        </w:rPr>
        <w:t>。</w:t>
      </w:r>
    </w:p>
    <w:p w14:paraId="6FBAAA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13.7</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质量评定</w:t>
      </w:r>
    </w:p>
    <w:p w14:paraId="76C68E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9"/>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13.7.7</w:t>
      </w:r>
      <w:r>
        <w:rPr>
          <w:rFonts w:ascii="宋体" w:hAnsi="宋体" w:eastAsia="宋体" w:cs="宋体"/>
          <w:color w:val="auto"/>
          <w:spacing w:val="-37"/>
          <w:sz w:val="24"/>
          <w:szCs w:val="24"/>
          <w:highlight w:val="none"/>
        </w:rPr>
        <w:t xml:space="preserve"> </w:t>
      </w:r>
      <w:r>
        <w:rPr>
          <w:rFonts w:ascii="宋体" w:hAnsi="宋体" w:eastAsia="宋体" w:cs="宋体"/>
          <w:color w:val="auto"/>
          <w:spacing w:val="-4"/>
          <w:sz w:val="24"/>
          <w:szCs w:val="24"/>
          <w:highlight w:val="none"/>
        </w:rPr>
        <w:t>工程合格标准为：</w:t>
      </w:r>
      <w:r>
        <w:rPr>
          <w:rFonts w:ascii="宋体" w:hAnsi="宋体" w:eastAsia="宋体" w:cs="宋体"/>
          <w:color w:val="auto"/>
          <w:spacing w:val="-4"/>
          <w:sz w:val="24"/>
          <w:szCs w:val="24"/>
          <w:highlight w:val="none"/>
          <w:u w:val="single" w:color="auto"/>
        </w:rPr>
        <w:t>达到国家、水利部、行业及有关的标准、规范、规程规</w:t>
      </w:r>
      <w:r>
        <w:rPr>
          <w:rFonts w:ascii="宋体" w:hAnsi="宋体" w:eastAsia="宋体" w:cs="宋体"/>
          <w:color w:val="auto"/>
          <w:spacing w:val="-2"/>
          <w:sz w:val="24"/>
          <w:szCs w:val="24"/>
          <w:highlight w:val="none"/>
          <w:u w:val="single" w:color="auto"/>
        </w:rPr>
        <w:t>定的验收合格标准；</w:t>
      </w:r>
    </w:p>
    <w:p w14:paraId="5B6DA6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13.8</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质量事故处理</w:t>
      </w:r>
    </w:p>
    <w:p w14:paraId="7079D7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13.8.4</w:t>
      </w:r>
      <w:r>
        <w:rPr>
          <w:rFonts w:ascii="宋体" w:hAnsi="宋体" w:eastAsia="宋体" w:cs="宋体"/>
          <w:color w:val="auto"/>
          <w:spacing w:val="-37"/>
          <w:sz w:val="24"/>
          <w:szCs w:val="24"/>
          <w:highlight w:val="none"/>
        </w:rPr>
        <w:t xml:space="preserve"> </w:t>
      </w:r>
      <w:r>
        <w:rPr>
          <w:rFonts w:ascii="宋体" w:hAnsi="宋体" w:eastAsia="宋体" w:cs="宋体"/>
          <w:color w:val="auto"/>
          <w:spacing w:val="-4"/>
          <w:sz w:val="24"/>
          <w:szCs w:val="24"/>
          <w:highlight w:val="none"/>
        </w:rPr>
        <w:t>工程竣工验收时，</w:t>
      </w:r>
      <w:r>
        <w:rPr>
          <w:rFonts w:ascii="宋体" w:hAnsi="宋体" w:eastAsia="宋体" w:cs="宋体"/>
          <w:color w:val="auto"/>
          <w:spacing w:val="-4"/>
          <w:sz w:val="24"/>
          <w:szCs w:val="24"/>
          <w:highlight w:val="none"/>
          <w:u w:val="single" w:color="auto"/>
        </w:rPr>
        <w:t>承包人应配合监理人及发包人</w:t>
      </w:r>
      <w:r>
        <w:rPr>
          <w:rFonts w:ascii="宋体" w:hAnsi="宋体" w:eastAsia="宋体" w:cs="宋体"/>
          <w:color w:val="auto"/>
          <w:spacing w:val="-4"/>
          <w:sz w:val="24"/>
          <w:szCs w:val="24"/>
          <w:highlight w:val="none"/>
        </w:rPr>
        <w:t>向竣工验收委员会汇报并</w:t>
      </w:r>
      <w:r>
        <w:rPr>
          <w:rFonts w:ascii="宋体" w:hAnsi="宋体" w:eastAsia="宋体" w:cs="宋体"/>
          <w:color w:val="auto"/>
          <w:spacing w:val="-1"/>
          <w:sz w:val="24"/>
          <w:szCs w:val="24"/>
          <w:highlight w:val="none"/>
        </w:rPr>
        <w:t>提交历次质量缺陷处理的备案资料。</w:t>
      </w:r>
    </w:p>
    <w:p w14:paraId="12BA8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14</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5"/>
          <w:sz w:val="24"/>
          <w:szCs w:val="24"/>
          <w:highlight w:val="none"/>
        </w:rPr>
        <w:t>试验和检验</w:t>
      </w:r>
    </w:p>
    <w:p w14:paraId="6E876D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14.1</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本款补充条款如下：</w:t>
      </w:r>
    </w:p>
    <w:p w14:paraId="5260F1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highlight w:val="none"/>
        </w:rPr>
      </w:pPr>
      <w:r>
        <w:rPr>
          <w:rFonts w:ascii="宋体" w:hAnsi="宋体" w:eastAsia="宋体" w:cs="宋体"/>
          <w:color w:val="auto"/>
          <w:spacing w:val="-2"/>
          <w:sz w:val="24"/>
          <w:szCs w:val="24"/>
          <w:highlight w:val="none"/>
        </w:rPr>
        <w:t>承包人提供的材料及设备的试验，由发包人随机抽样然后由承包人委托有水</w:t>
      </w:r>
      <w:r>
        <w:rPr>
          <w:rFonts w:ascii="宋体" w:hAnsi="宋体" w:eastAsia="宋体" w:cs="宋体"/>
          <w:color w:val="auto"/>
          <w:sz w:val="24"/>
          <w:szCs w:val="24"/>
          <w:highlight w:val="none"/>
        </w:rPr>
        <w:t>行政主管部门颁发资质的试验单位进行试验</w:t>
      </w:r>
      <w:r>
        <w:rPr>
          <w:rFonts w:ascii="宋体" w:hAnsi="宋体" w:eastAsia="宋体" w:cs="宋体"/>
          <w:color w:val="auto"/>
          <w:spacing w:val="-1"/>
          <w:sz w:val="24"/>
          <w:szCs w:val="24"/>
          <w:highlight w:val="none"/>
        </w:rPr>
        <w:t>检验，试验费用从承包商处扣除。</w:t>
      </w:r>
    </w:p>
    <w:p w14:paraId="568379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15</w:t>
      </w:r>
      <w:r>
        <w:rPr>
          <w:rFonts w:ascii="宋体" w:hAnsi="宋体" w:eastAsia="宋体" w:cs="宋体"/>
          <w:color w:val="auto"/>
          <w:spacing w:val="6"/>
          <w:sz w:val="24"/>
          <w:szCs w:val="24"/>
          <w:highlight w:val="none"/>
        </w:rPr>
        <w:t xml:space="preserve">  </w:t>
      </w:r>
      <w:r>
        <w:rPr>
          <w:rFonts w:ascii="宋体" w:hAnsi="宋体" w:eastAsia="宋体" w:cs="宋体"/>
          <w:b/>
          <w:bCs/>
          <w:color w:val="auto"/>
          <w:spacing w:val="-12"/>
          <w:sz w:val="24"/>
          <w:szCs w:val="24"/>
          <w:highlight w:val="none"/>
        </w:rPr>
        <w:t>变更</w:t>
      </w:r>
    </w:p>
    <w:p w14:paraId="2DA07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15.1</w:t>
      </w:r>
      <w:r>
        <w:rPr>
          <w:rFonts w:ascii="宋体" w:hAnsi="宋体" w:eastAsia="宋体" w:cs="宋体"/>
          <w:color w:val="auto"/>
          <w:spacing w:val="-41"/>
          <w:sz w:val="24"/>
          <w:szCs w:val="24"/>
          <w:highlight w:val="none"/>
        </w:rPr>
        <w:t xml:space="preserve"> </w:t>
      </w:r>
      <w:r>
        <w:rPr>
          <w:rFonts w:ascii="宋体" w:hAnsi="宋体" w:eastAsia="宋体" w:cs="宋体"/>
          <w:color w:val="auto"/>
          <w:spacing w:val="-4"/>
          <w:sz w:val="24"/>
          <w:szCs w:val="24"/>
          <w:highlight w:val="none"/>
        </w:rPr>
        <w:t>变更的范围和内容</w:t>
      </w:r>
    </w:p>
    <w:p w14:paraId="5B0763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（6）增加或减少合同中关键项目的工程量超过其工程总量的</w:t>
      </w:r>
      <w:r>
        <w:rPr>
          <w:rFonts w:ascii="宋体" w:hAnsi="宋体" w:eastAsia="宋体" w:cs="宋体"/>
          <w:color w:val="auto"/>
          <w:spacing w:val="-30"/>
          <w:sz w:val="24"/>
          <w:szCs w:val="24"/>
          <w:highlight w:val="none"/>
        </w:rPr>
        <w:t xml:space="preserve"> </w:t>
      </w:r>
      <w:r>
        <w:rPr>
          <w:rFonts w:ascii="宋体" w:hAnsi="宋体" w:eastAsia="宋体" w:cs="宋体"/>
          <w:color w:val="auto"/>
          <w:spacing w:val="1"/>
          <w:sz w:val="24"/>
          <w:szCs w:val="24"/>
          <w:highlight w:val="none"/>
        </w:rPr>
        <w:t>15%以下时不属于</w:t>
      </w:r>
      <w:r>
        <w:rPr>
          <w:rFonts w:ascii="宋体" w:hAnsi="宋体" w:eastAsia="宋体" w:cs="宋体"/>
          <w:color w:val="auto"/>
          <w:spacing w:val="-2"/>
          <w:sz w:val="24"/>
          <w:szCs w:val="24"/>
          <w:highlight w:val="none"/>
        </w:rPr>
        <w:t>变更项目，不作变更处理。超过</w:t>
      </w:r>
      <w:r>
        <w:rPr>
          <w:rFonts w:ascii="宋体" w:hAnsi="宋体" w:eastAsia="宋体" w:cs="宋体"/>
          <w:color w:val="auto"/>
          <w:spacing w:val="-28"/>
          <w:sz w:val="24"/>
          <w:szCs w:val="24"/>
          <w:highlight w:val="none"/>
        </w:rPr>
        <w:t xml:space="preserve"> </w:t>
      </w:r>
      <w:r>
        <w:rPr>
          <w:rFonts w:ascii="宋体" w:hAnsi="宋体" w:eastAsia="宋体" w:cs="宋体"/>
          <w:color w:val="auto"/>
          <w:spacing w:val="-2"/>
          <w:sz w:val="24"/>
          <w:szCs w:val="24"/>
          <w:highlight w:val="none"/>
        </w:rPr>
        <w:t>15%以上时，但其项目变更未引起工程施工组织和进</w:t>
      </w:r>
      <w:r>
        <w:rPr>
          <w:rFonts w:ascii="宋体" w:hAnsi="宋体" w:eastAsia="宋体" w:cs="宋体"/>
          <w:color w:val="auto"/>
          <w:sz w:val="24"/>
          <w:szCs w:val="24"/>
          <w:highlight w:val="none"/>
        </w:rPr>
        <w:t>度计划发生实质性变动和不影响其原定的价格时，不</w:t>
      </w:r>
      <w:r>
        <w:rPr>
          <w:rFonts w:ascii="宋体" w:hAnsi="宋体" w:eastAsia="宋体" w:cs="宋体"/>
          <w:color w:val="auto"/>
          <w:spacing w:val="-1"/>
          <w:sz w:val="24"/>
          <w:szCs w:val="24"/>
          <w:highlight w:val="none"/>
        </w:rPr>
        <w:t>予调整该项目的单价。</w:t>
      </w:r>
    </w:p>
    <w:p w14:paraId="4D4A77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（7）未经发包人及监理人认可，承包人在施工过程中自行超挖、超填的土方量，</w:t>
      </w:r>
      <w:r>
        <w:rPr>
          <w:rFonts w:ascii="宋体" w:hAnsi="宋体" w:eastAsia="宋体" w:cs="宋体"/>
          <w:color w:val="auto"/>
          <w:spacing w:val="-3"/>
          <w:sz w:val="24"/>
          <w:szCs w:val="24"/>
          <w:highlight w:val="none"/>
        </w:rPr>
        <w:t>或随意增加或减少其他工程量，不在工程量变更范围内，此部分费用由承包人自行承</w:t>
      </w:r>
      <w:r>
        <w:rPr>
          <w:rFonts w:ascii="宋体" w:hAnsi="宋体" w:eastAsia="宋体" w:cs="宋体"/>
          <w:color w:val="auto"/>
          <w:spacing w:val="-6"/>
          <w:sz w:val="24"/>
          <w:szCs w:val="24"/>
          <w:highlight w:val="none"/>
        </w:rPr>
        <w:t>担。</w:t>
      </w:r>
    </w:p>
    <w:p w14:paraId="388B8F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16</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8"/>
          <w:sz w:val="24"/>
          <w:szCs w:val="24"/>
          <w:highlight w:val="none"/>
        </w:rPr>
        <w:t>价格调整</w:t>
      </w:r>
    </w:p>
    <w:p w14:paraId="14B429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删除通用合同条款本款全文，并代之以：</w:t>
      </w:r>
    </w:p>
    <w:p w14:paraId="6A5BCC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本合同的全部项目，在合同执行过程中，所有工程单价不论何种原因均不调整合</w:t>
      </w:r>
      <w:r>
        <w:rPr>
          <w:rFonts w:ascii="宋体" w:hAnsi="宋体" w:eastAsia="宋体" w:cs="宋体"/>
          <w:color w:val="auto"/>
          <w:spacing w:val="-9"/>
          <w:sz w:val="24"/>
          <w:szCs w:val="24"/>
          <w:highlight w:val="none"/>
        </w:rPr>
        <w:t>同价格。</w:t>
      </w:r>
    </w:p>
    <w:p w14:paraId="54C89E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17</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5"/>
          <w:sz w:val="24"/>
          <w:szCs w:val="24"/>
          <w:highlight w:val="none"/>
        </w:rPr>
        <w:t>计量与支付</w:t>
      </w:r>
    </w:p>
    <w:p w14:paraId="42E84A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17.1</w:t>
      </w:r>
      <w:r>
        <w:rPr>
          <w:rFonts w:ascii="宋体" w:hAnsi="宋体" w:eastAsia="宋体" w:cs="宋体"/>
          <w:color w:val="auto"/>
          <w:spacing w:val="13"/>
          <w:sz w:val="24"/>
          <w:szCs w:val="24"/>
          <w:highlight w:val="none"/>
        </w:rPr>
        <w:t xml:space="preserve"> </w:t>
      </w:r>
      <w:r>
        <w:rPr>
          <w:rFonts w:ascii="宋体" w:hAnsi="宋体" w:eastAsia="宋体" w:cs="宋体"/>
          <w:color w:val="auto"/>
          <w:spacing w:val="-7"/>
          <w:sz w:val="24"/>
          <w:szCs w:val="24"/>
          <w:highlight w:val="none"/>
        </w:rPr>
        <w:t>计量</w:t>
      </w:r>
    </w:p>
    <w:p w14:paraId="5AB8DB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17.1.4 单价子目的计量</w:t>
      </w:r>
    </w:p>
    <w:p w14:paraId="19A6E8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（2）承包人按合同规定的计量办法，按月对已完成的质量合格的工程进行准确</w:t>
      </w:r>
      <w:r>
        <w:rPr>
          <w:rFonts w:ascii="宋体" w:hAnsi="宋体" w:eastAsia="宋体" w:cs="宋体"/>
          <w:color w:val="auto"/>
          <w:spacing w:val="-3"/>
          <w:sz w:val="24"/>
          <w:szCs w:val="24"/>
          <w:highlight w:val="none"/>
        </w:rPr>
        <w:t>计量，并在每月末随同付款申请单，按本合同《工程量清单》的项目分项向发包人和</w:t>
      </w:r>
      <w:r>
        <w:rPr>
          <w:rFonts w:ascii="宋体" w:hAnsi="宋体" w:eastAsia="宋体" w:cs="宋体"/>
          <w:color w:val="auto"/>
          <w:spacing w:val="-1"/>
          <w:sz w:val="24"/>
          <w:szCs w:val="24"/>
          <w:highlight w:val="none"/>
        </w:rPr>
        <w:t>监理人提交完成工程量报表和有关计量资料。</w:t>
      </w:r>
    </w:p>
    <w:p w14:paraId="2154CC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3"/>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（3）发包人和监理人对承包人提交的工程量月报表进行复核，以确定当月实际完成的工程量，有疑问时，可要求承包人与发包人和监理人按</w:t>
      </w:r>
      <w:r>
        <w:rPr>
          <w:rFonts w:ascii="宋体" w:hAnsi="宋体" w:eastAsia="宋体" w:cs="宋体"/>
          <w:color w:val="auto"/>
          <w:spacing w:val="-4"/>
          <w:sz w:val="24"/>
          <w:szCs w:val="24"/>
          <w:highlight w:val="none"/>
        </w:rPr>
        <w:t>第</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8.2</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款的规定共同复核</w:t>
      </w:r>
      <w:r>
        <w:rPr>
          <w:rFonts w:ascii="宋体" w:hAnsi="宋体" w:eastAsia="宋体" w:cs="宋体"/>
          <w:color w:val="auto"/>
          <w:spacing w:val="-3"/>
          <w:sz w:val="24"/>
          <w:szCs w:val="24"/>
          <w:highlight w:val="none"/>
        </w:rPr>
        <w:t>和抽样复测，承包人应指派代表协助发包人和监理人进行复核并按发包人和监理人的要求提供补充计量资料。若承包人未按监理人的要求指派代表参加复核，则发包人和</w:t>
      </w:r>
      <w:r>
        <w:rPr>
          <w:rFonts w:ascii="宋体" w:hAnsi="宋体" w:eastAsia="宋体" w:cs="宋体"/>
          <w:color w:val="auto"/>
          <w:spacing w:val="-1"/>
          <w:sz w:val="24"/>
          <w:szCs w:val="24"/>
          <w:highlight w:val="none"/>
        </w:rPr>
        <w:t>监理人复核修正的工程量应被视为承包人实际完成的准确工程量。</w:t>
      </w:r>
    </w:p>
    <w:p w14:paraId="693D86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（4）发包人和监理人认为有必要时，可要求与承包人共同进</w:t>
      </w:r>
      <w:r>
        <w:rPr>
          <w:rFonts w:ascii="宋体" w:hAnsi="宋体" w:eastAsia="宋体" w:cs="宋体"/>
          <w:color w:val="auto"/>
          <w:spacing w:val="-3"/>
          <w:sz w:val="24"/>
          <w:szCs w:val="24"/>
          <w:highlight w:val="none"/>
        </w:rPr>
        <w:t>行联合测量、计量，</w:t>
      </w:r>
      <w:r>
        <w:rPr>
          <w:rFonts w:ascii="宋体" w:hAnsi="宋体" w:eastAsia="宋体" w:cs="宋体"/>
          <w:color w:val="auto"/>
          <w:spacing w:val="-2"/>
          <w:sz w:val="24"/>
          <w:szCs w:val="24"/>
          <w:highlight w:val="none"/>
        </w:rPr>
        <w:t>承包人应遵照执行。</w:t>
      </w:r>
    </w:p>
    <w:p w14:paraId="2A7855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5"/>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（5）承包人完成了本合同《工程量清单》中每个子目的全部工程量后，发包人和</w:t>
      </w:r>
      <w:r>
        <w:rPr>
          <w:rFonts w:ascii="宋体" w:hAnsi="宋体" w:eastAsia="宋体" w:cs="宋体"/>
          <w:color w:val="auto"/>
          <w:spacing w:val="4"/>
          <w:sz w:val="24"/>
          <w:szCs w:val="24"/>
          <w:highlight w:val="none"/>
        </w:rPr>
        <w:t>监理人应要求承包人派员共同对每个子目的历次计量报表进行汇总和通</w:t>
      </w:r>
      <w:r>
        <w:rPr>
          <w:rFonts w:ascii="宋体" w:hAnsi="宋体" w:eastAsia="宋体" w:cs="宋体"/>
          <w:color w:val="auto"/>
          <w:spacing w:val="3"/>
          <w:sz w:val="24"/>
          <w:szCs w:val="24"/>
          <w:highlight w:val="none"/>
        </w:rPr>
        <w:t>过测量核实</w:t>
      </w:r>
      <w:r>
        <w:rPr>
          <w:rFonts w:ascii="宋体" w:hAnsi="宋体" w:eastAsia="宋体" w:cs="宋体"/>
          <w:color w:val="auto"/>
          <w:spacing w:val="-3"/>
          <w:sz w:val="24"/>
          <w:szCs w:val="24"/>
          <w:highlight w:val="none"/>
        </w:rPr>
        <w:t>该子目的最终结算工程量，并可要求承包人提供补充资料，以确定该子目最后一次进度付款的准确工程量。如承包人未按发包人和监理人的要求派人参加，则发包人和监</w:t>
      </w:r>
      <w:r>
        <w:rPr>
          <w:rFonts w:ascii="宋体" w:hAnsi="宋体" w:eastAsia="宋体" w:cs="宋体"/>
          <w:color w:val="auto"/>
          <w:spacing w:val="-1"/>
          <w:sz w:val="24"/>
          <w:szCs w:val="24"/>
          <w:highlight w:val="none"/>
        </w:rPr>
        <w:t>理人复核修正的工程量应被视为承包人实际完成的准确工程量。</w:t>
      </w:r>
    </w:p>
    <w:p w14:paraId="151D00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本款增加：</w:t>
      </w:r>
    </w:p>
    <w:p w14:paraId="6E89DE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（7）在工程量的计量中，承包人若存在恶意弄虚作假行为，发包人将对承包人按虚报工程量价款的</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3-5</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倍进行处罚，同时向承包人发</w:t>
      </w:r>
      <w:r>
        <w:rPr>
          <w:rFonts w:ascii="宋体" w:hAnsi="宋体" w:eastAsia="宋体" w:cs="宋体"/>
          <w:color w:val="auto"/>
          <w:spacing w:val="-4"/>
          <w:sz w:val="24"/>
          <w:szCs w:val="24"/>
          <w:highlight w:val="none"/>
        </w:rPr>
        <w:t>出书面警告和在行业范围内进行通报。</w:t>
      </w:r>
    </w:p>
    <w:p w14:paraId="2192F0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17.2</w:t>
      </w:r>
      <w:r>
        <w:rPr>
          <w:rFonts w:ascii="宋体" w:hAnsi="宋体" w:eastAsia="宋体" w:cs="宋体"/>
          <w:color w:val="auto"/>
          <w:spacing w:val="-47"/>
          <w:sz w:val="24"/>
          <w:szCs w:val="24"/>
          <w:highlight w:val="none"/>
        </w:rPr>
        <w:t xml:space="preserve"> </w:t>
      </w:r>
      <w:r>
        <w:rPr>
          <w:rFonts w:ascii="宋体" w:hAnsi="宋体" w:eastAsia="宋体" w:cs="宋体"/>
          <w:color w:val="auto"/>
          <w:spacing w:val="-6"/>
          <w:sz w:val="24"/>
          <w:szCs w:val="24"/>
          <w:highlight w:val="none"/>
        </w:rPr>
        <w:t>预付款</w:t>
      </w:r>
    </w:p>
    <w:p w14:paraId="42D1A5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预付款金额：本工程中标合同金额的 30 %</w:t>
      </w:r>
      <w:r>
        <w:rPr>
          <w:rFonts w:hint="eastAsia" w:ascii="宋体" w:hAnsi="宋体" w:eastAsia="宋体" w:cs="宋体"/>
          <w:color w:val="auto"/>
          <w:spacing w:val="-1"/>
          <w:sz w:val="24"/>
          <w:szCs w:val="24"/>
          <w:highlight w:val="none"/>
          <w:lang w:eastAsia="zh-CN"/>
        </w:rPr>
        <w:t>。</w:t>
      </w:r>
    </w:p>
    <w:p w14:paraId="0B96D0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预付款支付条件：甲乙双方自行约定。</w:t>
      </w:r>
    </w:p>
    <w:p w14:paraId="44769D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17.3</w:t>
      </w:r>
      <w:r>
        <w:rPr>
          <w:rFonts w:ascii="宋体" w:hAnsi="宋体" w:eastAsia="宋体" w:cs="宋体"/>
          <w:color w:val="auto"/>
          <w:spacing w:val="-48"/>
          <w:sz w:val="24"/>
          <w:szCs w:val="24"/>
          <w:highlight w:val="none"/>
        </w:rPr>
        <w:t xml:space="preserve"> </w:t>
      </w:r>
      <w:r>
        <w:rPr>
          <w:rFonts w:ascii="宋体" w:hAnsi="宋体" w:eastAsia="宋体" w:cs="宋体"/>
          <w:color w:val="auto"/>
          <w:spacing w:val="-4"/>
          <w:sz w:val="24"/>
          <w:szCs w:val="24"/>
          <w:highlight w:val="none"/>
        </w:rPr>
        <w:t>工程进度付款</w:t>
      </w:r>
    </w:p>
    <w:p w14:paraId="246E88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17.3.1</w:t>
      </w:r>
      <w:r>
        <w:rPr>
          <w:rFonts w:ascii="宋体" w:hAnsi="宋体" w:eastAsia="宋体" w:cs="宋体"/>
          <w:color w:val="auto"/>
          <w:spacing w:val="-50"/>
          <w:sz w:val="24"/>
          <w:szCs w:val="24"/>
          <w:highlight w:val="none"/>
        </w:rPr>
        <w:t xml:space="preserve"> </w:t>
      </w:r>
      <w:r>
        <w:rPr>
          <w:rFonts w:ascii="宋体" w:hAnsi="宋体" w:eastAsia="宋体" w:cs="宋体"/>
          <w:color w:val="auto"/>
          <w:spacing w:val="-3"/>
          <w:sz w:val="24"/>
          <w:szCs w:val="24"/>
          <w:highlight w:val="none"/>
        </w:rPr>
        <w:t>进度付款申请单</w:t>
      </w:r>
    </w:p>
    <w:p w14:paraId="345C31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合同签订后预付合同款的30%；</w:t>
      </w:r>
      <w:r>
        <w:rPr>
          <w:rFonts w:hint="eastAsia" w:ascii="宋体" w:hAnsi="宋体" w:eastAsia="宋体" w:cs="宋体"/>
          <w:color w:val="auto"/>
          <w:spacing w:val="-6"/>
          <w:sz w:val="24"/>
          <w:szCs w:val="24"/>
          <w:highlight w:val="none"/>
          <w:lang w:val="en-US" w:eastAsia="zh-CN"/>
        </w:rPr>
        <w:t>按照施工进度付款，</w:t>
      </w:r>
      <w:r>
        <w:rPr>
          <w:rFonts w:hint="eastAsia" w:ascii="宋体" w:hAnsi="宋体" w:eastAsia="宋体" w:cs="宋体"/>
          <w:color w:val="auto"/>
          <w:spacing w:val="-6"/>
          <w:sz w:val="24"/>
          <w:szCs w:val="24"/>
          <w:highlight w:val="none"/>
        </w:rPr>
        <w:t>当工程进度达到</w:t>
      </w:r>
      <w:r>
        <w:rPr>
          <w:rFonts w:hint="eastAsia" w:ascii="宋体" w:hAnsi="宋体" w:eastAsia="宋体" w:cs="宋体"/>
          <w:color w:val="auto"/>
          <w:spacing w:val="-6"/>
          <w:sz w:val="24"/>
          <w:szCs w:val="24"/>
          <w:highlight w:val="none"/>
          <w:lang w:val="en-US" w:eastAsia="zh-CN"/>
        </w:rPr>
        <w:t>85</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以上</w:t>
      </w:r>
      <w:r>
        <w:rPr>
          <w:rFonts w:hint="eastAsia" w:ascii="宋体" w:hAnsi="宋体" w:eastAsia="宋体" w:cs="宋体"/>
          <w:color w:val="auto"/>
          <w:spacing w:val="-6"/>
          <w:sz w:val="24"/>
          <w:szCs w:val="24"/>
          <w:highlight w:val="none"/>
        </w:rPr>
        <w:t>时，支付至合同款的</w:t>
      </w:r>
      <w:r>
        <w:rPr>
          <w:rFonts w:hint="eastAsia" w:ascii="宋体" w:hAnsi="宋体" w:eastAsia="宋体" w:cs="宋体"/>
          <w:color w:val="auto"/>
          <w:spacing w:val="-6"/>
          <w:sz w:val="24"/>
          <w:szCs w:val="24"/>
          <w:highlight w:val="none"/>
          <w:lang w:val="en-US" w:eastAsia="zh-CN"/>
        </w:rPr>
        <w:t>85</w:t>
      </w:r>
      <w:r>
        <w:rPr>
          <w:rFonts w:hint="eastAsia" w:ascii="宋体" w:hAnsi="宋体" w:eastAsia="宋体" w:cs="宋体"/>
          <w:color w:val="auto"/>
          <w:spacing w:val="-6"/>
          <w:sz w:val="24"/>
          <w:szCs w:val="24"/>
          <w:highlight w:val="none"/>
        </w:rPr>
        <w:t>%项目结算完成后，支付至</w:t>
      </w:r>
      <w:r>
        <w:rPr>
          <w:rFonts w:hint="eastAsia" w:ascii="宋体" w:hAnsi="宋体" w:eastAsia="宋体" w:cs="宋体"/>
          <w:color w:val="auto"/>
          <w:spacing w:val="-6"/>
          <w:sz w:val="24"/>
          <w:szCs w:val="24"/>
          <w:highlight w:val="none"/>
          <w:lang w:val="en-US" w:eastAsia="zh-CN"/>
        </w:rPr>
        <w:t>审定价</w:t>
      </w:r>
      <w:r>
        <w:rPr>
          <w:rFonts w:hint="eastAsia" w:ascii="宋体" w:hAnsi="宋体" w:eastAsia="宋体" w:cs="宋体"/>
          <w:color w:val="auto"/>
          <w:spacing w:val="-6"/>
          <w:sz w:val="24"/>
          <w:szCs w:val="24"/>
          <w:highlight w:val="none"/>
        </w:rPr>
        <w:t>的97%；剩余3%作为质保金，在质保期届满且无质量问题后按合同约定支付 。</w:t>
      </w:r>
    </w:p>
    <w:p w14:paraId="699187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每次月进度款支付必须满足合同条款的要求，并提交付款发票。本款中进度付款申请单份数为一式</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4</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份。</w:t>
      </w:r>
    </w:p>
    <w:p w14:paraId="23AF82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17.4</w:t>
      </w:r>
      <w:r>
        <w:rPr>
          <w:rFonts w:ascii="宋体" w:hAnsi="宋体" w:eastAsia="宋体" w:cs="宋体"/>
          <w:color w:val="auto"/>
          <w:spacing w:val="-44"/>
          <w:sz w:val="24"/>
          <w:szCs w:val="24"/>
          <w:highlight w:val="none"/>
        </w:rPr>
        <w:t xml:space="preserve"> </w:t>
      </w:r>
      <w:r>
        <w:rPr>
          <w:rFonts w:ascii="宋体" w:hAnsi="宋体" w:eastAsia="宋体" w:cs="宋体"/>
          <w:color w:val="auto"/>
          <w:spacing w:val="-5"/>
          <w:sz w:val="24"/>
          <w:szCs w:val="24"/>
          <w:highlight w:val="none"/>
        </w:rPr>
        <w:t>质量保证金</w:t>
      </w:r>
    </w:p>
    <w:p w14:paraId="3408D2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textAlignment w:val="baseline"/>
        <w:rPr>
          <w:color w:val="auto"/>
          <w:highlight w:val="none"/>
        </w:rPr>
      </w:pPr>
      <w:r>
        <w:rPr>
          <w:rFonts w:ascii="宋体" w:hAnsi="宋体" w:eastAsia="宋体" w:cs="宋体"/>
          <w:color w:val="auto"/>
          <w:spacing w:val="-4"/>
          <w:sz w:val="24"/>
          <w:szCs w:val="24"/>
          <w:highlight w:val="none"/>
        </w:rPr>
        <w:t>17.4.1</w:t>
      </w:r>
      <w:r>
        <w:rPr>
          <w:rFonts w:ascii="宋体" w:hAnsi="宋体" w:eastAsia="宋体" w:cs="宋体"/>
          <w:color w:val="auto"/>
          <w:spacing w:val="-37"/>
          <w:sz w:val="24"/>
          <w:szCs w:val="24"/>
          <w:highlight w:val="none"/>
        </w:rPr>
        <w:t xml:space="preserve"> </w:t>
      </w:r>
      <w:r>
        <w:rPr>
          <w:rFonts w:ascii="宋体" w:hAnsi="宋体" w:eastAsia="宋体" w:cs="宋体"/>
          <w:color w:val="auto"/>
          <w:spacing w:val="-4"/>
          <w:sz w:val="24"/>
          <w:szCs w:val="24"/>
          <w:highlight w:val="none"/>
        </w:rPr>
        <w:t>履约保函到期前，不扣留工程质量保证金，履约保函退还给施工单位（或</w:t>
      </w:r>
      <w:r>
        <w:rPr>
          <w:rFonts w:ascii="宋体" w:hAnsi="宋体" w:eastAsia="宋体" w:cs="宋体"/>
          <w:color w:val="auto"/>
          <w:spacing w:val="-1"/>
          <w:sz w:val="24"/>
          <w:szCs w:val="24"/>
          <w:highlight w:val="none"/>
        </w:rPr>
        <w:t>者到担保期限）后，剩余3%工程款为质量保证金，质保期满后</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28</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天内支付。其它相关部门有规定的，依照规定执行。</w:t>
      </w:r>
    </w:p>
    <w:p w14:paraId="777751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17.5</w:t>
      </w:r>
      <w:r>
        <w:rPr>
          <w:rFonts w:ascii="宋体" w:hAnsi="宋体" w:eastAsia="宋体" w:cs="宋体"/>
          <w:color w:val="auto"/>
          <w:spacing w:val="-41"/>
          <w:sz w:val="24"/>
          <w:szCs w:val="24"/>
          <w:highlight w:val="none"/>
        </w:rPr>
        <w:t xml:space="preserve"> </w:t>
      </w:r>
      <w:r>
        <w:rPr>
          <w:rFonts w:ascii="宋体" w:hAnsi="宋体" w:eastAsia="宋体" w:cs="宋体"/>
          <w:color w:val="auto"/>
          <w:spacing w:val="-4"/>
          <w:sz w:val="24"/>
          <w:szCs w:val="24"/>
          <w:highlight w:val="none"/>
        </w:rPr>
        <w:t>竣工(完工)结算</w:t>
      </w:r>
    </w:p>
    <w:p w14:paraId="1DACC4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17.5.1</w:t>
      </w:r>
      <w:r>
        <w:rPr>
          <w:rFonts w:ascii="宋体" w:hAnsi="宋体" w:eastAsia="宋体" w:cs="宋体"/>
          <w:color w:val="auto"/>
          <w:spacing w:val="-38"/>
          <w:sz w:val="24"/>
          <w:szCs w:val="24"/>
          <w:highlight w:val="none"/>
        </w:rPr>
        <w:t xml:space="preserve"> </w:t>
      </w:r>
      <w:r>
        <w:rPr>
          <w:rFonts w:ascii="宋体" w:hAnsi="宋体" w:eastAsia="宋体" w:cs="宋体"/>
          <w:color w:val="auto"/>
          <w:spacing w:val="-3"/>
          <w:sz w:val="24"/>
          <w:szCs w:val="24"/>
          <w:highlight w:val="none"/>
        </w:rPr>
        <w:t>竣工(完工)付款申请单</w:t>
      </w:r>
    </w:p>
    <w:p w14:paraId="74EF2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（1）承包人应提交完工付款申请单一式</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8</w:t>
      </w:r>
      <w:r>
        <w:rPr>
          <w:rFonts w:ascii="宋体" w:hAnsi="宋体" w:eastAsia="宋体" w:cs="宋体"/>
          <w:color w:val="auto"/>
          <w:spacing w:val="-50"/>
          <w:sz w:val="24"/>
          <w:szCs w:val="24"/>
          <w:highlight w:val="none"/>
        </w:rPr>
        <w:t xml:space="preserve"> </w:t>
      </w:r>
      <w:r>
        <w:rPr>
          <w:rFonts w:ascii="宋体" w:hAnsi="宋体" w:eastAsia="宋体" w:cs="宋体"/>
          <w:color w:val="auto"/>
          <w:spacing w:val="-2"/>
          <w:sz w:val="24"/>
          <w:szCs w:val="24"/>
          <w:highlight w:val="none"/>
        </w:rPr>
        <w:t>份。</w:t>
      </w:r>
    </w:p>
    <w:p w14:paraId="22493A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17.6</w:t>
      </w:r>
      <w:r>
        <w:rPr>
          <w:rFonts w:ascii="宋体" w:hAnsi="宋体" w:eastAsia="宋体" w:cs="宋体"/>
          <w:color w:val="auto"/>
          <w:spacing w:val="-48"/>
          <w:sz w:val="24"/>
          <w:szCs w:val="24"/>
          <w:highlight w:val="none"/>
        </w:rPr>
        <w:t xml:space="preserve"> </w:t>
      </w:r>
      <w:r>
        <w:rPr>
          <w:rFonts w:ascii="宋体" w:hAnsi="宋体" w:eastAsia="宋体" w:cs="宋体"/>
          <w:color w:val="auto"/>
          <w:spacing w:val="-5"/>
          <w:sz w:val="24"/>
          <w:szCs w:val="24"/>
          <w:highlight w:val="none"/>
        </w:rPr>
        <w:t>最终结清</w:t>
      </w:r>
    </w:p>
    <w:p w14:paraId="152C01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17.6.1</w:t>
      </w:r>
      <w:r>
        <w:rPr>
          <w:rFonts w:ascii="宋体" w:hAnsi="宋体" w:eastAsia="宋体" w:cs="宋体"/>
          <w:color w:val="auto"/>
          <w:spacing w:val="-37"/>
          <w:sz w:val="24"/>
          <w:szCs w:val="24"/>
          <w:highlight w:val="none"/>
        </w:rPr>
        <w:t xml:space="preserve"> </w:t>
      </w:r>
      <w:r>
        <w:rPr>
          <w:rFonts w:ascii="宋体" w:hAnsi="宋体" w:eastAsia="宋体" w:cs="宋体"/>
          <w:color w:val="auto"/>
          <w:spacing w:val="-4"/>
          <w:sz w:val="24"/>
          <w:szCs w:val="24"/>
          <w:highlight w:val="none"/>
        </w:rPr>
        <w:t>最终结清申请单</w:t>
      </w:r>
    </w:p>
    <w:p w14:paraId="6E24C7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(1)承包人应提交最终结清申请单一式</w:t>
      </w:r>
      <w:r>
        <w:rPr>
          <w:rFonts w:ascii="宋体" w:hAnsi="宋体" w:eastAsia="宋体" w:cs="宋体"/>
          <w:color w:val="auto"/>
          <w:spacing w:val="-38"/>
          <w:sz w:val="24"/>
          <w:szCs w:val="24"/>
          <w:highlight w:val="none"/>
        </w:rPr>
        <w:t xml:space="preserve"> </w:t>
      </w:r>
      <w:r>
        <w:rPr>
          <w:rFonts w:ascii="宋体" w:hAnsi="宋体" w:eastAsia="宋体" w:cs="宋体"/>
          <w:color w:val="auto"/>
          <w:spacing w:val="-4"/>
          <w:sz w:val="24"/>
          <w:szCs w:val="24"/>
          <w:highlight w:val="none"/>
        </w:rPr>
        <w:t>4</w:t>
      </w:r>
      <w:r>
        <w:rPr>
          <w:rFonts w:ascii="宋体" w:hAnsi="宋体" w:eastAsia="宋体" w:cs="宋体"/>
          <w:color w:val="auto"/>
          <w:spacing w:val="-51"/>
          <w:sz w:val="24"/>
          <w:szCs w:val="24"/>
          <w:highlight w:val="none"/>
        </w:rPr>
        <w:t xml:space="preserve"> </w:t>
      </w:r>
      <w:r>
        <w:rPr>
          <w:rFonts w:ascii="宋体" w:hAnsi="宋体" w:eastAsia="宋体" w:cs="宋体"/>
          <w:color w:val="auto"/>
          <w:spacing w:val="-4"/>
          <w:sz w:val="24"/>
          <w:szCs w:val="24"/>
          <w:highlight w:val="none"/>
        </w:rPr>
        <w:t>份。</w:t>
      </w:r>
    </w:p>
    <w:p w14:paraId="04191A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17.7</w:t>
      </w:r>
      <w:r>
        <w:rPr>
          <w:rFonts w:ascii="宋体" w:hAnsi="宋体" w:eastAsia="宋体" w:cs="宋体"/>
          <w:color w:val="auto"/>
          <w:spacing w:val="-49"/>
          <w:sz w:val="24"/>
          <w:szCs w:val="24"/>
          <w:highlight w:val="none"/>
        </w:rPr>
        <w:t xml:space="preserve"> </w:t>
      </w:r>
      <w:r>
        <w:rPr>
          <w:rFonts w:ascii="宋体" w:hAnsi="宋体" w:eastAsia="宋体" w:cs="宋体"/>
          <w:color w:val="auto"/>
          <w:spacing w:val="-4"/>
          <w:sz w:val="24"/>
          <w:szCs w:val="24"/>
          <w:highlight w:val="none"/>
        </w:rPr>
        <w:t>竣工财务决算</w:t>
      </w:r>
    </w:p>
    <w:p w14:paraId="08E91C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工程完工验收后，承包人应按发包人要求，为发包人竣工财务决算编制提供</w:t>
      </w:r>
      <w:r>
        <w:rPr>
          <w:rFonts w:ascii="宋体" w:hAnsi="宋体" w:eastAsia="宋体" w:cs="宋体"/>
          <w:color w:val="auto"/>
          <w:spacing w:val="-4"/>
          <w:sz w:val="24"/>
          <w:szCs w:val="24"/>
          <w:highlight w:val="none"/>
        </w:rPr>
        <w:t>以下</w:t>
      </w:r>
      <w:r>
        <w:rPr>
          <w:rFonts w:ascii="宋体" w:hAnsi="宋体" w:eastAsia="宋体" w:cs="宋体"/>
          <w:color w:val="auto"/>
          <w:spacing w:val="-7"/>
          <w:sz w:val="24"/>
          <w:szCs w:val="24"/>
          <w:highlight w:val="none"/>
        </w:rPr>
        <w:t>资料：</w:t>
      </w:r>
    </w:p>
    <w:p w14:paraId="4BCC0C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(1)依据施工图纸及设计变更及时绘制工程竣工图，最终工程量以竣工图为计算</w:t>
      </w:r>
      <w:r>
        <w:rPr>
          <w:rFonts w:ascii="宋体" w:hAnsi="宋体" w:eastAsia="宋体" w:cs="宋体"/>
          <w:color w:val="auto"/>
          <w:spacing w:val="-4"/>
          <w:sz w:val="24"/>
          <w:szCs w:val="24"/>
          <w:highlight w:val="none"/>
        </w:rPr>
        <w:t>依据；</w:t>
      </w:r>
    </w:p>
    <w:p w14:paraId="634FE9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1"/>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(2)根据施工合同、补充合同或协议、监理和业主的签证资料，以及国家有关规</w:t>
      </w:r>
      <w:r>
        <w:rPr>
          <w:rFonts w:ascii="宋体" w:hAnsi="宋体" w:eastAsia="宋体" w:cs="宋体"/>
          <w:color w:val="auto"/>
          <w:spacing w:val="-3"/>
          <w:sz w:val="24"/>
          <w:szCs w:val="24"/>
          <w:highlight w:val="none"/>
        </w:rPr>
        <w:t>定，及时编制工程竣工结算。经监理单位审核并加盖单位公章后，报发包人审查，并</w:t>
      </w:r>
      <w:r>
        <w:rPr>
          <w:rFonts w:ascii="宋体" w:hAnsi="宋体" w:eastAsia="宋体" w:cs="宋体"/>
          <w:color w:val="auto"/>
          <w:spacing w:val="-1"/>
          <w:sz w:val="24"/>
          <w:szCs w:val="24"/>
          <w:highlight w:val="none"/>
        </w:rPr>
        <w:t>协助发包人完成工程竣工结算审核工作。</w:t>
      </w:r>
    </w:p>
    <w:p w14:paraId="5F2D4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18</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8"/>
          <w:sz w:val="24"/>
          <w:szCs w:val="24"/>
          <w:highlight w:val="none"/>
        </w:rPr>
        <w:t>竣工验收</w:t>
      </w:r>
    </w:p>
    <w:p w14:paraId="742A76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18.1</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验收工作</w:t>
      </w:r>
    </w:p>
    <w:p w14:paraId="4B0047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本工程法人验收及政府验收验收条件及验收程序执行</w:t>
      </w:r>
      <w:r>
        <w:rPr>
          <w:rFonts w:ascii="宋体" w:hAnsi="宋体" w:eastAsia="宋体" w:cs="宋体"/>
          <w:color w:val="auto"/>
          <w:spacing w:val="-3"/>
          <w:sz w:val="24"/>
          <w:szCs w:val="24"/>
          <w:highlight w:val="none"/>
          <w:u w:val="single" w:color="auto"/>
        </w:rPr>
        <w:t>《水利水电建设项目验收管</w:t>
      </w:r>
      <w:r>
        <w:rPr>
          <w:rFonts w:ascii="宋体" w:hAnsi="宋体" w:eastAsia="宋体" w:cs="宋体"/>
          <w:color w:val="auto"/>
          <w:sz w:val="24"/>
          <w:szCs w:val="24"/>
          <w:highlight w:val="none"/>
          <w:u w:val="single" w:color="auto"/>
        </w:rPr>
        <w:t>理规定》（水利部</w:t>
      </w:r>
      <w:r>
        <w:rPr>
          <w:rFonts w:ascii="宋体" w:hAnsi="宋体" w:eastAsia="宋体" w:cs="宋体"/>
          <w:color w:val="auto"/>
          <w:spacing w:val="-46"/>
          <w:sz w:val="24"/>
          <w:szCs w:val="24"/>
          <w:highlight w:val="none"/>
          <w:u w:val="single" w:color="auto"/>
        </w:rPr>
        <w:t xml:space="preserve"> </w:t>
      </w:r>
      <w:r>
        <w:rPr>
          <w:rFonts w:ascii="宋体" w:hAnsi="宋体" w:eastAsia="宋体" w:cs="宋体"/>
          <w:color w:val="auto"/>
          <w:sz w:val="24"/>
          <w:szCs w:val="24"/>
          <w:highlight w:val="none"/>
          <w:u w:val="single" w:color="auto"/>
        </w:rPr>
        <w:t>30</w:t>
      </w:r>
      <w:r>
        <w:rPr>
          <w:rFonts w:ascii="宋体" w:hAnsi="宋体" w:eastAsia="宋体" w:cs="宋体"/>
          <w:color w:val="auto"/>
          <w:spacing w:val="-42"/>
          <w:sz w:val="24"/>
          <w:szCs w:val="24"/>
          <w:highlight w:val="none"/>
          <w:u w:val="single" w:color="auto"/>
        </w:rPr>
        <w:t xml:space="preserve"> </w:t>
      </w:r>
      <w:r>
        <w:rPr>
          <w:rFonts w:ascii="宋体" w:hAnsi="宋体" w:eastAsia="宋体" w:cs="宋体"/>
          <w:color w:val="auto"/>
          <w:sz w:val="24"/>
          <w:szCs w:val="24"/>
          <w:highlight w:val="none"/>
          <w:u w:val="single" w:color="auto"/>
        </w:rPr>
        <w:t>号令）、《水利水电建设工程验</w:t>
      </w:r>
      <w:r>
        <w:rPr>
          <w:rFonts w:ascii="宋体" w:hAnsi="宋体" w:eastAsia="宋体" w:cs="宋体"/>
          <w:color w:val="auto"/>
          <w:spacing w:val="-1"/>
          <w:sz w:val="24"/>
          <w:szCs w:val="24"/>
          <w:highlight w:val="none"/>
          <w:u w:val="single" w:color="auto"/>
        </w:rPr>
        <w:t>收规程》中的有关法人验收及</w:t>
      </w:r>
      <w:r>
        <w:rPr>
          <w:rFonts w:ascii="宋体" w:hAnsi="宋体" w:eastAsia="宋体" w:cs="宋体"/>
          <w:color w:val="auto"/>
          <w:spacing w:val="2"/>
          <w:sz w:val="24"/>
          <w:szCs w:val="24"/>
          <w:highlight w:val="none"/>
          <w:u w:val="single" w:color="auto"/>
        </w:rPr>
        <w:t>政府验收的相关规定。本工程参照《水利水电建设工程验</w:t>
      </w:r>
      <w:r>
        <w:rPr>
          <w:rFonts w:ascii="宋体" w:hAnsi="宋体" w:eastAsia="宋体" w:cs="宋体"/>
          <w:color w:val="auto"/>
          <w:spacing w:val="1"/>
          <w:sz w:val="24"/>
          <w:szCs w:val="24"/>
          <w:highlight w:val="none"/>
          <w:u w:val="single" w:color="auto"/>
        </w:rPr>
        <w:t>收规程》</w:t>
      </w:r>
      <w:r>
        <w:rPr>
          <w:rFonts w:ascii="宋体" w:hAnsi="宋体" w:eastAsia="宋体" w:cs="宋体"/>
          <w:color w:val="auto"/>
          <w:sz w:val="24"/>
          <w:szCs w:val="24"/>
          <w:highlight w:val="none"/>
          <w:u w:val="single" w:color="auto"/>
        </w:rPr>
        <w:t>SL</w:t>
      </w:r>
      <w:r>
        <w:rPr>
          <w:rFonts w:ascii="宋体" w:hAnsi="宋体" w:eastAsia="宋体" w:cs="宋体"/>
          <w:color w:val="auto"/>
          <w:spacing w:val="1"/>
          <w:sz w:val="24"/>
          <w:szCs w:val="24"/>
          <w:highlight w:val="none"/>
          <w:u w:val="single" w:color="auto"/>
        </w:rPr>
        <w:t>223-2008</w:t>
      </w:r>
      <w:r>
        <w:rPr>
          <w:rFonts w:ascii="宋体" w:hAnsi="宋体" w:eastAsia="宋体" w:cs="宋体"/>
          <w:color w:val="auto"/>
          <w:spacing w:val="-48"/>
          <w:sz w:val="24"/>
          <w:szCs w:val="24"/>
          <w:highlight w:val="none"/>
          <w:u w:val="single" w:color="auto"/>
        </w:rPr>
        <w:t xml:space="preserve"> </w:t>
      </w:r>
      <w:r>
        <w:rPr>
          <w:rFonts w:ascii="宋体" w:hAnsi="宋体" w:eastAsia="宋体" w:cs="宋体"/>
          <w:color w:val="auto"/>
          <w:spacing w:val="1"/>
          <w:sz w:val="24"/>
          <w:szCs w:val="24"/>
          <w:highlight w:val="none"/>
          <w:u w:val="single" w:color="auto"/>
        </w:rPr>
        <w:t>有关</w:t>
      </w:r>
      <w:r>
        <w:rPr>
          <w:rFonts w:ascii="宋体" w:hAnsi="宋体" w:eastAsia="宋体" w:cs="宋体"/>
          <w:color w:val="auto"/>
          <w:spacing w:val="-2"/>
          <w:sz w:val="24"/>
          <w:szCs w:val="24"/>
          <w:highlight w:val="none"/>
          <w:u w:val="single" w:color="auto"/>
        </w:rPr>
        <w:t>规定执行</w:t>
      </w:r>
      <w:r>
        <w:rPr>
          <w:rFonts w:ascii="宋体" w:hAnsi="宋体" w:eastAsia="宋体" w:cs="宋体"/>
          <w:color w:val="auto"/>
          <w:spacing w:val="-2"/>
          <w:sz w:val="24"/>
          <w:szCs w:val="24"/>
          <w:highlight w:val="none"/>
        </w:rPr>
        <w:t>。</w:t>
      </w:r>
    </w:p>
    <w:p w14:paraId="79D3994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18.8</w:t>
      </w:r>
      <w:r>
        <w:rPr>
          <w:rFonts w:ascii="宋体" w:hAnsi="宋体" w:eastAsia="宋体" w:cs="宋体"/>
          <w:color w:val="auto"/>
          <w:spacing w:val="-52"/>
          <w:sz w:val="24"/>
          <w:szCs w:val="24"/>
          <w:highlight w:val="none"/>
        </w:rPr>
        <w:t xml:space="preserve"> </w:t>
      </w:r>
      <w:r>
        <w:rPr>
          <w:rFonts w:ascii="宋体" w:hAnsi="宋体" w:eastAsia="宋体" w:cs="宋体"/>
          <w:color w:val="auto"/>
          <w:spacing w:val="-4"/>
          <w:sz w:val="24"/>
          <w:szCs w:val="24"/>
          <w:highlight w:val="none"/>
        </w:rPr>
        <w:t>施工期运行</w:t>
      </w:r>
    </w:p>
    <w:p w14:paraId="79A8C1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18.8.1</w:t>
      </w:r>
      <w:r>
        <w:rPr>
          <w:rFonts w:ascii="宋体" w:hAnsi="宋体" w:eastAsia="宋体" w:cs="宋体"/>
          <w:color w:val="auto"/>
          <w:spacing w:val="-35"/>
          <w:sz w:val="24"/>
          <w:szCs w:val="24"/>
          <w:highlight w:val="none"/>
        </w:rPr>
        <w:t xml:space="preserve"> </w:t>
      </w:r>
      <w:r>
        <w:rPr>
          <w:rFonts w:ascii="宋体" w:hAnsi="宋体" w:eastAsia="宋体" w:cs="宋体"/>
          <w:color w:val="auto"/>
          <w:spacing w:val="-2"/>
          <w:sz w:val="24"/>
          <w:szCs w:val="24"/>
          <w:highlight w:val="none"/>
        </w:rPr>
        <w:t>需要在施工期运行的单位工程或工程设备为</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446F6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19</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缺陷责任与保修责任</w:t>
      </w:r>
    </w:p>
    <w:p w14:paraId="101C7F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19.1</w:t>
      </w:r>
      <w:r>
        <w:rPr>
          <w:rFonts w:ascii="宋体" w:hAnsi="宋体" w:eastAsia="宋体" w:cs="宋体"/>
          <w:color w:val="auto"/>
          <w:spacing w:val="-43"/>
          <w:sz w:val="24"/>
          <w:szCs w:val="24"/>
          <w:highlight w:val="none"/>
        </w:rPr>
        <w:t xml:space="preserve"> </w:t>
      </w:r>
      <w:r>
        <w:rPr>
          <w:rFonts w:ascii="宋体" w:hAnsi="宋体" w:eastAsia="宋体" w:cs="宋体"/>
          <w:color w:val="auto"/>
          <w:spacing w:val="-2"/>
          <w:sz w:val="24"/>
          <w:szCs w:val="24"/>
          <w:highlight w:val="none"/>
        </w:rPr>
        <w:t>缺陷责任期(工程质量保修期)的起算时间</w:t>
      </w:r>
    </w:p>
    <w:p w14:paraId="2A7686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pacing w:val="-3"/>
          <w:sz w:val="24"/>
          <w:szCs w:val="24"/>
          <w:highlight w:val="none"/>
          <w:u w:val="single" w:color="auto"/>
        </w:rPr>
      </w:pPr>
      <w:r>
        <w:rPr>
          <w:rFonts w:hint="eastAsia" w:ascii="宋体" w:hAnsi="宋体" w:eastAsia="宋体" w:cs="宋体"/>
          <w:color w:val="auto"/>
          <w:spacing w:val="-3"/>
          <w:sz w:val="24"/>
          <w:szCs w:val="24"/>
          <w:highlight w:val="none"/>
          <w:lang w:val="en-US" w:eastAsia="zh-CN"/>
        </w:rPr>
        <w:t xml:space="preserve">  </w:t>
      </w:r>
      <w:r>
        <w:rPr>
          <w:rFonts w:ascii="宋体" w:hAnsi="宋体" w:eastAsia="宋体" w:cs="宋体"/>
          <w:color w:val="auto"/>
          <w:spacing w:val="-3"/>
          <w:sz w:val="24"/>
          <w:szCs w:val="24"/>
          <w:highlight w:val="none"/>
        </w:rPr>
        <w:t>本工程缺陷责任期(工程质量保修期)计算如下：</w:t>
      </w:r>
      <w:r>
        <w:rPr>
          <w:rFonts w:ascii="宋体" w:hAnsi="宋体" w:eastAsia="宋体" w:cs="宋体"/>
          <w:color w:val="auto"/>
          <w:spacing w:val="-3"/>
          <w:sz w:val="24"/>
          <w:szCs w:val="24"/>
          <w:highlight w:val="none"/>
          <w:u w:val="single" w:color="auto"/>
        </w:rPr>
        <w:t>从工程通过竣工验收后开始计</w:t>
      </w:r>
    </w:p>
    <w:p w14:paraId="0AF8AD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u w:val="single" w:color="auto"/>
        </w:rPr>
        <w:t>算</w:t>
      </w:r>
      <w:r>
        <w:rPr>
          <w:rFonts w:ascii="宋体" w:hAnsi="宋体" w:eastAsia="宋体" w:cs="宋体"/>
          <w:color w:val="auto"/>
          <w:spacing w:val="-3"/>
          <w:sz w:val="24"/>
          <w:szCs w:val="24"/>
          <w:highlight w:val="none"/>
        </w:rPr>
        <w:t>，</w:t>
      </w:r>
      <w:r>
        <w:rPr>
          <w:rFonts w:ascii="宋体" w:hAnsi="宋体" w:eastAsia="宋体" w:cs="宋体"/>
          <w:color w:val="auto"/>
          <w:spacing w:val="-10"/>
          <w:sz w:val="24"/>
          <w:szCs w:val="24"/>
          <w:highlight w:val="none"/>
          <w:u w:val="single" w:color="auto"/>
        </w:rPr>
        <w:t>期限</w:t>
      </w:r>
      <w:r>
        <w:rPr>
          <w:rFonts w:ascii="宋体" w:hAnsi="宋体" w:eastAsia="宋体" w:cs="宋体"/>
          <w:color w:val="auto"/>
          <w:spacing w:val="-33"/>
          <w:sz w:val="24"/>
          <w:szCs w:val="24"/>
          <w:highlight w:val="none"/>
          <w:u w:val="single" w:color="auto"/>
        </w:rPr>
        <w:t xml:space="preserve"> </w:t>
      </w:r>
      <w:r>
        <w:rPr>
          <w:rFonts w:ascii="宋体" w:hAnsi="宋体" w:eastAsia="宋体" w:cs="宋体"/>
          <w:color w:val="auto"/>
          <w:spacing w:val="-10"/>
          <w:sz w:val="24"/>
          <w:szCs w:val="24"/>
          <w:highlight w:val="none"/>
          <w:u w:val="single" w:color="auto"/>
        </w:rPr>
        <w:t>1</w:t>
      </w:r>
      <w:r>
        <w:rPr>
          <w:rFonts w:ascii="宋体" w:hAnsi="宋体" w:eastAsia="宋体" w:cs="宋体"/>
          <w:color w:val="auto"/>
          <w:spacing w:val="-50"/>
          <w:sz w:val="24"/>
          <w:szCs w:val="24"/>
          <w:highlight w:val="none"/>
          <w:u w:val="single" w:color="auto"/>
        </w:rPr>
        <w:t xml:space="preserve"> </w:t>
      </w:r>
      <w:r>
        <w:rPr>
          <w:rFonts w:ascii="宋体" w:hAnsi="宋体" w:eastAsia="宋体" w:cs="宋体"/>
          <w:color w:val="auto"/>
          <w:spacing w:val="-10"/>
          <w:sz w:val="24"/>
          <w:szCs w:val="24"/>
          <w:highlight w:val="none"/>
          <w:u w:val="single" w:color="auto"/>
        </w:rPr>
        <w:t>年</w:t>
      </w:r>
      <w:r>
        <w:rPr>
          <w:rFonts w:ascii="宋体" w:hAnsi="宋体" w:eastAsia="宋体" w:cs="宋体"/>
          <w:color w:val="auto"/>
          <w:spacing w:val="-10"/>
          <w:sz w:val="24"/>
          <w:szCs w:val="24"/>
          <w:highlight w:val="none"/>
        </w:rPr>
        <w:t>。</w:t>
      </w:r>
    </w:p>
    <w:p w14:paraId="0FD573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20</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8"/>
          <w:sz w:val="24"/>
          <w:szCs w:val="24"/>
          <w:highlight w:val="none"/>
        </w:rPr>
        <w:t>保险</w:t>
      </w:r>
    </w:p>
    <w:p w14:paraId="52E4B2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20.4</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第三者责任险</w:t>
      </w:r>
    </w:p>
    <w:p w14:paraId="504A18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20.4.2</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本款作以下修改：</w:t>
      </w:r>
    </w:p>
    <w:p w14:paraId="47286F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9"/>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施工期间，发包人和承包人各自投保在工地及其毗邻地带的第三者人员的人身伤害和财产损失的第三者责任险，此项投保不免除承包人和发包人各自应负的在其管辖区内及其毗邻地带发生的第三者人员人身伤害和财产损失的赔偿责任，其赔偿费用应</w:t>
      </w:r>
      <w:r>
        <w:rPr>
          <w:rFonts w:ascii="宋体" w:hAnsi="宋体" w:eastAsia="宋体" w:cs="宋体"/>
          <w:color w:val="auto"/>
          <w:spacing w:val="-1"/>
          <w:sz w:val="24"/>
          <w:szCs w:val="24"/>
          <w:highlight w:val="none"/>
        </w:rPr>
        <w:t>包括赔偿费、诉讼费和其它有关费用。费用各自承担。</w:t>
      </w:r>
    </w:p>
    <w:p w14:paraId="66009C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20.6</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对各项保险的一般要求</w:t>
      </w:r>
    </w:p>
    <w:p w14:paraId="033D63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20.6.1</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保险凭证</w:t>
      </w:r>
    </w:p>
    <w:p w14:paraId="3EB9BF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承包人提交保险凭证的期限：承包人应在接到开工通知后的</w:t>
      </w:r>
      <w:r>
        <w:rPr>
          <w:rFonts w:ascii="宋体" w:hAnsi="宋体" w:eastAsia="宋体" w:cs="宋体"/>
          <w:color w:val="auto"/>
          <w:spacing w:val="1"/>
          <w:sz w:val="24"/>
          <w:szCs w:val="24"/>
          <w:highlight w:val="none"/>
        </w:rPr>
        <w:t>84</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天内向发包人提</w:t>
      </w:r>
      <w:r>
        <w:rPr>
          <w:rFonts w:ascii="宋体" w:hAnsi="宋体" w:eastAsia="宋体" w:cs="宋体"/>
          <w:color w:val="auto"/>
          <w:spacing w:val="-1"/>
          <w:sz w:val="24"/>
          <w:szCs w:val="24"/>
          <w:highlight w:val="none"/>
        </w:rPr>
        <w:t>交按合同规定的各项保险单的副本，并通知监理人。</w:t>
      </w:r>
    </w:p>
    <w:p w14:paraId="491BFB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保险单的条件应符合本合同的规定。</w:t>
      </w:r>
    </w:p>
    <w:p w14:paraId="4DA300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24</w:t>
      </w:r>
      <w:r>
        <w:rPr>
          <w:rFonts w:ascii="宋体" w:hAnsi="宋体" w:eastAsia="宋体" w:cs="宋体"/>
          <w:color w:val="auto"/>
          <w:spacing w:val="9"/>
          <w:sz w:val="24"/>
          <w:szCs w:val="24"/>
          <w:highlight w:val="none"/>
        </w:rPr>
        <w:t xml:space="preserve">  </w:t>
      </w:r>
      <w:r>
        <w:rPr>
          <w:rFonts w:ascii="宋体" w:hAnsi="宋体" w:eastAsia="宋体" w:cs="宋体"/>
          <w:b/>
          <w:bCs/>
          <w:color w:val="auto"/>
          <w:spacing w:val="-6"/>
          <w:sz w:val="24"/>
          <w:szCs w:val="24"/>
          <w:highlight w:val="none"/>
        </w:rPr>
        <w:t>争议的解决</w:t>
      </w:r>
    </w:p>
    <w:p w14:paraId="05E634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24.1</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争议的解决方式</w:t>
      </w:r>
    </w:p>
    <w:p w14:paraId="3C77C4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5"/>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合同当事人友好协商解决不成、不愿提请争议评审或不接受争议评审组意见的，</w:t>
      </w:r>
      <w:r>
        <w:rPr>
          <w:rFonts w:ascii="宋体" w:hAnsi="宋体" w:eastAsia="宋体" w:cs="宋体"/>
          <w:color w:val="auto"/>
          <w:spacing w:val="-1"/>
          <w:sz w:val="24"/>
          <w:szCs w:val="24"/>
          <w:highlight w:val="none"/>
        </w:rPr>
        <w:t>约定的合同争议解决方式：向约定的仲裁委员会申请仲裁。</w:t>
      </w:r>
    </w:p>
    <w:p w14:paraId="3711E6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sectPr>
          <w:footerReference r:id="rId26" w:type="default"/>
          <w:pgSz w:w="11906" w:h="16839"/>
          <w:pgMar w:top="1440" w:right="1800" w:bottom="1440" w:left="1800" w:header="0" w:footer="973" w:gutter="0"/>
          <w:pgNumType w:fmt="decimal"/>
          <w:cols w:space="720" w:num="1"/>
        </w:sectPr>
      </w:pPr>
    </w:p>
    <w:p w14:paraId="512258DF">
      <w:pPr>
        <w:pStyle w:val="2"/>
        <w:spacing w:line="285" w:lineRule="auto"/>
        <w:rPr>
          <w:color w:val="auto"/>
          <w:highlight w:val="none"/>
        </w:rPr>
      </w:pPr>
    </w:p>
    <w:p w14:paraId="1B5AA641">
      <w:pPr>
        <w:spacing w:before="78" w:line="219" w:lineRule="auto"/>
        <w:jc w:val="center"/>
        <w:outlineLvl w:val="1"/>
        <w:rPr>
          <w:rFonts w:ascii="宋体" w:hAnsi="宋体" w:eastAsia="宋体" w:cs="宋体"/>
          <w:color w:val="auto"/>
          <w:sz w:val="24"/>
          <w:szCs w:val="24"/>
          <w:highlight w:val="none"/>
        </w:rPr>
      </w:pPr>
      <w:bookmarkStart w:id="22" w:name="_Toc152"/>
      <w:r>
        <w:rPr>
          <w:rFonts w:ascii="宋体" w:hAnsi="宋体" w:eastAsia="宋体" w:cs="宋体"/>
          <w:b/>
          <w:bCs/>
          <w:color w:val="auto"/>
          <w:spacing w:val="-5"/>
          <w:sz w:val="24"/>
          <w:szCs w:val="24"/>
          <w:highlight w:val="none"/>
        </w:rPr>
        <w:t>第</w:t>
      </w:r>
      <w:r>
        <w:rPr>
          <w:rFonts w:ascii="宋体" w:hAnsi="宋体" w:eastAsia="宋体" w:cs="宋体"/>
          <w:color w:val="auto"/>
          <w:spacing w:val="-41"/>
          <w:sz w:val="24"/>
          <w:szCs w:val="24"/>
          <w:highlight w:val="none"/>
        </w:rPr>
        <w:t xml:space="preserve"> </w:t>
      </w:r>
      <w:r>
        <w:rPr>
          <w:rFonts w:ascii="宋体" w:hAnsi="宋体" w:eastAsia="宋体" w:cs="宋体"/>
          <w:b/>
          <w:bCs/>
          <w:color w:val="auto"/>
          <w:spacing w:val="-5"/>
          <w:sz w:val="24"/>
          <w:szCs w:val="24"/>
          <w:highlight w:val="none"/>
        </w:rPr>
        <w:t>3</w:t>
      </w:r>
      <w:r>
        <w:rPr>
          <w:rFonts w:ascii="宋体" w:hAnsi="宋体" w:eastAsia="宋体" w:cs="宋体"/>
          <w:color w:val="auto"/>
          <w:spacing w:val="-48"/>
          <w:sz w:val="24"/>
          <w:szCs w:val="24"/>
          <w:highlight w:val="none"/>
        </w:rPr>
        <w:t xml:space="preserve"> </w:t>
      </w:r>
      <w:r>
        <w:rPr>
          <w:rFonts w:ascii="宋体" w:hAnsi="宋体" w:eastAsia="宋体" w:cs="宋体"/>
          <w:b/>
          <w:bCs/>
          <w:color w:val="auto"/>
          <w:spacing w:val="-5"/>
          <w:sz w:val="24"/>
          <w:szCs w:val="24"/>
          <w:highlight w:val="none"/>
        </w:rPr>
        <w:t>节</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5"/>
          <w:sz w:val="24"/>
          <w:szCs w:val="24"/>
          <w:highlight w:val="none"/>
        </w:rPr>
        <w:t>合同附件格式</w:t>
      </w:r>
      <w:bookmarkEnd w:id="22"/>
    </w:p>
    <w:p w14:paraId="75AB4F7A">
      <w:pPr>
        <w:spacing w:before="236" w:line="219" w:lineRule="auto"/>
        <w:ind w:left="198"/>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附件一</w:t>
      </w:r>
      <w:r>
        <w:rPr>
          <w:rFonts w:ascii="宋体" w:hAnsi="宋体" w:eastAsia="宋体" w:cs="宋体"/>
          <w:color w:val="auto"/>
          <w:spacing w:val="-66"/>
          <w:sz w:val="24"/>
          <w:szCs w:val="24"/>
          <w:highlight w:val="none"/>
        </w:rPr>
        <w:t xml:space="preserve"> </w:t>
      </w:r>
      <w:r>
        <w:rPr>
          <w:rFonts w:ascii="宋体" w:hAnsi="宋体" w:eastAsia="宋体" w:cs="宋体"/>
          <w:color w:val="auto"/>
          <w:spacing w:val="18"/>
          <w:sz w:val="24"/>
          <w:szCs w:val="24"/>
          <w:highlight w:val="none"/>
        </w:rPr>
        <w:t>：</w:t>
      </w:r>
    </w:p>
    <w:p w14:paraId="6E1A3342">
      <w:pPr>
        <w:pStyle w:val="2"/>
        <w:spacing w:line="312" w:lineRule="auto"/>
        <w:rPr>
          <w:color w:val="auto"/>
          <w:highlight w:val="none"/>
        </w:rPr>
      </w:pPr>
    </w:p>
    <w:p w14:paraId="0CFF8528">
      <w:pPr>
        <w:pStyle w:val="2"/>
        <w:spacing w:line="312" w:lineRule="auto"/>
        <w:rPr>
          <w:color w:val="auto"/>
          <w:highlight w:val="none"/>
        </w:rPr>
      </w:pPr>
    </w:p>
    <w:p w14:paraId="04127B72">
      <w:pPr>
        <w:tabs>
          <w:tab w:val="left" w:pos="2268"/>
        </w:tabs>
        <w:spacing w:line="240" w:lineRule="auto"/>
        <w:ind w:right="0"/>
        <w:jc w:val="center"/>
        <w:rPr>
          <w:rFonts w:ascii="宋体" w:hAnsi="宋体" w:eastAsia="宋体" w:cs="宋体"/>
          <w:color w:val="auto"/>
          <w:spacing w:val="39"/>
          <w:sz w:val="28"/>
          <w:szCs w:val="28"/>
          <w:highlight w:val="none"/>
        </w:rPr>
      </w:pPr>
      <w:r>
        <w:rPr>
          <w:rFonts w:ascii="宋体" w:hAnsi="宋体" w:eastAsia="宋体" w:cs="宋体"/>
          <w:color w:val="auto"/>
          <w:spacing w:val="39"/>
          <w:sz w:val="28"/>
          <w:szCs w:val="28"/>
          <w:highlight w:val="none"/>
        </w:rPr>
        <w:t>合同协议书</w:t>
      </w:r>
    </w:p>
    <w:p w14:paraId="68D9C952">
      <w:pPr>
        <w:tabs>
          <w:tab w:val="left" w:pos="2268"/>
        </w:tabs>
        <w:spacing w:before="91" w:line="381" w:lineRule="auto"/>
        <w:ind w:right="3685"/>
        <w:rPr>
          <w:rFonts w:ascii="宋体" w:hAnsi="宋体" w:eastAsia="宋体" w:cs="宋体"/>
          <w:color w:val="auto"/>
          <w:sz w:val="20"/>
          <w:szCs w:val="20"/>
          <w:highlight w:val="none"/>
        </w:rPr>
      </w:pPr>
      <w:r>
        <w:rPr>
          <w:rFonts w:ascii="宋体" w:hAnsi="宋体" w:eastAsia="宋体" w:cs="宋体"/>
          <w:color w:val="auto"/>
          <w:sz w:val="28"/>
          <w:szCs w:val="28"/>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54"/>
          <w:sz w:val="20"/>
          <w:szCs w:val="20"/>
          <w:highlight w:val="none"/>
        </w:rPr>
        <w:t xml:space="preserve"> </w:t>
      </w:r>
      <w:r>
        <w:rPr>
          <w:rFonts w:ascii="宋体" w:hAnsi="宋体" w:eastAsia="宋体" w:cs="宋体"/>
          <w:color w:val="auto"/>
          <w:spacing w:val="3"/>
          <w:sz w:val="20"/>
          <w:szCs w:val="20"/>
          <w:highlight w:val="none"/>
        </w:rPr>
        <w:t>(以下称发包入) ：</w:t>
      </w:r>
    </w:p>
    <w:p w14:paraId="02992B55">
      <w:pPr>
        <w:spacing w:before="130" w:line="471" w:lineRule="auto"/>
        <w:ind w:firstLine="473"/>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为实施</w:t>
      </w:r>
      <w:r>
        <w:rPr>
          <w:rFonts w:ascii="宋体" w:hAnsi="宋体" w:eastAsia="宋体" w:cs="宋体"/>
          <w:color w:val="auto"/>
          <w:spacing w:val="7"/>
          <w:sz w:val="20"/>
          <w:szCs w:val="20"/>
          <w:highlight w:val="none"/>
          <w:u w:val="single" w:color="auto"/>
        </w:rPr>
        <w:t xml:space="preserve">          （项目名称</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7"/>
          <w:sz w:val="20"/>
          <w:szCs w:val="20"/>
          <w:highlight w:val="none"/>
          <w:u w:val="single" w:color="auto"/>
        </w:rPr>
        <w:t xml:space="preserve">合同编号）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8"/>
          <w:sz w:val="20"/>
          <w:szCs w:val="20"/>
          <w:highlight w:val="none"/>
        </w:rPr>
        <w:t xml:space="preserve"> </w:t>
      </w:r>
      <w:r>
        <w:rPr>
          <w:rFonts w:ascii="宋体" w:hAnsi="宋体" w:eastAsia="宋体" w:cs="宋体"/>
          <w:color w:val="auto"/>
          <w:spacing w:val="6"/>
          <w:sz w:val="20"/>
          <w:szCs w:val="20"/>
          <w:highlight w:val="none"/>
        </w:rPr>
        <w:t>建设，已接受</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3"/>
          <w:sz w:val="20"/>
          <w:szCs w:val="20"/>
          <w:highlight w:val="none"/>
        </w:rPr>
        <w:t xml:space="preserve"> </w:t>
      </w:r>
      <w:r>
        <w:rPr>
          <w:rFonts w:ascii="宋体" w:hAnsi="宋体" w:eastAsia="宋体" w:cs="宋体"/>
          <w:color w:val="auto"/>
          <w:spacing w:val="6"/>
          <w:sz w:val="20"/>
          <w:szCs w:val="20"/>
          <w:highlight w:val="none"/>
        </w:rPr>
        <w:t>(承包</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人名称，以下称“承包人</w:t>
      </w:r>
      <w:r>
        <w:rPr>
          <w:rFonts w:ascii="宋体" w:hAnsi="宋体" w:eastAsia="宋体" w:cs="宋体"/>
          <w:color w:val="auto"/>
          <w:spacing w:val="-69"/>
          <w:sz w:val="20"/>
          <w:szCs w:val="20"/>
          <w:highlight w:val="none"/>
        </w:rPr>
        <w:t xml:space="preserve"> </w:t>
      </w:r>
      <w:r>
        <w:rPr>
          <w:rFonts w:ascii="宋体" w:hAnsi="宋体" w:eastAsia="宋体" w:cs="宋体"/>
          <w:color w:val="auto"/>
          <w:spacing w:val="5"/>
          <w:sz w:val="20"/>
          <w:szCs w:val="20"/>
          <w:highlight w:val="none"/>
        </w:rPr>
        <w:t>”)对</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5"/>
          <w:sz w:val="20"/>
          <w:szCs w:val="20"/>
          <w:highlight w:val="none"/>
          <w:u w:val="single" w:color="auto"/>
        </w:rPr>
        <w:t>（项目名称</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5"/>
          <w:sz w:val="20"/>
          <w:szCs w:val="20"/>
          <w:highlight w:val="none"/>
          <w:u w:val="single" w:color="auto"/>
        </w:rPr>
        <w:t xml:space="preserve">合同编号）     </w:t>
      </w:r>
      <w:r>
        <w:rPr>
          <w:rFonts w:ascii="宋体" w:hAnsi="宋体" w:eastAsia="宋体" w:cs="宋体"/>
          <w:color w:val="auto"/>
          <w:spacing w:val="-72"/>
          <w:sz w:val="20"/>
          <w:szCs w:val="20"/>
          <w:highlight w:val="none"/>
        </w:rPr>
        <w:t xml:space="preserve"> </w:t>
      </w:r>
      <w:r>
        <w:rPr>
          <w:rFonts w:ascii="宋体" w:hAnsi="宋体" w:eastAsia="宋体" w:cs="宋体"/>
          <w:color w:val="auto"/>
          <w:spacing w:val="5"/>
          <w:sz w:val="20"/>
          <w:szCs w:val="20"/>
          <w:highlight w:val="none"/>
        </w:rPr>
        <w:t>的投标，并确定其为中标人。</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发包人和承包人共同达成如下协议：</w:t>
      </w:r>
    </w:p>
    <w:p w14:paraId="72FB8E66">
      <w:pPr>
        <w:spacing w:before="50" w:line="227" w:lineRule="auto"/>
        <w:ind w:left="50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1．本协议书与下列文件一起构成合同文件：</w:t>
      </w:r>
    </w:p>
    <w:p w14:paraId="5E6D5BF8">
      <w:pPr>
        <w:spacing w:before="272" w:line="227" w:lineRule="auto"/>
        <w:ind w:left="69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(1)中标通知书；</w:t>
      </w:r>
    </w:p>
    <w:p w14:paraId="6AD1B42E">
      <w:pPr>
        <w:spacing w:before="275" w:line="227" w:lineRule="auto"/>
        <w:ind w:left="69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(2)投标函及投标函附录；</w:t>
      </w:r>
    </w:p>
    <w:p w14:paraId="397B4E06">
      <w:pPr>
        <w:spacing w:before="274" w:line="228" w:lineRule="auto"/>
        <w:ind w:left="6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(3)专用合同条款；</w:t>
      </w:r>
    </w:p>
    <w:p w14:paraId="5898A04F">
      <w:pPr>
        <w:spacing w:before="272" w:line="228" w:lineRule="auto"/>
        <w:ind w:left="6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(4)通用合同条款；</w:t>
      </w:r>
    </w:p>
    <w:p w14:paraId="4582E7A3">
      <w:pPr>
        <w:spacing w:before="273" w:line="228" w:lineRule="auto"/>
        <w:ind w:left="63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(5)技术标准和要求；</w:t>
      </w:r>
    </w:p>
    <w:p w14:paraId="6B7FA820">
      <w:pPr>
        <w:spacing w:before="275" w:line="229" w:lineRule="auto"/>
        <w:ind w:left="63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(6)图纸；</w:t>
      </w:r>
    </w:p>
    <w:p w14:paraId="02C9B261">
      <w:pPr>
        <w:spacing w:before="270" w:line="226" w:lineRule="auto"/>
        <w:ind w:left="6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(7)己标价的工程量清单；</w:t>
      </w:r>
    </w:p>
    <w:p w14:paraId="7C68CFF1">
      <w:pPr>
        <w:spacing w:before="276" w:line="228" w:lineRule="auto"/>
        <w:ind w:left="6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(8)经双方确认进入合同的其它文件。</w:t>
      </w:r>
    </w:p>
    <w:p w14:paraId="218ECC45">
      <w:pPr>
        <w:spacing w:before="274" w:line="463" w:lineRule="auto"/>
        <w:ind w:left="496" w:right="600" w:hanging="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2.上述文件互相补充和解释，如有不明确或不一致之处，</w:t>
      </w:r>
      <w:r>
        <w:rPr>
          <w:rFonts w:ascii="宋体" w:hAnsi="宋体" w:eastAsia="宋体" w:cs="宋体"/>
          <w:color w:val="auto"/>
          <w:spacing w:val="-42"/>
          <w:sz w:val="20"/>
          <w:szCs w:val="20"/>
          <w:highlight w:val="none"/>
        </w:rPr>
        <w:t xml:space="preserve"> </w:t>
      </w:r>
      <w:r>
        <w:rPr>
          <w:rFonts w:ascii="宋体" w:hAnsi="宋体" w:eastAsia="宋体" w:cs="宋体"/>
          <w:color w:val="auto"/>
          <w:spacing w:val="7"/>
          <w:sz w:val="20"/>
          <w:szCs w:val="20"/>
          <w:highlight w:val="none"/>
        </w:rPr>
        <w:t>以合同约定次序在先者为准。</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3.签约合同价：人民币(大写)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5"/>
          <w:sz w:val="20"/>
          <w:szCs w:val="20"/>
          <w:highlight w:val="none"/>
        </w:rPr>
        <w:t>元(￥</w:t>
      </w:r>
      <w:r>
        <w:rPr>
          <w:rFonts w:ascii="宋体" w:hAnsi="宋体" w:eastAsia="宋体" w:cs="宋体"/>
          <w:color w:val="auto"/>
          <w:spacing w:val="-7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5"/>
          <w:sz w:val="20"/>
          <w:szCs w:val="20"/>
          <w:highlight w:val="none"/>
        </w:rPr>
        <w:t>元)。</w:t>
      </w:r>
    </w:p>
    <w:p w14:paraId="2BF2D177">
      <w:pPr>
        <w:spacing w:before="35" w:line="228" w:lineRule="auto"/>
        <w:ind w:left="49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4．承包人项目经理</w:t>
      </w:r>
      <w:r>
        <w:rPr>
          <w:rFonts w:ascii="宋体" w:hAnsi="宋体" w:eastAsia="宋体" w:cs="宋体"/>
          <w:color w:val="auto"/>
          <w:spacing w:val="-99"/>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2D869D77">
      <w:pPr>
        <w:spacing w:before="274" w:line="228" w:lineRule="auto"/>
        <w:ind w:left="49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5．工程质量符合标准</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491F0D3">
      <w:pPr>
        <w:spacing w:before="272" w:line="228" w:lineRule="auto"/>
        <w:ind w:left="49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6．承包人承诺按合同约定承担工程的实施、完成及缺陷修复。</w:t>
      </w:r>
    </w:p>
    <w:p w14:paraId="47B19B7A">
      <w:pPr>
        <w:spacing w:before="274" w:line="226" w:lineRule="auto"/>
        <w:ind w:left="49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 发包人承诺按合同约定的条件、时间和方式向承包</w:t>
      </w:r>
      <w:r>
        <w:rPr>
          <w:rFonts w:ascii="宋体" w:hAnsi="宋体" w:eastAsia="宋体" w:cs="宋体"/>
          <w:color w:val="auto"/>
          <w:spacing w:val="8"/>
          <w:sz w:val="20"/>
          <w:szCs w:val="20"/>
          <w:highlight w:val="none"/>
        </w:rPr>
        <w:t>人支付合同价款。</w:t>
      </w:r>
    </w:p>
    <w:p w14:paraId="7E06A457">
      <w:pPr>
        <w:spacing w:before="275" w:line="228" w:lineRule="auto"/>
        <w:ind w:left="49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 承包人承诺执行监理人开工通知，计划工期为</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7"/>
          <w:sz w:val="20"/>
          <w:szCs w:val="20"/>
          <w:highlight w:val="none"/>
        </w:rPr>
        <w:t>天。</w:t>
      </w:r>
    </w:p>
    <w:p w14:paraId="16F7876A">
      <w:pPr>
        <w:spacing w:before="272" w:line="227" w:lineRule="auto"/>
        <w:ind w:left="49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9.本协议书一式</w:t>
      </w:r>
      <w:r>
        <w:rPr>
          <w:rFonts w:ascii="宋体" w:hAnsi="宋体" w:eastAsia="宋体" w:cs="宋体"/>
          <w:color w:val="auto"/>
          <w:spacing w:val="-86"/>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7"/>
          <w:sz w:val="20"/>
          <w:szCs w:val="20"/>
          <w:highlight w:val="none"/>
        </w:rPr>
        <w:t>份，合同双方各执一份。</w:t>
      </w:r>
    </w:p>
    <w:p w14:paraId="2DE7B050">
      <w:pPr>
        <w:spacing w:line="227" w:lineRule="auto"/>
        <w:rPr>
          <w:rFonts w:ascii="宋体" w:hAnsi="宋体" w:eastAsia="宋体" w:cs="宋体"/>
          <w:color w:val="auto"/>
          <w:sz w:val="20"/>
          <w:szCs w:val="20"/>
          <w:highlight w:val="none"/>
        </w:rPr>
        <w:sectPr>
          <w:footerReference r:id="rId27" w:type="default"/>
          <w:pgSz w:w="11906" w:h="16839"/>
          <w:pgMar w:top="1440" w:right="1800" w:bottom="1440" w:left="1800" w:header="0" w:footer="973" w:gutter="0"/>
          <w:pgNumType w:fmt="decimal"/>
          <w:cols w:space="720" w:num="1"/>
        </w:sectPr>
      </w:pPr>
    </w:p>
    <w:p w14:paraId="02039F95">
      <w:pPr>
        <w:pStyle w:val="2"/>
        <w:spacing w:line="247" w:lineRule="auto"/>
        <w:rPr>
          <w:color w:val="auto"/>
          <w:highlight w:val="none"/>
        </w:rPr>
      </w:pPr>
    </w:p>
    <w:p w14:paraId="0C840340">
      <w:pPr>
        <w:pStyle w:val="2"/>
        <w:spacing w:line="247" w:lineRule="auto"/>
        <w:rPr>
          <w:color w:val="auto"/>
          <w:highlight w:val="none"/>
        </w:rPr>
      </w:pPr>
    </w:p>
    <w:p w14:paraId="712C5A94">
      <w:pPr>
        <w:pStyle w:val="2"/>
        <w:spacing w:line="247" w:lineRule="auto"/>
        <w:rPr>
          <w:color w:val="auto"/>
          <w:highlight w:val="none"/>
        </w:rPr>
      </w:pPr>
    </w:p>
    <w:p w14:paraId="1897A469">
      <w:pPr>
        <w:spacing w:before="65" w:line="228" w:lineRule="auto"/>
        <w:ind w:left="25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10.合同未尽事宜，双方另行签订补充协议。补充协议是合同的组成部分。</w:t>
      </w:r>
    </w:p>
    <w:p w14:paraId="6577DB67">
      <w:pPr>
        <w:pStyle w:val="2"/>
        <w:spacing w:line="241" w:lineRule="auto"/>
        <w:rPr>
          <w:color w:val="auto"/>
          <w:highlight w:val="none"/>
        </w:rPr>
      </w:pPr>
    </w:p>
    <w:p w14:paraId="36C6D4A8">
      <w:pPr>
        <w:pStyle w:val="2"/>
        <w:spacing w:line="241" w:lineRule="auto"/>
        <w:rPr>
          <w:color w:val="auto"/>
          <w:highlight w:val="none"/>
        </w:rPr>
      </w:pPr>
    </w:p>
    <w:p w14:paraId="687DB7C8">
      <w:pPr>
        <w:pStyle w:val="2"/>
        <w:spacing w:line="241" w:lineRule="auto"/>
        <w:rPr>
          <w:color w:val="auto"/>
          <w:highlight w:val="none"/>
        </w:rPr>
      </w:pPr>
    </w:p>
    <w:p w14:paraId="0D7D518E">
      <w:pPr>
        <w:spacing w:before="65" w:line="227" w:lineRule="auto"/>
        <w:ind w:left="1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发包人：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4"/>
          <w:sz w:val="20"/>
          <w:szCs w:val="20"/>
          <w:highlight w:val="none"/>
        </w:rPr>
        <w:t>(单位盖章)</w:t>
      </w:r>
      <w:r>
        <w:rPr>
          <w:rFonts w:ascii="宋体" w:hAnsi="宋体" w:eastAsia="宋体" w:cs="宋体"/>
          <w:color w:val="auto"/>
          <w:spacing w:val="5"/>
          <w:sz w:val="20"/>
          <w:szCs w:val="20"/>
          <w:highlight w:val="none"/>
        </w:rPr>
        <w:t xml:space="preserve">            </w:t>
      </w:r>
      <w:r>
        <w:rPr>
          <w:rFonts w:ascii="宋体" w:hAnsi="宋体" w:eastAsia="宋体" w:cs="宋体"/>
          <w:color w:val="auto"/>
          <w:spacing w:val="4"/>
          <w:sz w:val="20"/>
          <w:szCs w:val="20"/>
          <w:highlight w:val="none"/>
        </w:rPr>
        <w:t>承包人：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3"/>
          <w:sz w:val="20"/>
          <w:szCs w:val="20"/>
          <w:highlight w:val="none"/>
        </w:rPr>
        <w:t>单位盖章)</w:t>
      </w:r>
    </w:p>
    <w:p w14:paraId="6B47826F">
      <w:pPr>
        <w:pStyle w:val="2"/>
        <w:spacing w:line="241" w:lineRule="auto"/>
        <w:rPr>
          <w:color w:val="auto"/>
          <w:highlight w:val="none"/>
        </w:rPr>
      </w:pPr>
    </w:p>
    <w:p w14:paraId="70DCCBF2">
      <w:pPr>
        <w:pStyle w:val="2"/>
        <w:spacing w:line="242" w:lineRule="auto"/>
        <w:rPr>
          <w:color w:val="auto"/>
          <w:highlight w:val="none"/>
        </w:rPr>
      </w:pPr>
    </w:p>
    <w:p w14:paraId="567D5B96">
      <w:pPr>
        <w:pStyle w:val="2"/>
        <w:spacing w:line="242" w:lineRule="auto"/>
        <w:rPr>
          <w:color w:val="auto"/>
          <w:highlight w:val="none"/>
        </w:rPr>
      </w:pPr>
    </w:p>
    <w:p w14:paraId="100DB827">
      <w:pPr>
        <w:spacing w:before="65" w:line="228" w:lineRule="auto"/>
        <w:ind w:left="13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法定代表人或其委托代理人：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3"/>
          <w:sz w:val="20"/>
          <w:szCs w:val="20"/>
          <w:highlight w:val="none"/>
        </w:rPr>
        <w:t xml:space="preserve"> </w:t>
      </w:r>
      <w:r>
        <w:rPr>
          <w:rFonts w:ascii="宋体" w:hAnsi="宋体" w:eastAsia="宋体" w:cs="宋体"/>
          <w:color w:val="auto"/>
          <w:spacing w:val="6"/>
          <w:sz w:val="20"/>
          <w:szCs w:val="20"/>
          <w:highlight w:val="none"/>
        </w:rPr>
        <w:t>(签字)   法定代表人或其委托代理人：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6"/>
          <w:sz w:val="20"/>
          <w:szCs w:val="20"/>
          <w:highlight w:val="none"/>
        </w:rPr>
        <w:t>(签字)</w:t>
      </w:r>
    </w:p>
    <w:p w14:paraId="4D2347FC">
      <w:pPr>
        <w:pStyle w:val="2"/>
        <w:rPr>
          <w:color w:val="auto"/>
          <w:highlight w:val="none"/>
        </w:rPr>
      </w:pPr>
    </w:p>
    <w:p w14:paraId="5992E0EA">
      <w:pPr>
        <w:pStyle w:val="2"/>
        <w:spacing w:line="241" w:lineRule="auto"/>
        <w:rPr>
          <w:color w:val="auto"/>
          <w:highlight w:val="none"/>
        </w:rPr>
      </w:pPr>
    </w:p>
    <w:p w14:paraId="5A07EFAD">
      <w:pPr>
        <w:pStyle w:val="2"/>
        <w:spacing w:line="241" w:lineRule="auto"/>
        <w:rPr>
          <w:color w:val="auto"/>
          <w:highlight w:val="none"/>
        </w:rPr>
      </w:pPr>
    </w:p>
    <w:p w14:paraId="127662DC">
      <w:pPr>
        <w:tabs>
          <w:tab w:val="left" w:pos="825"/>
        </w:tabs>
        <w:spacing w:before="65" w:line="228" w:lineRule="auto"/>
        <w:ind w:left="182"/>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8"/>
          <w:sz w:val="20"/>
          <w:szCs w:val="20"/>
          <w:highlight w:val="none"/>
        </w:rPr>
        <w:t xml:space="preserve"> </w:t>
      </w:r>
      <w:r>
        <w:rPr>
          <w:rFonts w:ascii="宋体" w:hAnsi="宋体" w:eastAsia="宋体" w:cs="宋体"/>
          <w:color w:val="auto"/>
          <w:spacing w:val="-8"/>
          <w:sz w:val="20"/>
          <w:szCs w:val="20"/>
          <w:highlight w:val="none"/>
        </w:rPr>
        <w:t>年</w:t>
      </w:r>
      <w:r>
        <w:rPr>
          <w:rFonts w:ascii="宋体" w:hAnsi="宋体" w:eastAsia="宋体" w:cs="宋体"/>
          <w:color w:val="auto"/>
          <w:spacing w:val="-43"/>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84"/>
          <w:sz w:val="20"/>
          <w:szCs w:val="20"/>
          <w:highlight w:val="none"/>
        </w:rPr>
        <w:t xml:space="preserve"> </w:t>
      </w:r>
      <w:r>
        <w:rPr>
          <w:rFonts w:ascii="宋体" w:hAnsi="宋体" w:eastAsia="宋体" w:cs="宋体"/>
          <w:color w:val="auto"/>
          <w:spacing w:val="-8"/>
          <w:sz w:val="20"/>
          <w:szCs w:val="20"/>
          <w:highlight w:val="none"/>
        </w:rPr>
        <w:t>月</w:t>
      </w:r>
      <w:r>
        <w:rPr>
          <w:rFonts w:ascii="宋体" w:hAnsi="宋体" w:eastAsia="宋体" w:cs="宋体"/>
          <w:color w:val="auto"/>
          <w:spacing w:val="-43"/>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53"/>
          <w:sz w:val="20"/>
          <w:szCs w:val="20"/>
          <w:highlight w:val="none"/>
        </w:rPr>
        <w:t xml:space="preserve"> </w:t>
      </w:r>
      <w:r>
        <w:rPr>
          <w:rFonts w:ascii="宋体" w:hAnsi="宋体" w:eastAsia="宋体" w:cs="宋体"/>
          <w:color w:val="auto"/>
          <w:spacing w:val="-8"/>
          <w:sz w:val="20"/>
          <w:szCs w:val="20"/>
          <w:highlight w:val="none"/>
        </w:rPr>
        <w:t>日</w:t>
      </w:r>
      <w:r>
        <w:rPr>
          <w:rFonts w:ascii="宋体" w:hAnsi="宋体" w:eastAsia="宋体" w:cs="宋体"/>
          <w:color w:val="auto"/>
          <w:spacing w:val="1"/>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84"/>
          <w:sz w:val="20"/>
          <w:szCs w:val="20"/>
          <w:highlight w:val="none"/>
        </w:rPr>
        <w:t xml:space="preserve"> </w:t>
      </w:r>
      <w:r>
        <w:rPr>
          <w:rFonts w:ascii="宋体" w:hAnsi="宋体" w:eastAsia="宋体" w:cs="宋体"/>
          <w:color w:val="auto"/>
          <w:spacing w:val="-8"/>
          <w:sz w:val="20"/>
          <w:szCs w:val="20"/>
          <w:highlight w:val="none"/>
        </w:rPr>
        <w:t>年</w:t>
      </w:r>
      <w:r>
        <w:rPr>
          <w:rFonts w:ascii="宋体" w:hAnsi="宋体" w:eastAsia="宋体" w:cs="宋体"/>
          <w:color w:val="auto"/>
          <w:spacing w:val="-44"/>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8"/>
          <w:sz w:val="20"/>
          <w:szCs w:val="20"/>
          <w:highlight w:val="none"/>
        </w:rPr>
        <w:t>月</w:t>
      </w:r>
      <w:r>
        <w:rPr>
          <w:rFonts w:ascii="宋体" w:hAnsi="宋体" w:eastAsia="宋体" w:cs="宋体"/>
          <w:color w:val="auto"/>
          <w:spacing w:val="-43"/>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53"/>
          <w:sz w:val="20"/>
          <w:szCs w:val="20"/>
          <w:highlight w:val="none"/>
        </w:rPr>
        <w:t xml:space="preserve"> </w:t>
      </w:r>
      <w:r>
        <w:rPr>
          <w:rFonts w:ascii="宋体" w:hAnsi="宋体" w:eastAsia="宋体" w:cs="宋体"/>
          <w:color w:val="auto"/>
          <w:spacing w:val="-8"/>
          <w:sz w:val="20"/>
          <w:szCs w:val="20"/>
          <w:highlight w:val="none"/>
        </w:rPr>
        <w:t>日</w:t>
      </w:r>
    </w:p>
    <w:p w14:paraId="31B86CC6">
      <w:pPr>
        <w:spacing w:line="228" w:lineRule="auto"/>
        <w:rPr>
          <w:rFonts w:ascii="宋体" w:hAnsi="宋体" w:eastAsia="宋体" w:cs="宋体"/>
          <w:color w:val="auto"/>
          <w:sz w:val="20"/>
          <w:szCs w:val="20"/>
          <w:highlight w:val="none"/>
        </w:rPr>
        <w:sectPr>
          <w:footerReference r:id="rId28" w:type="default"/>
          <w:pgSz w:w="11906" w:h="16839"/>
          <w:pgMar w:top="1440" w:right="1800" w:bottom="1440" w:left="1800" w:header="0" w:footer="973" w:gutter="0"/>
          <w:pgNumType w:fmt="decimal"/>
          <w:cols w:space="720" w:num="1"/>
        </w:sectPr>
      </w:pPr>
    </w:p>
    <w:p w14:paraId="5C2B3CCF">
      <w:pPr>
        <w:pStyle w:val="2"/>
        <w:spacing w:line="241" w:lineRule="auto"/>
        <w:rPr>
          <w:color w:val="auto"/>
          <w:highlight w:val="none"/>
        </w:rPr>
      </w:pPr>
    </w:p>
    <w:p w14:paraId="4C1F5606">
      <w:pPr>
        <w:spacing w:before="78" w:line="219" w:lineRule="auto"/>
        <w:ind w:left="28"/>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附件二</w:t>
      </w:r>
      <w:r>
        <w:rPr>
          <w:rFonts w:ascii="宋体" w:hAnsi="宋体" w:eastAsia="宋体" w:cs="宋体"/>
          <w:color w:val="auto"/>
          <w:spacing w:val="-65"/>
          <w:sz w:val="24"/>
          <w:szCs w:val="24"/>
          <w:highlight w:val="none"/>
        </w:rPr>
        <w:t xml:space="preserve"> </w:t>
      </w:r>
      <w:r>
        <w:rPr>
          <w:rFonts w:ascii="宋体" w:hAnsi="宋体" w:eastAsia="宋体" w:cs="宋体"/>
          <w:color w:val="auto"/>
          <w:spacing w:val="21"/>
          <w:sz w:val="24"/>
          <w:szCs w:val="24"/>
          <w:highlight w:val="none"/>
        </w:rPr>
        <w:t>：</w:t>
      </w:r>
    </w:p>
    <w:p w14:paraId="5111BF1A">
      <w:pPr>
        <w:spacing w:before="200" w:line="221" w:lineRule="auto"/>
        <w:ind w:left="3738"/>
        <w:rPr>
          <w:rFonts w:ascii="宋体" w:hAnsi="宋体" w:eastAsia="宋体" w:cs="宋体"/>
          <w:color w:val="auto"/>
          <w:sz w:val="28"/>
          <w:szCs w:val="28"/>
          <w:highlight w:val="none"/>
        </w:rPr>
      </w:pPr>
      <w:r>
        <w:rPr>
          <w:rFonts w:ascii="宋体" w:hAnsi="宋体" w:eastAsia="宋体" w:cs="宋体"/>
          <w:color w:val="auto"/>
          <w:spacing w:val="41"/>
          <w:sz w:val="28"/>
          <w:szCs w:val="28"/>
          <w:highlight w:val="none"/>
        </w:rPr>
        <w:t>履约担保</w:t>
      </w:r>
    </w:p>
    <w:p w14:paraId="14990228">
      <w:pPr>
        <w:pStyle w:val="2"/>
        <w:spacing w:line="348" w:lineRule="auto"/>
        <w:rPr>
          <w:color w:val="auto"/>
          <w:highlight w:val="none"/>
        </w:rPr>
      </w:pPr>
    </w:p>
    <w:p w14:paraId="436335FC">
      <w:pPr>
        <w:pStyle w:val="2"/>
        <w:spacing w:line="349" w:lineRule="auto"/>
        <w:rPr>
          <w:color w:val="auto"/>
          <w:highlight w:val="none"/>
        </w:rPr>
      </w:pPr>
    </w:p>
    <w:p w14:paraId="3BAF2CDA">
      <w:pPr>
        <w:tabs>
          <w:tab w:val="left" w:pos="1680"/>
        </w:tabs>
        <w:spacing w:before="65"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53"/>
          <w:sz w:val="20"/>
          <w:szCs w:val="20"/>
          <w:highlight w:val="none"/>
        </w:rPr>
        <w:t xml:space="preserve"> </w:t>
      </w:r>
      <w:r>
        <w:rPr>
          <w:rFonts w:ascii="宋体" w:hAnsi="宋体" w:eastAsia="宋体" w:cs="宋体"/>
          <w:color w:val="auto"/>
          <w:spacing w:val="5"/>
          <w:sz w:val="20"/>
          <w:szCs w:val="20"/>
          <w:highlight w:val="none"/>
        </w:rPr>
        <w:t>(发包人名称)：</w:t>
      </w:r>
    </w:p>
    <w:p w14:paraId="3F77C5F2">
      <w:pPr>
        <w:spacing w:before="275" w:line="472" w:lineRule="auto"/>
        <w:ind w:left="10" w:right="16" w:firstLine="420"/>
        <w:jc w:val="both"/>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鉴于</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3"/>
          <w:sz w:val="20"/>
          <w:szCs w:val="20"/>
          <w:highlight w:val="none"/>
        </w:rPr>
        <w:t xml:space="preserve"> </w:t>
      </w:r>
      <w:r>
        <w:rPr>
          <w:rFonts w:ascii="宋体" w:hAnsi="宋体" w:eastAsia="宋体" w:cs="宋体"/>
          <w:color w:val="auto"/>
          <w:spacing w:val="4"/>
          <w:sz w:val="20"/>
          <w:szCs w:val="20"/>
          <w:highlight w:val="none"/>
        </w:rPr>
        <w:t>(发包人名称，</w:t>
      </w:r>
      <w:r>
        <w:rPr>
          <w:rFonts w:ascii="宋体" w:hAnsi="宋体" w:eastAsia="宋体" w:cs="宋体"/>
          <w:color w:val="auto"/>
          <w:spacing w:val="-60"/>
          <w:sz w:val="20"/>
          <w:szCs w:val="20"/>
          <w:highlight w:val="none"/>
        </w:rPr>
        <w:t xml:space="preserve"> </w:t>
      </w:r>
      <w:r>
        <w:rPr>
          <w:rFonts w:ascii="宋体" w:hAnsi="宋体" w:eastAsia="宋体" w:cs="宋体"/>
          <w:color w:val="auto"/>
          <w:spacing w:val="4"/>
          <w:sz w:val="20"/>
          <w:szCs w:val="20"/>
          <w:highlight w:val="none"/>
        </w:rPr>
        <w:t>以下简称“发包人</w:t>
      </w:r>
      <w:r>
        <w:rPr>
          <w:rFonts w:ascii="宋体" w:hAnsi="宋体" w:eastAsia="宋体" w:cs="宋体"/>
          <w:color w:val="auto"/>
          <w:spacing w:val="-72"/>
          <w:sz w:val="20"/>
          <w:szCs w:val="20"/>
          <w:highlight w:val="none"/>
        </w:rPr>
        <w:t xml:space="preserve"> </w:t>
      </w:r>
      <w:r>
        <w:rPr>
          <w:rFonts w:ascii="宋体" w:hAnsi="宋体" w:eastAsia="宋体" w:cs="宋体"/>
          <w:color w:val="auto"/>
          <w:spacing w:val="4"/>
          <w:sz w:val="20"/>
          <w:szCs w:val="20"/>
          <w:highlight w:val="none"/>
        </w:rPr>
        <w:t>”)已接受</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4"/>
          <w:sz w:val="20"/>
          <w:szCs w:val="20"/>
          <w:highlight w:val="none"/>
        </w:rPr>
        <w:t>(承包人名称，</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以下简称“承包人</w:t>
      </w:r>
      <w:r>
        <w:rPr>
          <w:rFonts w:ascii="宋体" w:hAnsi="宋体" w:eastAsia="宋体" w:cs="宋体"/>
          <w:color w:val="auto"/>
          <w:spacing w:val="-68"/>
          <w:sz w:val="20"/>
          <w:szCs w:val="20"/>
          <w:highlight w:val="none"/>
        </w:rPr>
        <w:t xml:space="preserve"> </w:t>
      </w:r>
      <w:r>
        <w:rPr>
          <w:rFonts w:ascii="宋体" w:hAnsi="宋体" w:eastAsia="宋体" w:cs="宋体"/>
          <w:color w:val="auto"/>
          <w:spacing w:val="6"/>
          <w:sz w:val="20"/>
          <w:szCs w:val="20"/>
          <w:highlight w:val="none"/>
        </w:rPr>
        <w:t>”)于</w:t>
      </w:r>
      <w:r>
        <w:rPr>
          <w:rFonts w:ascii="宋体" w:hAnsi="宋体" w:eastAsia="宋体" w:cs="宋体"/>
          <w:color w:val="auto"/>
          <w:spacing w:val="-43"/>
          <w:sz w:val="20"/>
          <w:szCs w:val="20"/>
          <w:highlight w:val="none"/>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43"/>
          <w:sz w:val="20"/>
          <w:szCs w:val="20"/>
          <w:highlight w:val="none"/>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43"/>
          <w:sz w:val="20"/>
          <w:szCs w:val="20"/>
          <w:highlight w:val="none"/>
        </w:rPr>
        <w:t xml:space="preserve"> </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6"/>
          <w:sz w:val="20"/>
          <w:szCs w:val="20"/>
          <w:highlight w:val="none"/>
        </w:rPr>
        <w:t>日递交的</w:t>
      </w:r>
      <w:r>
        <w:rPr>
          <w:rFonts w:ascii="宋体" w:hAnsi="宋体" w:eastAsia="宋体" w:cs="宋体"/>
          <w:color w:val="auto"/>
          <w:spacing w:val="6"/>
          <w:sz w:val="20"/>
          <w:szCs w:val="20"/>
          <w:highlight w:val="none"/>
          <w:u w:val="single" w:color="auto"/>
        </w:rPr>
        <w:t xml:space="preserve">         （项目名称</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5"/>
          <w:sz w:val="20"/>
          <w:szCs w:val="20"/>
          <w:highlight w:val="none"/>
          <w:u w:val="single" w:color="auto"/>
        </w:rPr>
        <w:t>合同</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 xml:space="preserve">编号）         </w:t>
      </w:r>
      <w:r>
        <w:rPr>
          <w:rFonts w:ascii="宋体" w:hAnsi="宋体" w:eastAsia="宋体" w:cs="宋体"/>
          <w:color w:val="auto"/>
          <w:spacing w:val="-74"/>
          <w:sz w:val="20"/>
          <w:szCs w:val="20"/>
          <w:highlight w:val="none"/>
        </w:rPr>
        <w:t xml:space="preserve"> </w:t>
      </w:r>
      <w:r>
        <w:rPr>
          <w:rFonts w:ascii="宋体" w:hAnsi="宋体" w:eastAsia="宋体" w:cs="宋体"/>
          <w:color w:val="auto"/>
          <w:spacing w:val="7"/>
          <w:sz w:val="20"/>
          <w:szCs w:val="20"/>
          <w:highlight w:val="none"/>
        </w:rPr>
        <w:t>的投标文件。我方愿意</w:t>
      </w:r>
      <w:r>
        <w:rPr>
          <w:rFonts w:ascii="宋体" w:hAnsi="宋体" w:eastAsia="宋体" w:cs="宋体"/>
          <w:color w:val="auto"/>
          <w:spacing w:val="6"/>
          <w:sz w:val="20"/>
          <w:szCs w:val="20"/>
          <w:highlight w:val="none"/>
        </w:rPr>
        <w:t>无条件地、不可撤销地就承包人履行与你方订立的合同，</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向你方提供保证。</w:t>
      </w:r>
    </w:p>
    <w:p w14:paraId="7313A79B">
      <w:pPr>
        <w:spacing w:before="31" w:line="227" w:lineRule="auto"/>
        <w:ind w:left="44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 担保金额人民币(大写)</w:t>
      </w:r>
      <w:r>
        <w:rPr>
          <w:rFonts w:ascii="宋体" w:hAnsi="宋体" w:eastAsia="宋体" w:cs="宋体"/>
          <w:color w:val="auto"/>
          <w:spacing w:val="-95"/>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0"/>
          <w:sz w:val="20"/>
          <w:szCs w:val="20"/>
          <w:highlight w:val="none"/>
        </w:rPr>
        <w:t xml:space="preserve"> </w:t>
      </w:r>
      <w:r>
        <w:rPr>
          <w:rFonts w:ascii="宋体" w:hAnsi="宋体" w:eastAsia="宋体" w:cs="宋体"/>
          <w:color w:val="auto"/>
          <w:spacing w:val="4"/>
          <w:sz w:val="20"/>
          <w:szCs w:val="20"/>
          <w:highlight w:val="none"/>
        </w:rPr>
        <w:t>元(￥</w:t>
      </w:r>
      <w:r>
        <w:rPr>
          <w:rFonts w:ascii="宋体" w:hAnsi="宋体" w:eastAsia="宋体" w:cs="宋体"/>
          <w:color w:val="auto"/>
          <w:spacing w:val="-76"/>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4"/>
          <w:sz w:val="20"/>
          <w:szCs w:val="20"/>
          <w:highlight w:val="none"/>
        </w:rPr>
        <w:t>元)。</w:t>
      </w:r>
    </w:p>
    <w:p w14:paraId="4E69E0DE">
      <w:pPr>
        <w:spacing w:before="274" w:line="469" w:lineRule="auto"/>
        <w:ind w:left="44" w:right="145" w:firstLine="38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 担保有效期自发包人与承包人签订的合同生效之日起至发包人签订合同工程完工证书之</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rPr>
        <w:t>日止。</w:t>
      </w:r>
    </w:p>
    <w:p w14:paraId="6B4EEAA7">
      <w:pPr>
        <w:spacing w:before="23" w:line="466" w:lineRule="auto"/>
        <w:ind w:left="9" w:right="145"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 在本担保有效期内，因承包人违反合同约定的义务给你方造成经济损失时，我方在收到 你放以书面形式提出的担保金额内的赔偿要求后，无条件地在7天内予以支付。</w:t>
      </w:r>
    </w:p>
    <w:p w14:paraId="6F3A0EF3">
      <w:pPr>
        <w:spacing w:before="33" w:line="227"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 发包人和承包人按《通用合同条款》第15条变更同时，</w:t>
      </w:r>
      <w:r>
        <w:rPr>
          <w:rFonts w:ascii="宋体" w:hAnsi="宋体" w:eastAsia="宋体" w:cs="宋体"/>
          <w:color w:val="auto"/>
          <w:spacing w:val="7"/>
          <w:sz w:val="20"/>
          <w:szCs w:val="20"/>
          <w:highlight w:val="none"/>
        </w:rPr>
        <w:t>我方承担本担保规定的义务不变。</w:t>
      </w:r>
    </w:p>
    <w:p w14:paraId="2C8FD18C">
      <w:pPr>
        <w:pStyle w:val="2"/>
        <w:spacing w:line="248" w:lineRule="auto"/>
        <w:rPr>
          <w:color w:val="auto"/>
          <w:highlight w:val="none"/>
        </w:rPr>
      </w:pPr>
    </w:p>
    <w:p w14:paraId="67C22821">
      <w:pPr>
        <w:pStyle w:val="2"/>
        <w:spacing w:line="248" w:lineRule="auto"/>
        <w:rPr>
          <w:color w:val="auto"/>
          <w:highlight w:val="none"/>
        </w:rPr>
      </w:pPr>
    </w:p>
    <w:p w14:paraId="37EC8AC5">
      <w:pPr>
        <w:pStyle w:val="2"/>
        <w:spacing w:line="248" w:lineRule="auto"/>
        <w:rPr>
          <w:color w:val="auto"/>
          <w:highlight w:val="none"/>
        </w:rPr>
      </w:pPr>
    </w:p>
    <w:p w14:paraId="2FBF8AFE">
      <w:pPr>
        <w:pStyle w:val="2"/>
        <w:spacing w:line="248" w:lineRule="auto"/>
        <w:rPr>
          <w:color w:val="auto"/>
          <w:highlight w:val="none"/>
        </w:rPr>
      </w:pPr>
    </w:p>
    <w:p w14:paraId="7C326BF2">
      <w:pPr>
        <w:pStyle w:val="2"/>
        <w:spacing w:line="249" w:lineRule="auto"/>
        <w:rPr>
          <w:color w:val="auto"/>
          <w:highlight w:val="none"/>
        </w:rPr>
      </w:pPr>
    </w:p>
    <w:p w14:paraId="57E2B0E4">
      <w:pPr>
        <w:spacing w:before="65" w:line="227" w:lineRule="auto"/>
        <w:ind w:left="337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担</w:t>
      </w:r>
      <w:r>
        <w:rPr>
          <w:rFonts w:ascii="宋体" w:hAnsi="宋体" w:eastAsia="宋体" w:cs="宋体"/>
          <w:color w:val="auto"/>
          <w:spacing w:val="-26"/>
          <w:sz w:val="20"/>
          <w:szCs w:val="20"/>
          <w:highlight w:val="none"/>
        </w:rPr>
        <w:t xml:space="preserve"> </w:t>
      </w:r>
      <w:r>
        <w:rPr>
          <w:rFonts w:ascii="宋体" w:hAnsi="宋体" w:eastAsia="宋体" w:cs="宋体"/>
          <w:color w:val="auto"/>
          <w:spacing w:val="-8"/>
          <w:sz w:val="20"/>
          <w:szCs w:val="20"/>
          <w:highlight w:val="none"/>
        </w:rPr>
        <w:t>保</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人</w:t>
      </w:r>
      <w:r>
        <w:rPr>
          <w:rFonts w:ascii="宋体" w:hAnsi="宋体" w:eastAsia="宋体" w:cs="宋体"/>
          <w:color w:val="auto"/>
          <w:spacing w:val="-19"/>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36"/>
          <w:sz w:val="20"/>
          <w:szCs w:val="20"/>
          <w:highlight w:val="none"/>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61"/>
          <w:sz w:val="20"/>
          <w:szCs w:val="20"/>
          <w:highlight w:val="none"/>
        </w:rPr>
        <w:t xml:space="preserve"> </w:t>
      </w:r>
      <w:r>
        <w:rPr>
          <w:rFonts w:ascii="宋体" w:hAnsi="宋体" w:eastAsia="宋体" w:cs="宋体"/>
          <w:color w:val="auto"/>
          <w:spacing w:val="-8"/>
          <w:sz w:val="20"/>
          <w:szCs w:val="20"/>
          <w:highlight w:val="none"/>
        </w:rPr>
        <w:t>盖</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单</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位</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章</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w:t>
      </w:r>
    </w:p>
    <w:p w14:paraId="6209D0D7">
      <w:pPr>
        <w:spacing w:before="273" w:line="473" w:lineRule="auto"/>
        <w:ind w:left="3387" w:right="296" w:hanging="1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法</w:t>
      </w:r>
      <w:r>
        <w:rPr>
          <w:rFonts w:ascii="宋体" w:hAnsi="宋体" w:eastAsia="宋体" w:cs="宋体"/>
          <w:color w:val="auto"/>
          <w:spacing w:val="-27"/>
          <w:sz w:val="20"/>
          <w:szCs w:val="20"/>
          <w:highlight w:val="none"/>
        </w:rPr>
        <w:t xml:space="preserve"> </w:t>
      </w:r>
      <w:r>
        <w:rPr>
          <w:rFonts w:ascii="宋体" w:hAnsi="宋体" w:eastAsia="宋体" w:cs="宋体"/>
          <w:color w:val="auto"/>
          <w:spacing w:val="-5"/>
          <w:sz w:val="20"/>
          <w:szCs w:val="20"/>
          <w:highlight w:val="none"/>
        </w:rPr>
        <w:t>定</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代</w:t>
      </w:r>
      <w:r>
        <w:rPr>
          <w:rFonts w:ascii="宋体" w:hAnsi="宋体" w:eastAsia="宋体" w:cs="宋体"/>
          <w:color w:val="auto"/>
          <w:spacing w:val="-38"/>
          <w:sz w:val="20"/>
          <w:szCs w:val="20"/>
          <w:highlight w:val="none"/>
        </w:rPr>
        <w:t xml:space="preserve"> </w:t>
      </w:r>
      <w:r>
        <w:rPr>
          <w:rFonts w:ascii="宋体" w:hAnsi="宋体" w:eastAsia="宋体" w:cs="宋体"/>
          <w:color w:val="auto"/>
          <w:spacing w:val="-5"/>
          <w:sz w:val="20"/>
          <w:szCs w:val="20"/>
          <w:highlight w:val="none"/>
        </w:rPr>
        <w:t>表</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人</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或</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其</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委</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托</w:t>
      </w:r>
      <w:r>
        <w:rPr>
          <w:rFonts w:ascii="宋体" w:hAnsi="宋体" w:eastAsia="宋体" w:cs="宋体"/>
          <w:color w:val="auto"/>
          <w:spacing w:val="-37"/>
          <w:sz w:val="20"/>
          <w:szCs w:val="20"/>
          <w:highlight w:val="none"/>
        </w:rPr>
        <w:t xml:space="preserve"> </w:t>
      </w:r>
      <w:r>
        <w:rPr>
          <w:rFonts w:ascii="宋体" w:hAnsi="宋体" w:eastAsia="宋体" w:cs="宋体"/>
          <w:color w:val="auto"/>
          <w:spacing w:val="-5"/>
          <w:sz w:val="20"/>
          <w:szCs w:val="20"/>
          <w:highlight w:val="none"/>
        </w:rPr>
        <w:t>代</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理</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人 ：</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50"/>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65"/>
          <w:sz w:val="20"/>
          <w:szCs w:val="20"/>
          <w:highlight w:val="none"/>
        </w:rPr>
        <w:t xml:space="preserve"> </w:t>
      </w:r>
      <w:r>
        <w:rPr>
          <w:rFonts w:ascii="宋体" w:hAnsi="宋体" w:eastAsia="宋体" w:cs="宋体"/>
          <w:color w:val="auto"/>
          <w:spacing w:val="-5"/>
          <w:sz w:val="20"/>
          <w:szCs w:val="20"/>
          <w:highlight w:val="none"/>
        </w:rPr>
        <w:t>签</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字</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地    址</w:t>
      </w:r>
      <w:r>
        <w:rPr>
          <w:rFonts w:ascii="宋体" w:hAnsi="宋体" w:eastAsia="宋体" w:cs="宋体"/>
          <w:color w:val="auto"/>
          <w:spacing w:val="-17"/>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37"/>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邮</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政</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编</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码</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36"/>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12"/>
          <w:sz w:val="20"/>
          <w:szCs w:val="20"/>
          <w:highlight w:val="none"/>
        </w:rPr>
        <w:t>电</w:t>
      </w:r>
      <w:r>
        <w:rPr>
          <w:rFonts w:ascii="宋体" w:hAnsi="宋体" w:eastAsia="宋体" w:cs="宋体"/>
          <w:color w:val="auto"/>
          <w:spacing w:val="29"/>
          <w:sz w:val="20"/>
          <w:szCs w:val="20"/>
          <w:highlight w:val="none"/>
        </w:rPr>
        <w:t xml:space="preserve">   </w:t>
      </w:r>
      <w:r>
        <w:rPr>
          <w:rFonts w:ascii="宋体" w:hAnsi="宋体" w:eastAsia="宋体" w:cs="宋体"/>
          <w:color w:val="auto"/>
          <w:spacing w:val="-12"/>
          <w:sz w:val="20"/>
          <w:szCs w:val="20"/>
          <w:highlight w:val="none"/>
        </w:rPr>
        <w:t>话</w:t>
      </w:r>
      <w:r>
        <w:rPr>
          <w:rFonts w:ascii="宋体" w:hAnsi="宋体" w:eastAsia="宋体" w:cs="宋体"/>
          <w:color w:val="auto"/>
          <w:spacing w:val="-16"/>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pacing w:val="-38"/>
          <w:sz w:val="20"/>
          <w:szCs w:val="20"/>
          <w:highlight w:val="none"/>
        </w:rPr>
        <w:t xml:space="preserve"> </w:t>
      </w:r>
      <w:r>
        <w:rPr>
          <w:rFonts w:ascii="宋体" w:hAnsi="宋体" w:eastAsia="宋体" w:cs="宋体"/>
          <w:color w:val="auto"/>
          <w:sz w:val="20"/>
          <w:szCs w:val="20"/>
          <w:highlight w:val="none"/>
          <w:u w:val="single" w:color="auto"/>
        </w:rPr>
        <w:t xml:space="preserve">                                         </w:t>
      </w:r>
    </w:p>
    <w:p w14:paraId="7EF8049D">
      <w:pPr>
        <w:tabs>
          <w:tab w:val="left" w:pos="5577"/>
        </w:tabs>
        <w:spacing w:before="31" w:line="466" w:lineRule="auto"/>
        <w:ind w:left="4773" w:right="346" w:hanging="139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传    真</w:t>
      </w:r>
      <w:r>
        <w:rPr>
          <w:rFonts w:ascii="宋体" w:hAnsi="宋体" w:eastAsia="宋体" w:cs="宋体"/>
          <w:color w:val="auto"/>
          <w:spacing w:val="-16"/>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89"/>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44"/>
          <w:sz w:val="20"/>
          <w:szCs w:val="20"/>
          <w:highlight w:val="none"/>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43"/>
          <w:sz w:val="20"/>
          <w:szCs w:val="20"/>
          <w:highlight w:val="none"/>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52"/>
          <w:sz w:val="20"/>
          <w:szCs w:val="20"/>
          <w:highlight w:val="none"/>
        </w:rPr>
        <w:t xml:space="preserve"> </w:t>
      </w:r>
      <w:r>
        <w:rPr>
          <w:rFonts w:ascii="宋体" w:hAnsi="宋体" w:eastAsia="宋体" w:cs="宋体"/>
          <w:color w:val="auto"/>
          <w:spacing w:val="-2"/>
          <w:sz w:val="20"/>
          <w:szCs w:val="20"/>
          <w:highlight w:val="none"/>
        </w:rPr>
        <w:t>日</w:t>
      </w:r>
    </w:p>
    <w:p w14:paraId="12D838C5">
      <w:pPr>
        <w:pStyle w:val="2"/>
        <w:spacing w:line="241" w:lineRule="auto"/>
        <w:rPr>
          <w:color w:val="auto"/>
          <w:highlight w:val="none"/>
        </w:rPr>
      </w:pPr>
    </w:p>
    <w:p w14:paraId="026790CF">
      <w:pPr>
        <w:pStyle w:val="2"/>
        <w:spacing w:line="241" w:lineRule="auto"/>
        <w:rPr>
          <w:color w:val="auto"/>
          <w:highlight w:val="none"/>
        </w:rPr>
      </w:pPr>
    </w:p>
    <w:p w14:paraId="55E8B902">
      <w:pPr>
        <w:spacing w:before="65" w:line="227" w:lineRule="auto"/>
        <w:ind w:left="217"/>
        <w:rPr>
          <w:rFonts w:ascii="宋体" w:hAnsi="宋体" w:eastAsia="宋体" w:cs="宋体"/>
          <w:color w:val="auto"/>
          <w:sz w:val="20"/>
          <w:szCs w:val="20"/>
          <w:highlight w:val="none"/>
        </w:rPr>
        <w:sectPr>
          <w:footerReference r:id="rId29" w:type="default"/>
          <w:pgSz w:w="11906" w:h="16839"/>
          <w:pgMar w:top="1440" w:right="1800" w:bottom="1440" w:left="1800" w:header="0" w:footer="973" w:gutter="0"/>
          <w:pgNumType w:fmt="decimal"/>
          <w:cols w:space="720" w:num="1"/>
        </w:sectPr>
      </w:pPr>
      <w:r>
        <w:rPr>
          <w:rFonts w:ascii="宋体" w:hAnsi="宋体" w:eastAsia="宋体" w:cs="宋体"/>
          <w:color w:val="auto"/>
          <w:spacing w:val="8"/>
          <w:sz w:val="20"/>
          <w:szCs w:val="20"/>
          <w:highlight w:val="none"/>
        </w:rPr>
        <w:t>注：委托代理人应附授权委托书。</w:t>
      </w:r>
    </w:p>
    <w:p w14:paraId="138F3A34">
      <w:pPr>
        <w:pStyle w:val="2"/>
        <w:spacing w:line="241" w:lineRule="auto"/>
        <w:rPr>
          <w:color w:val="auto"/>
          <w:highlight w:val="none"/>
        </w:rPr>
      </w:pPr>
    </w:p>
    <w:p w14:paraId="0E18E736">
      <w:pPr>
        <w:pStyle w:val="2"/>
        <w:spacing w:line="241" w:lineRule="auto"/>
        <w:rPr>
          <w:color w:val="auto"/>
          <w:highlight w:val="none"/>
        </w:rPr>
      </w:pPr>
    </w:p>
    <w:p w14:paraId="627CE38C">
      <w:pPr>
        <w:spacing w:before="78" w:line="219" w:lineRule="auto"/>
        <w:ind w:left="100"/>
        <w:rPr>
          <w:rFonts w:ascii="宋体" w:hAnsi="宋体" w:eastAsia="宋体" w:cs="宋体"/>
          <w:color w:val="auto"/>
          <w:sz w:val="24"/>
          <w:szCs w:val="24"/>
          <w:highlight w:val="none"/>
        </w:rPr>
      </w:pPr>
      <w:bookmarkStart w:id="23" w:name="bookmark14"/>
      <w:bookmarkEnd w:id="23"/>
      <w:r>
        <w:rPr>
          <w:rFonts w:ascii="宋体" w:hAnsi="宋体" w:eastAsia="宋体" w:cs="宋体"/>
          <w:color w:val="auto"/>
          <w:spacing w:val="5"/>
          <w:sz w:val="24"/>
          <w:szCs w:val="24"/>
          <w:highlight w:val="none"/>
        </w:rPr>
        <w:t>附</w:t>
      </w:r>
      <w:r>
        <w:rPr>
          <w:rFonts w:ascii="宋体" w:hAnsi="宋体" w:eastAsia="宋体" w:cs="宋体"/>
          <w:color w:val="auto"/>
          <w:spacing w:val="-57"/>
          <w:sz w:val="24"/>
          <w:szCs w:val="24"/>
          <w:highlight w:val="none"/>
        </w:rPr>
        <w:t xml:space="preserve"> </w:t>
      </w:r>
      <w:r>
        <w:rPr>
          <w:rFonts w:ascii="宋体" w:hAnsi="宋体" w:eastAsia="宋体" w:cs="宋体"/>
          <w:color w:val="auto"/>
          <w:spacing w:val="5"/>
          <w:sz w:val="24"/>
          <w:szCs w:val="24"/>
          <w:highlight w:val="none"/>
        </w:rPr>
        <w:t>件三</w:t>
      </w:r>
      <w:r>
        <w:rPr>
          <w:rFonts w:ascii="宋体" w:hAnsi="宋体" w:eastAsia="宋体" w:cs="宋体"/>
          <w:color w:val="auto"/>
          <w:spacing w:val="-65"/>
          <w:sz w:val="24"/>
          <w:szCs w:val="24"/>
          <w:highlight w:val="none"/>
        </w:rPr>
        <w:t xml:space="preserve"> </w:t>
      </w:r>
      <w:r>
        <w:rPr>
          <w:rFonts w:ascii="宋体" w:hAnsi="宋体" w:eastAsia="宋体" w:cs="宋体"/>
          <w:color w:val="auto"/>
          <w:spacing w:val="5"/>
          <w:sz w:val="24"/>
          <w:szCs w:val="24"/>
          <w:highlight w:val="none"/>
        </w:rPr>
        <w:t>：</w:t>
      </w:r>
    </w:p>
    <w:p w14:paraId="00A7A70C">
      <w:pPr>
        <w:spacing w:before="201" w:line="220" w:lineRule="auto"/>
        <w:ind w:left="3484"/>
        <w:rPr>
          <w:rFonts w:ascii="宋体" w:hAnsi="宋体" w:eastAsia="宋体" w:cs="宋体"/>
          <w:color w:val="auto"/>
          <w:sz w:val="28"/>
          <w:szCs w:val="28"/>
          <w:highlight w:val="none"/>
        </w:rPr>
      </w:pPr>
      <w:r>
        <w:rPr>
          <w:rFonts w:ascii="宋体" w:hAnsi="宋体" w:eastAsia="宋体" w:cs="宋体"/>
          <w:color w:val="auto"/>
          <w:spacing w:val="46"/>
          <w:sz w:val="28"/>
          <w:szCs w:val="28"/>
          <w:highlight w:val="none"/>
        </w:rPr>
        <w:t>预付款担保函</w:t>
      </w:r>
    </w:p>
    <w:p w14:paraId="6B64490F">
      <w:pPr>
        <w:pStyle w:val="2"/>
        <w:spacing w:line="358" w:lineRule="auto"/>
        <w:rPr>
          <w:color w:val="auto"/>
          <w:highlight w:val="none"/>
        </w:rPr>
      </w:pPr>
    </w:p>
    <w:p w14:paraId="03C89A75">
      <w:pPr>
        <w:pStyle w:val="2"/>
        <w:spacing w:line="359" w:lineRule="auto"/>
        <w:rPr>
          <w:color w:val="auto"/>
          <w:highlight w:val="none"/>
        </w:rPr>
      </w:pPr>
    </w:p>
    <w:p w14:paraId="54270B7C">
      <w:pPr>
        <w:tabs>
          <w:tab w:val="left" w:pos="1890"/>
        </w:tabs>
        <w:spacing w:before="65" w:line="228" w:lineRule="auto"/>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49"/>
          <w:sz w:val="20"/>
          <w:szCs w:val="20"/>
          <w:highlight w:val="none"/>
        </w:rPr>
        <w:t xml:space="preserve"> </w:t>
      </w:r>
      <w:r>
        <w:rPr>
          <w:rFonts w:ascii="宋体" w:hAnsi="宋体" w:eastAsia="宋体" w:cs="宋体"/>
          <w:color w:val="auto"/>
          <w:spacing w:val="1"/>
          <w:sz w:val="20"/>
          <w:szCs w:val="20"/>
          <w:highlight w:val="none"/>
        </w:rPr>
        <w:t>(发包人名称)</w:t>
      </w:r>
      <w:r>
        <w:rPr>
          <w:rFonts w:ascii="宋体" w:hAnsi="宋体" w:eastAsia="宋体" w:cs="宋体"/>
          <w:color w:val="auto"/>
          <w:spacing w:val="-59"/>
          <w:sz w:val="20"/>
          <w:szCs w:val="20"/>
          <w:highlight w:val="none"/>
        </w:rPr>
        <w:t xml:space="preserve"> </w:t>
      </w:r>
      <w:r>
        <w:rPr>
          <w:rFonts w:ascii="宋体" w:hAnsi="宋体" w:eastAsia="宋体" w:cs="宋体"/>
          <w:color w:val="auto"/>
          <w:spacing w:val="1"/>
          <w:sz w:val="20"/>
          <w:szCs w:val="20"/>
          <w:highlight w:val="none"/>
        </w:rPr>
        <w:t>:</w:t>
      </w:r>
    </w:p>
    <w:p w14:paraId="4E338EEF">
      <w:pPr>
        <w:spacing w:before="294" w:line="472" w:lineRule="auto"/>
        <w:ind w:left="80" w:right="70" w:firstLine="388"/>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根据</w:t>
      </w:r>
      <w:r>
        <w:rPr>
          <w:rFonts w:ascii="宋体" w:hAnsi="宋体" w:eastAsia="宋体" w:cs="宋体"/>
          <w:color w:val="auto"/>
          <w:spacing w:val="-87"/>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5"/>
          <w:sz w:val="20"/>
          <w:szCs w:val="20"/>
          <w:highlight w:val="none"/>
        </w:rPr>
        <w:t>(承包人名称，以下简称“承包人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”)与</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5"/>
          <w:sz w:val="20"/>
          <w:szCs w:val="20"/>
          <w:highlight w:val="none"/>
        </w:rPr>
        <w:t>(发包人名称，以下简称“发</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包人</w:t>
      </w:r>
      <w:r>
        <w:rPr>
          <w:rFonts w:ascii="宋体" w:hAnsi="宋体" w:eastAsia="宋体" w:cs="宋体"/>
          <w:color w:val="auto"/>
          <w:spacing w:val="-69"/>
          <w:sz w:val="20"/>
          <w:szCs w:val="20"/>
          <w:highlight w:val="none"/>
        </w:rPr>
        <w:t xml:space="preserve"> </w:t>
      </w:r>
      <w:r>
        <w:rPr>
          <w:rFonts w:ascii="宋体" w:hAnsi="宋体" w:eastAsia="宋体" w:cs="宋体"/>
          <w:color w:val="auto"/>
          <w:spacing w:val="6"/>
          <w:sz w:val="20"/>
          <w:szCs w:val="20"/>
          <w:highlight w:val="none"/>
        </w:rPr>
        <w:t>”)于</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43"/>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84"/>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42"/>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6"/>
          <w:sz w:val="20"/>
          <w:szCs w:val="20"/>
          <w:highlight w:val="none"/>
        </w:rPr>
        <w:t>日签订的</w:t>
      </w:r>
      <w:r>
        <w:rPr>
          <w:rFonts w:ascii="宋体" w:hAnsi="宋体" w:eastAsia="宋体" w:cs="宋体"/>
          <w:color w:val="auto"/>
          <w:spacing w:val="-46"/>
          <w:sz w:val="20"/>
          <w:szCs w:val="20"/>
          <w:highlight w:val="none"/>
        </w:rPr>
        <w:t xml:space="preserve"> </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6"/>
          <w:sz w:val="20"/>
          <w:szCs w:val="20"/>
          <w:highlight w:val="none"/>
          <w:u w:val="single" w:color="auto"/>
        </w:rPr>
        <w:t>（项目名称</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6"/>
          <w:sz w:val="20"/>
          <w:szCs w:val="20"/>
          <w:highlight w:val="none"/>
          <w:u w:val="single" w:color="auto"/>
        </w:rPr>
        <w:t xml:space="preserve">合同编号）   </w:t>
      </w:r>
      <w:r>
        <w:rPr>
          <w:rFonts w:ascii="宋体" w:hAnsi="宋体" w:eastAsia="宋体" w:cs="宋体"/>
          <w:color w:val="auto"/>
          <w:spacing w:val="-89"/>
          <w:sz w:val="20"/>
          <w:szCs w:val="20"/>
          <w:highlight w:val="none"/>
        </w:rPr>
        <w:t xml:space="preserve"> </w:t>
      </w:r>
      <w:r>
        <w:rPr>
          <w:rFonts w:ascii="宋体" w:hAnsi="宋体" w:eastAsia="宋体" w:cs="宋体"/>
          <w:color w:val="auto"/>
          <w:spacing w:val="6"/>
          <w:sz w:val="20"/>
          <w:szCs w:val="20"/>
          <w:highlight w:val="none"/>
        </w:rPr>
        <w:t>建设合同协议</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书，承包人按约定的金额向发包人提交一份预付款担保，即有权得到发包人支付相等金额的预付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款。我方愿意就你方提供给承包人的预付款提供担保。</w:t>
      </w:r>
    </w:p>
    <w:p w14:paraId="4F8B2635">
      <w:pPr>
        <w:spacing w:before="52" w:line="227" w:lineRule="auto"/>
        <w:ind w:left="37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1、担保金额人民币(大写)</w:t>
      </w:r>
      <w:r>
        <w:rPr>
          <w:rFonts w:ascii="宋体" w:hAnsi="宋体" w:eastAsia="宋体" w:cs="宋体"/>
          <w:color w:val="auto"/>
          <w:spacing w:val="-51"/>
          <w:sz w:val="20"/>
          <w:szCs w:val="20"/>
          <w:highlight w:val="none"/>
        </w:rPr>
        <w:t xml:space="preserve"> </w:t>
      </w:r>
      <w:r>
        <w:rPr>
          <w:rFonts w:ascii="宋体" w:hAnsi="宋体" w:eastAsia="宋体" w:cs="宋体"/>
          <w:color w:val="auto"/>
          <w:spacing w:val="2"/>
          <w:sz w:val="20"/>
          <w:szCs w:val="20"/>
          <w:highlight w:val="none"/>
        </w:rPr>
        <w:t>:</w:t>
      </w:r>
      <w:r>
        <w:rPr>
          <w:rFonts w:ascii="宋体" w:hAnsi="宋体" w:eastAsia="宋体" w:cs="宋体"/>
          <w:color w:val="auto"/>
          <w:spacing w:val="-99"/>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79"/>
          <w:sz w:val="20"/>
          <w:szCs w:val="20"/>
          <w:highlight w:val="none"/>
        </w:rPr>
        <w:t xml:space="preserve"> </w:t>
      </w:r>
      <w:r>
        <w:rPr>
          <w:rFonts w:ascii="宋体" w:hAnsi="宋体" w:eastAsia="宋体" w:cs="宋体"/>
          <w:color w:val="auto"/>
          <w:spacing w:val="2"/>
          <w:sz w:val="20"/>
          <w:szCs w:val="20"/>
          <w:highlight w:val="none"/>
        </w:rPr>
        <w:t>元(￥</w:t>
      </w:r>
      <w:r>
        <w:rPr>
          <w:rFonts w:ascii="宋体" w:hAnsi="宋体" w:eastAsia="宋体" w:cs="宋体"/>
          <w:color w:val="auto"/>
          <w:spacing w:val="-77"/>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2"/>
          <w:sz w:val="20"/>
          <w:szCs w:val="20"/>
          <w:highlight w:val="none"/>
        </w:rPr>
        <w:t>元)。</w:t>
      </w:r>
    </w:p>
    <w:p w14:paraId="1B79FC0C">
      <w:pPr>
        <w:spacing w:before="276" w:line="466" w:lineRule="auto"/>
        <w:ind w:left="47" w:right="73" w:firstLine="3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2、担保有效期自预付款支付给承包人起生效，至</w:t>
      </w:r>
      <w:r>
        <w:rPr>
          <w:rFonts w:ascii="宋体" w:hAnsi="宋体" w:eastAsia="宋体" w:cs="宋体"/>
          <w:color w:val="auto"/>
          <w:spacing w:val="9"/>
          <w:sz w:val="20"/>
          <w:szCs w:val="20"/>
          <w:highlight w:val="none"/>
        </w:rPr>
        <w:t>发包人签发的进度付款证书说明预付款已完</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全扣清至。</w:t>
      </w:r>
    </w:p>
    <w:p w14:paraId="0252DCDC">
      <w:pPr>
        <w:spacing w:before="28" w:line="471" w:lineRule="auto"/>
        <w:ind w:left="47" w:right="70" w:firstLine="318"/>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3、在本担保有效期内，因承包人违反合同约</w:t>
      </w:r>
      <w:r>
        <w:rPr>
          <w:rFonts w:ascii="宋体" w:hAnsi="宋体" w:eastAsia="宋体" w:cs="宋体"/>
          <w:color w:val="auto"/>
          <w:spacing w:val="9"/>
          <w:sz w:val="20"/>
          <w:szCs w:val="20"/>
          <w:highlight w:val="none"/>
        </w:rPr>
        <w:t>定的义务而要求收回预付款时，我方在收到你放</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的书面通知后，无条件地在7天内予以支付。但本担保的担保金额，在任何时候不应超过预付款金</w:t>
      </w:r>
      <w:r>
        <w:rPr>
          <w:rFonts w:ascii="宋体" w:hAnsi="宋体" w:eastAsia="宋体" w:cs="宋体"/>
          <w:color w:val="auto"/>
          <w:spacing w:val="9"/>
          <w:sz w:val="20"/>
          <w:szCs w:val="20"/>
          <w:highlight w:val="none"/>
        </w:rPr>
        <w:t xml:space="preserve"> 额减去发包人按合同约定在向承包人签发的进度付款证书中已扣回的金额。</w:t>
      </w:r>
    </w:p>
    <w:p w14:paraId="2EFA10A1">
      <w:pPr>
        <w:spacing w:before="30" w:line="227" w:lineRule="auto"/>
        <w:jc w:val="righ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 发包人和承包人按《通用合同条款》第15条变更合同时，我方承担本担保规定的义务不变。</w:t>
      </w:r>
    </w:p>
    <w:p w14:paraId="45E9714E">
      <w:pPr>
        <w:pStyle w:val="2"/>
        <w:spacing w:line="248" w:lineRule="auto"/>
        <w:rPr>
          <w:color w:val="auto"/>
          <w:highlight w:val="none"/>
        </w:rPr>
      </w:pPr>
    </w:p>
    <w:p w14:paraId="11062C74">
      <w:pPr>
        <w:pStyle w:val="2"/>
        <w:spacing w:line="248" w:lineRule="auto"/>
        <w:rPr>
          <w:color w:val="auto"/>
          <w:highlight w:val="none"/>
        </w:rPr>
      </w:pPr>
    </w:p>
    <w:p w14:paraId="1A7A7A2B">
      <w:pPr>
        <w:pStyle w:val="2"/>
        <w:spacing w:line="249" w:lineRule="auto"/>
        <w:rPr>
          <w:color w:val="auto"/>
          <w:highlight w:val="none"/>
        </w:rPr>
      </w:pPr>
    </w:p>
    <w:p w14:paraId="31710647">
      <w:pPr>
        <w:spacing w:before="65" w:line="227" w:lineRule="auto"/>
        <w:ind w:left="328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担</w:t>
      </w:r>
      <w:r>
        <w:rPr>
          <w:rFonts w:ascii="宋体" w:hAnsi="宋体" w:eastAsia="宋体" w:cs="宋体"/>
          <w:color w:val="auto"/>
          <w:spacing w:val="-26"/>
          <w:sz w:val="20"/>
          <w:szCs w:val="20"/>
          <w:highlight w:val="none"/>
        </w:rPr>
        <w:t xml:space="preserve"> </w:t>
      </w:r>
      <w:r>
        <w:rPr>
          <w:rFonts w:ascii="宋体" w:hAnsi="宋体" w:eastAsia="宋体" w:cs="宋体"/>
          <w:color w:val="auto"/>
          <w:spacing w:val="-8"/>
          <w:sz w:val="20"/>
          <w:szCs w:val="20"/>
          <w:highlight w:val="none"/>
        </w:rPr>
        <w:t>保</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人</w:t>
      </w:r>
      <w:r>
        <w:rPr>
          <w:rFonts w:ascii="宋体" w:hAnsi="宋体" w:eastAsia="宋体" w:cs="宋体"/>
          <w:color w:val="auto"/>
          <w:spacing w:val="-19"/>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36"/>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46"/>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63"/>
          <w:sz w:val="20"/>
          <w:szCs w:val="20"/>
          <w:highlight w:val="none"/>
        </w:rPr>
        <w:t xml:space="preserve"> </w:t>
      </w:r>
      <w:r>
        <w:rPr>
          <w:rFonts w:ascii="宋体" w:hAnsi="宋体" w:eastAsia="宋体" w:cs="宋体"/>
          <w:color w:val="auto"/>
          <w:spacing w:val="-8"/>
          <w:sz w:val="20"/>
          <w:szCs w:val="20"/>
          <w:highlight w:val="none"/>
        </w:rPr>
        <w:t>盖</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单</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位</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章</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w:t>
      </w:r>
    </w:p>
    <w:p w14:paraId="40B258C7">
      <w:pPr>
        <w:spacing w:before="274" w:line="469" w:lineRule="auto"/>
        <w:ind w:left="3287" w:right="61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法</w:t>
      </w:r>
      <w:r>
        <w:rPr>
          <w:rFonts w:ascii="宋体" w:hAnsi="宋体" w:eastAsia="宋体" w:cs="宋体"/>
          <w:color w:val="auto"/>
          <w:spacing w:val="-27"/>
          <w:sz w:val="20"/>
          <w:szCs w:val="20"/>
          <w:highlight w:val="none"/>
        </w:rPr>
        <w:t xml:space="preserve"> </w:t>
      </w:r>
      <w:r>
        <w:rPr>
          <w:rFonts w:ascii="宋体" w:hAnsi="宋体" w:eastAsia="宋体" w:cs="宋体"/>
          <w:color w:val="auto"/>
          <w:spacing w:val="-5"/>
          <w:sz w:val="20"/>
          <w:szCs w:val="20"/>
          <w:highlight w:val="none"/>
        </w:rPr>
        <w:t>定</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代</w:t>
      </w:r>
      <w:r>
        <w:rPr>
          <w:rFonts w:ascii="宋体" w:hAnsi="宋体" w:eastAsia="宋体" w:cs="宋体"/>
          <w:color w:val="auto"/>
          <w:spacing w:val="-38"/>
          <w:sz w:val="20"/>
          <w:szCs w:val="20"/>
          <w:highlight w:val="none"/>
        </w:rPr>
        <w:t xml:space="preserve"> </w:t>
      </w:r>
      <w:r>
        <w:rPr>
          <w:rFonts w:ascii="宋体" w:hAnsi="宋体" w:eastAsia="宋体" w:cs="宋体"/>
          <w:color w:val="auto"/>
          <w:spacing w:val="-5"/>
          <w:sz w:val="20"/>
          <w:szCs w:val="20"/>
          <w:highlight w:val="none"/>
        </w:rPr>
        <w:t>表</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人</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或</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其</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委</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托</w:t>
      </w:r>
      <w:r>
        <w:rPr>
          <w:rFonts w:ascii="宋体" w:hAnsi="宋体" w:eastAsia="宋体" w:cs="宋体"/>
          <w:color w:val="auto"/>
          <w:spacing w:val="-37"/>
          <w:sz w:val="20"/>
          <w:szCs w:val="20"/>
          <w:highlight w:val="none"/>
        </w:rPr>
        <w:t xml:space="preserve"> </w:t>
      </w:r>
      <w:r>
        <w:rPr>
          <w:rFonts w:ascii="宋体" w:hAnsi="宋体" w:eastAsia="宋体" w:cs="宋体"/>
          <w:color w:val="auto"/>
          <w:spacing w:val="-5"/>
          <w:sz w:val="20"/>
          <w:szCs w:val="20"/>
          <w:highlight w:val="none"/>
        </w:rPr>
        <w:t>代</w:t>
      </w:r>
      <w:r>
        <w:rPr>
          <w:rFonts w:ascii="宋体" w:hAnsi="宋体" w:eastAsia="宋体" w:cs="宋体"/>
          <w:color w:val="auto"/>
          <w:spacing w:val="-32"/>
          <w:sz w:val="20"/>
          <w:szCs w:val="20"/>
          <w:highlight w:val="none"/>
        </w:rPr>
        <w:t xml:space="preserve"> </w:t>
      </w:r>
      <w:r>
        <w:rPr>
          <w:rFonts w:ascii="宋体" w:hAnsi="宋体" w:eastAsia="宋体" w:cs="宋体"/>
          <w:color w:val="auto"/>
          <w:spacing w:val="-5"/>
          <w:sz w:val="20"/>
          <w:szCs w:val="20"/>
          <w:highlight w:val="none"/>
        </w:rPr>
        <w:t>理</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人 ：</w:t>
      </w:r>
      <w:r>
        <w:rPr>
          <w:rFonts w:ascii="宋体" w:hAnsi="宋体" w:eastAsia="宋体" w:cs="宋体"/>
          <w:color w:val="auto"/>
          <w:spacing w:val="-39"/>
          <w:sz w:val="20"/>
          <w:szCs w:val="20"/>
          <w:highlight w:val="none"/>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48"/>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65"/>
          <w:sz w:val="20"/>
          <w:szCs w:val="20"/>
          <w:highlight w:val="none"/>
        </w:rPr>
        <w:t xml:space="preserve"> </w:t>
      </w:r>
      <w:r>
        <w:rPr>
          <w:rFonts w:ascii="宋体" w:hAnsi="宋体" w:eastAsia="宋体" w:cs="宋体"/>
          <w:color w:val="auto"/>
          <w:spacing w:val="-5"/>
          <w:sz w:val="20"/>
          <w:szCs w:val="20"/>
          <w:highlight w:val="none"/>
        </w:rPr>
        <w:t>签</w:t>
      </w:r>
      <w:r>
        <w:rPr>
          <w:rFonts w:ascii="宋体" w:hAnsi="宋体" w:eastAsia="宋体" w:cs="宋体"/>
          <w:color w:val="auto"/>
          <w:spacing w:val="-33"/>
          <w:sz w:val="20"/>
          <w:szCs w:val="20"/>
          <w:highlight w:val="none"/>
        </w:rPr>
        <w:t xml:space="preserve"> </w:t>
      </w:r>
      <w:r>
        <w:rPr>
          <w:rFonts w:ascii="宋体" w:hAnsi="宋体" w:eastAsia="宋体" w:cs="宋体"/>
          <w:color w:val="auto"/>
          <w:spacing w:val="-5"/>
          <w:sz w:val="20"/>
          <w:szCs w:val="20"/>
          <w:highlight w:val="none"/>
        </w:rPr>
        <w:t>字</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地</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址</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40"/>
          <w:sz w:val="20"/>
          <w:szCs w:val="20"/>
          <w:highlight w:val="none"/>
        </w:rPr>
        <w:t xml:space="preserve"> </w:t>
      </w:r>
      <w:r>
        <w:rPr>
          <w:rFonts w:ascii="宋体" w:hAnsi="宋体" w:eastAsia="宋体" w:cs="宋体"/>
          <w:color w:val="auto"/>
          <w:sz w:val="20"/>
          <w:szCs w:val="20"/>
          <w:highlight w:val="none"/>
          <w:u w:val="single" w:color="auto"/>
        </w:rPr>
        <w:t xml:space="preserve">                            </w:t>
      </w:r>
    </w:p>
    <w:p w14:paraId="6216A3A8">
      <w:pPr>
        <w:spacing w:before="23" w:line="470" w:lineRule="auto"/>
        <w:ind w:left="3285" w:right="2118" w:firstLine="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邮</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政</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编</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码</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7"/>
          <w:sz w:val="20"/>
          <w:szCs w:val="20"/>
          <w:highlight w:val="none"/>
        </w:rPr>
        <w:t>电</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话</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9"/>
          <w:sz w:val="20"/>
          <w:szCs w:val="20"/>
          <w:highlight w:val="none"/>
        </w:rPr>
        <w:t xml:space="preserve"> </w:t>
      </w:r>
      <w:r>
        <w:rPr>
          <w:rFonts w:ascii="宋体" w:hAnsi="宋体" w:eastAsia="宋体" w:cs="宋体"/>
          <w:color w:val="auto"/>
          <w:spacing w:val="-8"/>
          <w:sz w:val="20"/>
          <w:szCs w:val="20"/>
          <w:highlight w:val="none"/>
        </w:rPr>
        <w:t>传</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真</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39"/>
          <w:sz w:val="20"/>
          <w:szCs w:val="20"/>
          <w:highlight w:val="none"/>
        </w:rPr>
        <w:t xml:space="preserve"> </w:t>
      </w:r>
      <w:r>
        <w:rPr>
          <w:rFonts w:ascii="宋体" w:hAnsi="宋体" w:eastAsia="宋体" w:cs="宋体"/>
          <w:color w:val="auto"/>
          <w:sz w:val="20"/>
          <w:szCs w:val="20"/>
          <w:highlight w:val="none"/>
          <w:u w:val="single" w:color="auto"/>
        </w:rPr>
        <w:t xml:space="preserve">                            </w:t>
      </w:r>
    </w:p>
    <w:p w14:paraId="4D2FDA45">
      <w:pPr>
        <w:tabs>
          <w:tab w:val="left" w:pos="5560"/>
        </w:tabs>
        <w:spacing w:before="33" w:line="228" w:lineRule="auto"/>
        <w:ind w:left="411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9"/>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44"/>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44"/>
          <w:sz w:val="20"/>
          <w:szCs w:val="20"/>
          <w:highlight w:val="none"/>
        </w:rPr>
        <w:t xml:space="preserve"> </w:t>
      </w:r>
      <w:r>
        <w:rPr>
          <w:rFonts w:ascii="宋体" w:hAnsi="宋体" w:eastAsia="宋体" w:cs="宋体"/>
          <w:color w:val="auto"/>
          <w:spacing w:val="20"/>
          <w:sz w:val="20"/>
          <w:szCs w:val="20"/>
          <w:highlight w:val="none"/>
          <w:u w:val="single" w:color="auto"/>
        </w:rPr>
        <w:t xml:space="preserve">    </w:t>
      </w:r>
      <w:r>
        <w:rPr>
          <w:rFonts w:ascii="宋体" w:hAnsi="宋体" w:eastAsia="宋体" w:cs="宋体"/>
          <w:color w:val="auto"/>
          <w:spacing w:val="-52"/>
          <w:sz w:val="20"/>
          <w:szCs w:val="20"/>
          <w:highlight w:val="none"/>
        </w:rPr>
        <w:t xml:space="preserve"> </w:t>
      </w:r>
      <w:r>
        <w:rPr>
          <w:rFonts w:ascii="宋体" w:hAnsi="宋体" w:eastAsia="宋体" w:cs="宋体"/>
          <w:color w:val="auto"/>
          <w:spacing w:val="-2"/>
          <w:sz w:val="20"/>
          <w:szCs w:val="20"/>
          <w:highlight w:val="none"/>
        </w:rPr>
        <w:t>日</w:t>
      </w:r>
    </w:p>
    <w:p w14:paraId="78FBFFF5">
      <w:pPr>
        <w:pStyle w:val="2"/>
        <w:spacing w:line="279" w:lineRule="auto"/>
        <w:rPr>
          <w:color w:val="auto"/>
          <w:highlight w:val="none"/>
        </w:rPr>
      </w:pPr>
    </w:p>
    <w:p w14:paraId="438ABD12">
      <w:pPr>
        <w:spacing w:before="66" w:line="227" w:lineRule="auto"/>
        <w:ind w:left="2898"/>
        <w:outlineLvl w:val="0"/>
        <w:rPr>
          <w:rFonts w:ascii="宋体" w:hAnsi="宋体" w:eastAsia="宋体" w:cs="宋体"/>
          <w:color w:val="auto"/>
          <w:spacing w:val="8"/>
          <w:sz w:val="20"/>
          <w:szCs w:val="20"/>
          <w:highlight w:val="none"/>
        </w:rPr>
      </w:pPr>
      <w:bookmarkStart w:id="24" w:name="_Toc29768"/>
      <w:r>
        <w:rPr>
          <w:rFonts w:ascii="宋体" w:hAnsi="宋体" w:eastAsia="宋体" w:cs="宋体"/>
          <w:color w:val="auto"/>
          <w:spacing w:val="8"/>
          <w:sz w:val="20"/>
          <w:szCs w:val="20"/>
          <w:highlight w:val="none"/>
        </w:rPr>
        <w:t>注：委托代理人应付授权委托书。</w:t>
      </w:r>
      <w:bookmarkEnd w:id="24"/>
    </w:p>
    <w:p w14:paraId="13E7B95C">
      <w:pPr>
        <w:spacing w:before="66" w:line="227" w:lineRule="auto"/>
        <w:ind w:left="2898"/>
        <w:outlineLvl w:val="0"/>
        <w:rPr>
          <w:rFonts w:ascii="宋体" w:hAnsi="宋体" w:eastAsia="宋体" w:cs="宋体"/>
          <w:color w:val="auto"/>
          <w:spacing w:val="8"/>
          <w:sz w:val="20"/>
          <w:szCs w:val="20"/>
          <w:highlight w:val="none"/>
        </w:rPr>
      </w:pPr>
    </w:p>
    <w:p w14:paraId="3B6BF084">
      <w:pPr>
        <w:numPr>
          <w:ilvl w:val="0"/>
          <w:numId w:val="2"/>
        </w:numPr>
        <w:spacing w:before="66" w:line="227" w:lineRule="auto"/>
        <w:ind w:left="2898"/>
        <w:outlineLvl w:val="0"/>
        <w:rPr>
          <w:rFonts w:hint="eastAsia" w:ascii="宋体" w:hAnsi="宋体" w:eastAsia="宋体" w:cs="宋体"/>
          <w:b/>
          <w:bCs/>
          <w:color w:val="auto"/>
          <w:spacing w:val="8"/>
          <w:sz w:val="36"/>
          <w:szCs w:val="36"/>
          <w:highlight w:val="none"/>
          <w:lang w:val="en-US" w:eastAsia="zh-CN"/>
        </w:rPr>
      </w:pPr>
      <w:r>
        <w:rPr>
          <w:rFonts w:hint="eastAsia" w:ascii="宋体" w:hAnsi="宋体" w:eastAsia="宋体" w:cs="宋体"/>
          <w:b/>
          <w:bCs/>
          <w:color w:val="auto"/>
          <w:spacing w:val="8"/>
          <w:sz w:val="36"/>
          <w:szCs w:val="36"/>
          <w:highlight w:val="none"/>
          <w:lang w:val="en-US" w:eastAsia="zh-CN"/>
        </w:rPr>
        <w:t xml:space="preserve"> </w:t>
      </w:r>
      <w:bookmarkStart w:id="25" w:name="_Toc26172"/>
      <w:r>
        <w:rPr>
          <w:rFonts w:hint="eastAsia" w:ascii="宋体" w:hAnsi="宋体" w:eastAsia="宋体" w:cs="宋体"/>
          <w:b/>
          <w:bCs/>
          <w:color w:val="auto"/>
          <w:spacing w:val="8"/>
          <w:sz w:val="36"/>
          <w:szCs w:val="36"/>
          <w:highlight w:val="none"/>
          <w:lang w:val="en-US" w:eastAsia="zh-CN"/>
        </w:rPr>
        <w:t>技术标准和要求</w:t>
      </w:r>
      <w:bookmarkEnd w:id="25"/>
    </w:p>
    <w:p w14:paraId="07AF318A">
      <w:pPr>
        <w:numPr>
          <w:ilvl w:val="0"/>
          <w:numId w:val="0"/>
        </w:numPr>
        <w:kinsoku w:val="0"/>
        <w:autoSpaceDE w:val="0"/>
        <w:autoSpaceDN w:val="0"/>
        <w:adjustRightInd w:val="0"/>
        <w:snapToGrid w:val="0"/>
        <w:spacing w:line="240" w:lineRule="auto"/>
        <w:jc w:val="left"/>
        <w:textAlignment w:val="baseline"/>
        <w:outlineLvl w:val="0"/>
        <w:rPr>
          <w:rFonts w:hint="default" w:ascii="宋体" w:hAnsi="宋体" w:eastAsia="宋体" w:cs="宋体"/>
          <w:color w:val="auto"/>
          <w:spacing w:val="8"/>
          <w:sz w:val="28"/>
          <w:szCs w:val="28"/>
          <w:highlight w:val="none"/>
          <w:lang w:val="en-US" w:eastAsia="zh-CN"/>
        </w:rPr>
      </w:pPr>
    </w:p>
    <w:p w14:paraId="1B90EF4D">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1、项目名称: 伊宁市潘津镇2025年以工代赈示范工程水利配套项目</w:t>
      </w:r>
    </w:p>
    <w:p w14:paraId="1E8668D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主要建设内容和规模:①新建排洪渠道2100米及相关配套附属建筑物29座，其中:格宾石笼渠道1060米，混凝土渠道1040米，桥涵22座(含户前桥)，谷坊7座；②新建过水路面3处；③新建及改建渠道总长10000米及配套建筑物63座，其中：UD80渠道3000米，UD60渠道4130米，UD40渠道2150米，梯形渠道(上口3m)720米，渡槽1座，分水闸30座，涵管桥32处。（包含工程量清单范围内全部内容）。</w:t>
      </w:r>
    </w:p>
    <w:p w14:paraId="08E402A2">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本工程的工程量清单范围内的全部工作内容。</w:t>
      </w:r>
    </w:p>
    <w:p w14:paraId="48DB35D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3.建设地点:伊宁市潘津镇。</w:t>
      </w:r>
    </w:p>
    <w:p w14:paraId="402FFDA0">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4.建设单位:伊宁市潘津镇人民政府</w:t>
      </w:r>
    </w:p>
    <w:p w14:paraId="1FE37C1C">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5.资金来源:中央预算内资金以工代赈</w:t>
      </w:r>
    </w:p>
    <w:p w14:paraId="51AB566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6.施工工期: 100日历天。</w:t>
      </w:r>
    </w:p>
    <w:p w14:paraId="0166E1AF">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7.计划工期:2025年7月5日至2025年10月13日，总工期:100日历天。(具体以签订合同为准)</w:t>
      </w:r>
    </w:p>
    <w:p w14:paraId="428B980E">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8.项目质量标准:合格。</w:t>
      </w:r>
    </w:p>
    <w:p w14:paraId="634653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各专业严格执行国家相关质量验收标准及有关操作规程。</w:t>
      </w:r>
    </w:p>
    <w:p w14:paraId="6414F1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质量等级要求合格;并确保通过政府监督部门的审查和验收。</w:t>
      </w:r>
    </w:p>
    <w:p w14:paraId="1D30F611">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9.付款方式:具体以甲乙双方签订合同为准。</w:t>
      </w:r>
    </w:p>
    <w:p w14:paraId="7ACA2FC9">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10、报价方式:工程量清单报价</w:t>
      </w:r>
    </w:p>
    <w:p w14:paraId="6A3DC1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工程量计算依据:要求投标人认真理解施工图纸，核实工程内容及工程量，如有异议可句甲方申请答疑，未提出异议的投标单位就认为对施工图纸、招标文件及工程量清单内容全部认可。根据清单及要求，认真核实工程内容。报价中要考虑清单中未提供工程量的项目。</w:t>
      </w:r>
    </w:p>
    <w:p w14:paraId="1C6315A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②工程竣工验收合格后，承包方需在竣工验收合格之日起叁个月内提交全部工程资料，工程结算报送财政进行审计，最终以甲方审定的结算价结算价准;</w:t>
      </w:r>
    </w:p>
    <w:p w14:paraId="2A3F19EF">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11、材料的要求:</w:t>
      </w:r>
    </w:p>
    <w:p w14:paraId="5B508308">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工程上禁止使用伪劣材料，所有主材进场后经监理方、使用方、建设项目管理方验收合格后方能施工。</w:t>
      </w:r>
    </w:p>
    <w:p w14:paraId="7C4A317E">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二、建设要求</w:t>
      </w:r>
    </w:p>
    <w:p w14:paraId="00439FF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项目的建设符合国家、自治区以工代赈项目要求和标准，可有效带动乡村群众就地就近就业增收，通过以工代赈项目实施，可进一步提升乡村群众的就业技能培训，提升稳定就业几率，对乡村农业发展有着重大示范带动作用。</w:t>
      </w:r>
      <w:bookmarkStart w:id="26" w:name="bookmark15"/>
      <w:bookmarkEnd w:id="26"/>
    </w:p>
    <w:p w14:paraId="7633B6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2.本工程总投资为7980000.00元，其中须发放劳务报酬278万元,占投入以工代赈资金的34.84%，并尽可能提高劳务报酬发放比例。</w:t>
      </w:r>
    </w:p>
    <w:p w14:paraId="7E554E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3.本项目须带动当地群众务工210人，开展技能培训210人，劳务报酬通过“新薪通”平台统一发放。</w:t>
      </w:r>
    </w:p>
    <w:p w14:paraId="59BBD6D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4.本项目采用“公益性基础设施建设+劳务报酬发放+就业技能培训+公益性岗位设置”模式实施，切实发挥本项目赈济作用，促进当地群众就地就近就业增收。在保证工程质量的前提下，按照“能用人工尽量不用机械，能组织当地群众务工尽量不用专业施工队伍”，加强当地群众务工组织，及时足额发放劳务报酬，且不得将租赁当地群众机械设备等费用计入劳务报酬。</w:t>
      </w:r>
    </w:p>
    <w:p w14:paraId="2D7B929B">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8"/>
          <w:szCs w:val="28"/>
          <w:highlight w:val="none"/>
        </w:rPr>
      </w:pPr>
    </w:p>
    <w:p w14:paraId="5160FABD">
      <w:pPr>
        <w:pStyle w:val="2"/>
        <w:spacing w:line="282" w:lineRule="auto"/>
        <w:rPr>
          <w:rFonts w:hint="eastAsia" w:ascii="宋体" w:hAnsi="宋体" w:eastAsia="宋体" w:cs="宋体"/>
          <w:color w:val="auto"/>
          <w:sz w:val="24"/>
          <w:szCs w:val="24"/>
          <w:highlight w:val="none"/>
        </w:rPr>
      </w:pPr>
    </w:p>
    <w:p w14:paraId="394C1EA4">
      <w:pPr>
        <w:pStyle w:val="2"/>
        <w:spacing w:line="282" w:lineRule="auto"/>
        <w:rPr>
          <w:rFonts w:hint="eastAsia" w:ascii="宋体" w:hAnsi="宋体" w:eastAsia="宋体" w:cs="宋体"/>
          <w:color w:val="auto"/>
          <w:sz w:val="24"/>
          <w:szCs w:val="24"/>
          <w:highlight w:val="none"/>
        </w:rPr>
      </w:pPr>
    </w:p>
    <w:p w14:paraId="1F731CE0">
      <w:pPr>
        <w:pStyle w:val="2"/>
        <w:spacing w:line="282" w:lineRule="auto"/>
        <w:rPr>
          <w:rFonts w:hint="eastAsia" w:ascii="宋体" w:hAnsi="宋体" w:eastAsia="宋体" w:cs="宋体"/>
          <w:color w:val="auto"/>
          <w:sz w:val="24"/>
          <w:szCs w:val="24"/>
          <w:highlight w:val="none"/>
        </w:rPr>
      </w:pPr>
    </w:p>
    <w:p w14:paraId="62DC38D9">
      <w:pPr>
        <w:pStyle w:val="2"/>
        <w:spacing w:line="282" w:lineRule="auto"/>
        <w:rPr>
          <w:rFonts w:hint="eastAsia" w:ascii="宋体" w:hAnsi="宋体" w:eastAsia="宋体" w:cs="宋体"/>
          <w:color w:val="auto"/>
          <w:sz w:val="24"/>
          <w:szCs w:val="24"/>
          <w:highlight w:val="none"/>
        </w:rPr>
      </w:pPr>
    </w:p>
    <w:p w14:paraId="7F626FE4">
      <w:pPr>
        <w:pStyle w:val="2"/>
        <w:spacing w:line="282" w:lineRule="auto"/>
        <w:rPr>
          <w:rFonts w:hint="eastAsia" w:ascii="宋体" w:hAnsi="宋体" w:eastAsia="宋体" w:cs="宋体"/>
          <w:color w:val="auto"/>
          <w:sz w:val="24"/>
          <w:szCs w:val="24"/>
          <w:highlight w:val="none"/>
        </w:rPr>
      </w:pPr>
    </w:p>
    <w:p w14:paraId="1D990959">
      <w:pPr>
        <w:pStyle w:val="2"/>
        <w:spacing w:line="282" w:lineRule="auto"/>
        <w:rPr>
          <w:rFonts w:hint="eastAsia" w:ascii="宋体" w:hAnsi="宋体" w:eastAsia="宋体" w:cs="宋体"/>
          <w:color w:val="auto"/>
          <w:sz w:val="24"/>
          <w:szCs w:val="24"/>
          <w:highlight w:val="none"/>
        </w:rPr>
      </w:pPr>
    </w:p>
    <w:p w14:paraId="2CF240C1">
      <w:pPr>
        <w:pStyle w:val="2"/>
        <w:spacing w:line="282" w:lineRule="auto"/>
        <w:rPr>
          <w:rFonts w:hint="eastAsia" w:ascii="宋体" w:hAnsi="宋体" w:eastAsia="宋体" w:cs="宋体"/>
          <w:color w:val="auto"/>
          <w:sz w:val="24"/>
          <w:szCs w:val="24"/>
          <w:highlight w:val="none"/>
        </w:rPr>
      </w:pPr>
    </w:p>
    <w:p w14:paraId="6F30D125">
      <w:pPr>
        <w:pStyle w:val="2"/>
        <w:spacing w:line="282" w:lineRule="auto"/>
        <w:rPr>
          <w:rFonts w:hint="eastAsia" w:ascii="宋体" w:hAnsi="宋体" w:eastAsia="宋体" w:cs="宋体"/>
          <w:color w:val="auto"/>
          <w:sz w:val="24"/>
          <w:szCs w:val="24"/>
          <w:highlight w:val="none"/>
        </w:rPr>
      </w:pPr>
    </w:p>
    <w:p w14:paraId="0F8662DA">
      <w:pPr>
        <w:pStyle w:val="2"/>
        <w:spacing w:line="282" w:lineRule="auto"/>
        <w:rPr>
          <w:rFonts w:hint="eastAsia" w:ascii="宋体" w:hAnsi="宋体" w:eastAsia="宋体" w:cs="宋体"/>
          <w:color w:val="auto"/>
          <w:sz w:val="24"/>
          <w:szCs w:val="24"/>
          <w:highlight w:val="none"/>
        </w:rPr>
      </w:pPr>
    </w:p>
    <w:p w14:paraId="5F1E503E">
      <w:pPr>
        <w:pStyle w:val="2"/>
        <w:spacing w:line="282" w:lineRule="auto"/>
        <w:rPr>
          <w:rFonts w:hint="eastAsia" w:ascii="宋体" w:hAnsi="宋体" w:eastAsia="宋体" w:cs="宋体"/>
          <w:color w:val="auto"/>
          <w:sz w:val="24"/>
          <w:szCs w:val="24"/>
          <w:highlight w:val="none"/>
        </w:rPr>
      </w:pPr>
    </w:p>
    <w:p w14:paraId="0B694DE4">
      <w:pPr>
        <w:pStyle w:val="2"/>
        <w:spacing w:line="282" w:lineRule="auto"/>
        <w:rPr>
          <w:rFonts w:hint="eastAsia" w:ascii="宋体" w:hAnsi="宋体" w:eastAsia="宋体" w:cs="宋体"/>
          <w:color w:val="auto"/>
          <w:sz w:val="24"/>
          <w:szCs w:val="24"/>
          <w:highlight w:val="none"/>
        </w:rPr>
      </w:pPr>
    </w:p>
    <w:p w14:paraId="08AFA722">
      <w:pPr>
        <w:pStyle w:val="2"/>
        <w:spacing w:line="282" w:lineRule="auto"/>
        <w:rPr>
          <w:rFonts w:hint="eastAsia" w:ascii="宋体" w:hAnsi="宋体" w:eastAsia="宋体" w:cs="宋体"/>
          <w:color w:val="auto"/>
          <w:sz w:val="24"/>
          <w:szCs w:val="24"/>
          <w:highlight w:val="none"/>
        </w:rPr>
      </w:pPr>
    </w:p>
    <w:p w14:paraId="4596E514">
      <w:pPr>
        <w:pStyle w:val="2"/>
        <w:spacing w:line="282" w:lineRule="auto"/>
        <w:rPr>
          <w:rFonts w:hint="eastAsia" w:ascii="宋体" w:hAnsi="宋体" w:eastAsia="宋体" w:cs="宋体"/>
          <w:color w:val="auto"/>
          <w:sz w:val="24"/>
          <w:szCs w:val="24"/>
          <w:highlight w:val="none"/>
        </w:rPr>
      </w:pPr>
    </w:p>
    <w:p w14:paraId="50D08864">
      <w:pPr>
        <w:pStyle w:val="2"/>
        <w:spacing w:line="282" w:lineRule="auto"/>
        <w:rPr>
          <w:rFonts w:hint="eastAsia" w:ascii="宋体" w:hAnsi="宋体" w:eastAsia="宋体" w:cs="宋体"/>
          <w:color w:val="auto"/>
          <w:sz w:val="24"/>
          <w:szCs w:val="24"/>
          <w:highlight w:val="none"/>
        </w:rPr>
      </w:pPr>
    </w:p>
    <w:p w14:paraId="61FACF26">
      <w:pPr>
        <w:pStyle w:val="2"/>
        <w:spacing w:line="282" w:lineRule="auto"/>
        <w:rPr>
          <w:rFonts w:hint="eastAsia" w:ascii="宋体" w:hAnsi="宋体" w:eastAsia="宋体" w:cs="宋体"/>
          <w:color w:val="auto"/>
          <w:sz w:val="24"/>
          <w:szCs w:val="24"/>
          <w:highlight w:val="none"/>
        </w:rPr>
      </w:pPr>
    </w:p>
    <w:p w14:paraId="5A4077E6">
      <w:pPr>
        <w:pStyle w:val="2"/>
        <w:spacing w:line="282" w:lineRule="auto"/>
        <w:rPr>
          <w:rFonts w:hint="eastAsia" w:ascii="宋体" w:hAnsi="宋体" w:eastAsia="宋体" w:cs="宋体"/>
          <w:color w:val="auto"/>
          <w:sz w:val="24"/>
          <w:szCs w:val="24"/>
          <w:highlight w:val="none"/>
        </w:rPr>
      </w:pPr>
    </w:p>
    <w:p w14:paraId="33E33920">
      <w:pPr>
        <w:pStyle w:val="2"/>
        <w:spacing w:line="282" w:lineRule="auto"/>
        <w:rPr>
          <w:rFonts w:hint="eastAsia" w:ascii="宋体" w:hAnsi="宋体" w:eastAsia="宋体" w:cs="宋体"/>
          <w:color w:val="auto"/>
          <w:sz w:val="24"/>
          <w:szCs w:val="24"/>
          <w:highlight w:val="none"/>
          <w:lang w:val="en-US" w:eastAsia="zh-CN"/>
        </w:rPr>
      </w:pPr>
    </w:p>
    <w:p w14:paraId="73D82C20">
      <w:pPr>
        <w:spacing w:before="101" w:line="224" w:lineRule="auto"/>
        <w:jc w:val="center"/>
        <w:outlineLvl w:val="0"/>
        <w:rPr>
          <w:rFonts w:hint="eastAsia" w:ascii="宋体" w:hAnsi="宋体" w:eastAsia="宋体" w:cs="宋体"/>
          <w:b/>
          <w:bCs/>
          <w:color w:val="auto"/>
          <w:spacing w:val="5"/>
          <w:sz w:val="31"/>
          <w:szCs w:val="31"/>
          <w:highlight w:val="none"/>
          <w:lang w:val="en-US" w:eastAsia="zh-CN"/>
        </w:rPr>
      </w:pPr>
      <w:bookmarkStart w:id="27" w:name="_Toc31368"/>
      <w:r>
        <w:rPr>
          <w:rFonts w:ascii="宋体" w:hAnsi="宋体" w:eastAsia="宋体" w:cs="宋体"/>
          <w:b/>
          <w:bCs/>
          <w:color w:val="auto"/>
          <w:spacing w:val="5"/>
          <w:sz w:val="31"/>
          <w:szCs w:val="31"/>
          <w:highlight w:val="none"/>
        </w:rPr>
        <w:t>第七章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工程量清单</w:t>
      </w:r>
      <w:bookmarkEnd w:id="27"/>
      <w:bookmarkStart w:id="28" w:name="_Toc19356"/>
      <w:r>
        <w:rPr>
          <w:rFonts w:hint="eastAsia" w:ascii="宋体" w:hAnsi="宋体" w:eastAsia="宋体" w:cs="宋体"/>
          <w:b/>
          <w:bCs/>
          <w:color w:val="auto"/>
          <w:spacing w:val="5"/>
          <w:sz w:val="31"/>
          <w:szCs w:val="31"/>
          <w:highlight w:val="none"/>
          <w:lang w:val="en-US" w:eastAsia="zh-CN"/>
        </w:rPr>
        <w:t xml:space="preserve">   </w:t>
      </w:r>
    </w:p>
    <w:p w14:paraId="4B3BA7D6">
      <w:pPr>
        <w:spacing w:before="101" w:line="224" w:lineRule="auto"/>
        <w:jc w:val="center"/>
        <w:outlineLvl w:val="0"/>
        <w:rPr>
          <w:rFonts w:hint="default" w:ascii="宋体" w:hAnsi="宋体" w:eastAsia="宋体" w:cs="宋体"/>
          <w:b/>
          <w:bCs/>
          <w:color w:val="auto"/>
          <w:spacing w:val="5"/>
          <w:sz w:val="31"/>
          <w:szCs w:val="31"/>
          <w:highlight w:val="none"/>
          <w:lang w:val="en-US" w:eastAsia="zh-CN"/>
        </w:rPr>
      </w:pPr>
      <w:r>
        <w:rPr>
          <w:rFonts w:hint="eastAsia" w:ascii="宋体" w:hAnsi="宋体" w:eastAsia="宋体" w:cs="宋体"/>
          <w:b/>
          <w:bCs/>
          <w:color w:val="auto"/>
          <w:spacing w:val="5"/>
          <w:sz w:val="31"/>
          <w:szCs w:val="31"/>
          <w:highlight w:val="none"/>
          <w:lang w:val="en-US" w:eastAsia="zh-CN"/>
        </w:rPr>
        <w:t>（另卷</w:t>
      </w:r>
      <w:bookmarkEnd w:id="28"/>
      <w:r>
        <w:rPr>
          <w:rFonts w:hint="eastAsia" w:ascii="宋体" w:hAnsi="宋体" w:eastAsia="宋体" w:cs="宋体"/>
          <w:b/>
          <w:bCs/>
          <w:color w:val="auto"/>
          <w:spacing w:val="5"/>
          <w:sz w:val="31"/>
          <w:szCs w:val="31"/>
          <w:highlight w:val="none"/>
          <w:lang w:val="en-US" w:eastAsia="zh-CN"/>
        </w:rPr>
        <w:t>）</w:t>
      </w:r>
    </w:p>
    <w:p w14:paraId="40964534">
      <w:pPr>
        <w:jc w:val="left"/>
        <w:rPr>
          <w:rFonts w:hint="eastAsia"/>
          <w:color w:val="auto"/>
          <w:highlight w:val="none"/>
        </w:rPr>
      </w:pPr>
    </w:p>
    <w:p w14:paraId="6B403327">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总说明</w:t>
      </w:r>
    </w:p>
    <w:p w14:paraId="7B80FA2B">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一、工程概况</w:t>
      </w:r>
    </w:p>
    <w:p w14:paraId="768038D4">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项目主要建设内容为：1、新建排洪渠道2100米及相关配套附属建筑物29座，其中:格宾石笼渠道1060米，混凝土渠道1040米，桥涵22座(含户前桥)，谷坊7座;2.新建过水路面3处;3、新建及改建渠道总长10000米及配套建筑物 63 座，其中:UD80 渠道 3000 米，UD60 渠道 4130 米,UD40 渠道 2150 米，梯形渠道(上口3m)720 米，渡槽1座,分水闸 30座，涵管桥 32处。</w:t>
      </w:r>
    </w:p>
    <w:p w14:paraId="3F63B231">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二、控制价工程量编制原则及依据                                                                                 1、工程量清单、合同条款、技术条款和图纸等招标文件一起参照阅读。</w:t>
      </w:r>
    </w:p>
    <w:p w14:paraId="6E872033">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2、除合同另有规定外，工程量清单中的单价和合价包括由直接费、间接费、其它费用、税金等全部</w:t>
      </w:r>
      <w:bookmarkStart w:id="38" w:name="_GoBack"/>
      <w:bookmarkEnd w:id="38"/>
      <w:r>
        <w:rPr>
          <w:rFonts w:hint="eastAsia" w:asciiTheme="minorEastAsia" w:hAnsiTheme="minorEastAsia" w:eastAsiaTheme="minorEastAsia" w:cstheme="minorEastAsia"/>
          <w:color w:val="auto"/>
          <w:sz w:val="24"/>
          <w:szCs w:val="24"/>
        </w:rPr>
        <w:t xml:space="preserve">费用和要求获得的利润以及应由承包人承担的义务、责任和风险所发生的一切费用。                                                                   </w:t>
      </w:r>
    </w:p>
    <w:p w14:paraId="33B1BC17">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3、施工设备和人身意外伤害险等应由投标人承担的保险费部分一律由投标人根据《通用合同条款》的规定自行测算，并摊入有关项目内，发包人不另行支付。有关上述四项保险费的计量和支付办法规定在《技术条款》第1章内。                                                                            4、工程量清单中各项目的工作内容和要求及其计量和支付的规定详见《技术条款》有关部分。                                                                                   5、投标报价汇总表中的暂列金是用于签订合同时尚未确定或不可预见项目的预备金，应由发包人填写，并按《通用合同条款》的规定使用。                                                                    6、工程量清单中有计算或汇总表的算术错误时，应按以下原则改正：                                         （1）工程量清单中任一项目的单价乘其工程量的乘积与该项目的合价不吻合时，应以单价为准，改正合价。但经合同双方共同核对后认为单价有明显的小数点错位时，则应以合价为准，改正单价。                                                                        （2）若分组工程量清单中的单价与单价分析表中的单价不一致时，以分组工程量清单中的单价为准。                                                                                 7、工程量依据甲方提供的设计图纸的内容及图纸之外甲方确认的工程量。                                                                                                                                                           </w:t>
      </w:r>
    </w:p>
    <w:p w14:paraId="045A47BA">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三、定额采用</w:t>
      </w:r>
    </w:p>
    <w:p w14:paraId="5A124902">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highlight w:val="none"/>
        </w:rPr>
        <w:t>编制定额采用水利部水总【</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323</w:t>
      </w:r>
      <w:r>
        <w:rPr>
          <w:rFonts w:hint="eastAsia" w:asciiTheme="minorEastAsia" w:hAnsiTheme="minorEastAsia" w:eastAsiaTheme="minorEastAsia" w:cstheme="minorEastAsia"/>
          <w:color w:val="auto"/>
          <w:sz w:val="24"/>
          <w:szCs w:val="24"/>
          <w:highlight w:val="none"/>
        </w:rPr>
        <w:t>号文发布的《水利建筑工程预算定额》，水利部水总【</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323</w:t>
      </w:r>
      <w:r>
        <w:rPr>
          <w:rFonts w:hint="eastAsia" w:asciiTheme="minorEastAsia" w:hAnsiTheme="minorEastAsia" w:eastAsiaTheme="minorEastAsia" w:cstheme="minorEastAsia"/>
          <w:color w:val="auto"/>
          <w:sz w:val="24"/>
          <w:szCs w:val="24"/>
          <w:highlight w:val="none"/>
        </w:rPr>
        <w:t>号文发布的《水利工程施工机械台时费定额》，水利部水总[</w:t>
      </w:r>
      <w:r>
        <w:rPr>
          <w:rFonts w:hint="eastAsia" w:asciiTheme="minorEastAsia" w:hAnsiTheme="minorEastAsia" w:eastAsiaTheme="minorEastAsia" w:cstheme="minorEastAsia"/>
          <w:color w:val="auto"/>
          <w:sz w:val="24"/>
          <w:szCs w:val="24"/>
          <w:highlight w:val="none"/>
          <w:lang w:val="en-US" w:eastAsia="zh-CN"/>
        </w:rPr>
        <w:t>2024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323</w:t>
      </w:r>
      <w:r>
        <w:rPr>
          <w:rFonts w:hint="eastAsia" w:asciiTheme="minorEastAsia" w:hAnsiTheme="minorEastAsia" w:eastAsiaTheme="minorEastAsia" w:cstheme="minorEastAsia"/>
          <w:color w:val="auto"/>
          <w:sz w:val="24"/>
          <w:szCs w:val="24"/>
          <w:highlight w:val="none"/>
        </w:rPr>
        <w:t>号文颁布的《水利工程设计概（估）预算编制规定》</w:t>
      </w:r>
      <w:r>
        <w:rPr>
          <w:rFonts w:hint="eastAsia" w:asciiTheme="minorEastAsia" w:hAnsiTheme="minorEastAsia" w:eastAsiaTheme="minorEastAsia" w:cstheme="minorEastAsia"/>
          <w:color w:val="auto"/>
          <w:sz w:val="24"/>
          <w:szCs w:val="24"/>
          <w:highlight w:val="none"/>
          <w:lang w:eastAsia="zh-CN"/>
        </w:rPr>
        <w:t>。</w:t>
      </w:r>
    </w:p>
    <w:p w14:paraId="0E3E2278">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2、主要依据办财务函〔2019〕448 号水利部办公厅调整水利工程计价依据增值税计算标准的通知，水利厅办公厅关于调整水利工程计价依据安全生产措施费计算标准的通知（办水总函[2023]38号）。</w:t>
      </w:r>
    </w:p>
    <w:p w14:paraId="5C76D0D4">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3、与本工程有关的标准（包括标准图集）、规范、技术资料。</w:t>
      </w:r>
    </w:p>
    <w:p w14:paraId="6F734F3B">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4、水总[20</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323</w:t>
      </w:r>
      <w:r>
        <w:rPr>
          <w:rFonts w:hint="eastAsia" w:asciiTheme="minorEastAsia" w:hAnsiTheme="minorEastAsia" w:eastAsiaTheme="minorEastAsia" w:cstheme="minorEastAsia"/>
          <w:color w:val="auto"/>
          <w:sz w:val="24"/>
          <w:szCs w:val="24"/>
          <w:highlight w:val="none"/>
        </w:rPr>
        <w:t>号文</w:t>
      </w:r>
      <w:r>
        <w:rPr>
          <w:rFonts w:hint="eastAsia" w:asciiTheme="minorEastAsia" w:hAnsiTheme="minorEastAsia" w:eastAsiaTheme="minorEastAsia" w:cstheme="minorEastAsia"/>
          <w:color w:val="auto"/>
          <w:sz w:val="24"/>
          <w:szCs w:val="24"/>
        </w:rPr>
        <w:t>的有关规定，工程等级费率按河道工程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田间工程</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计取。</w:t>
      </w:r>
    </w:p>
    <w:p w14:paraId="6033694A">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5、运率计算执行自治区交通厅新交造价[2021]1号计取。</w:t>
      </w:r>
    </w:p>
    <w:p w14:paraId="040FED1E">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6、其他施工临时工程取费标准。</w:t>
      </w:r>
    </w:p>
    <w:p w14:paraId="64084C86">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四、控制价单价计算依据</w:t>
      </w:r>
    </w:p>
    <w:p w14:paraId="131D93C3">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1、人工预算单价：人工预算单价执行水总[</w:t>
      </w:r>
      <w:r>
        <w:rPr>
          <w:rFonts w:hint="eastAsia" w:asciiTheme="minorEastAsia" w:hAnsiTheme="minorEastAsia" w:eastAsiaTheme="minorEastAsia" w:cstheme="minorEastAsia"/>
          <w:color w:val="auto"/>
          <w:sz w:val="24"/>
          <w:szCs w:val="24"/>
          <w:lang w:val="en-US" w:eastAsia="zh-CN"/>
        </w:rPr>
        <w:t>2024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323</w:t>
      </w:r>
      <w:r>
        <w:rPr>
          <w:rFonts w:hint="eastAsia" w:asciiTheme="minorEastAsia" w:hAnsiTheme="minorEastAsia" w:eastAsiaTheme="minorEastAsia" w:cstheme="minorEastAsia"/>
          <w:color w:val="auto"/>
          <w:sz w:val="24"/>
          <w:szCs w:val="24"/>
        </w:rPr>
        <w:t>号文，伊宁市按三类区计取：其中工长人工预算单价是</w:t>
      </w:r>
      <w:r>
        <w:rPr>
          <w:rFonts w:hint="eastAsia" w:asciiTheme="minorEastAsia" w:hAnsiTheme="minorEastAsia" w:eastAsiaTheme="minorEastAsia" w:cstheme="minorEastAsia"/>
          <w:color w:val="auto"/>
          <w:sz w:val="24"/>
          <w:szCs w:val="24"/>
          <w:lang w:val="en-US" w:eastAsia="zh-CN"/>
        </w:rPr>
        <w:t>32.01</w:t>
      </w:r>
      <w:r>
        <w:rPr>
          <w:rFonts w:hint="eastAsia" w:asciiTheme="minorEastAsia" w:hAnsiTheme="minorEastAsia" w:eastAsiaTheme="minorEastAsia" w:cstheme="minorEastAsia"/>
          <w:color w:val="auto"/>
          <w:sz w:val="24"/>
          <w:szCs w:val="24"/>
        </w:rPr>
        <w:t>元/工时，高级工人工预算单价是</w:t>
      </w:r>
      <w:r>
        <w:rPr>
          <w:rFonts w:hint="eastAsia" w:asciiTheme="minorEastAsia" w:hAnsiTheme="minorEastAsia" w:eastAsiaTheme="minorEastAsia" w:cstheme="minorEastAsia"/>
          <w:color w:val="auto"/>
          <w:sz w:val="24"/>
          <w:szCs w:val="24"/>
          <w:lang w:val="en-US" w:eastAsia="zh-CN"/>
        </w:rPr>
        <w:t>14.97</w:t>
      </w:r>
      <w:r>
        <w:rPr>
          <w:rFonts w:hint="eastAsia" w:asciiTheme="minorEastAsia" w:hAnsiTheme="minorEastAsia" w:eastAsiaTheme="minorEastAsia" w:cstheme="minorEastAsia"/>
          <w:color w:val="auto"/>
          <w:sz w:val="24"/>
          <w:szCs w:val="24"/>
        </w:rPr>
        <w:t>元/工时，中级工人工预算单价是</w:t>
      </w:r>
      <w:r>
        <w:rPr>
          <w:rFonts w:hint="eastAsia" w:asciiTheme="minorEastAsia" w:hAnsiTheme="minorEastAsia" w:eastAsiaTheme="minorEastAsia" w:cstheme="minorEastAsia"/>
          <w:color w:val="auto"/>
          <w:sz w:val="24"/>
          <w:szCs w:val="24"/>
          <w:lang w:val="en-US" w:eastAsia="zh-CN"/>
        </w:rPr>
        <w:t>12.2</w:t>
      </w:r>
      <w:r>
        <w:rPr>
          <w:rFonts w:hint="eastAsia" w:asciiTheme="minorEastAsia" w:hAnsiTheme="minorEastAsia" w:eastAsiaTheme="minorEastAsia" w:cstheme="minorEastAsia"/>
          <w:color w:val="auto"/>
          <w:sz w:val="24"/>
          <w:szCs w:val="24"/>
        </w:rPr>
        <w:t>元/工时，初级工人工预算单价是</w:t>
      </w:r>
      <w:r>
        <w:rPr>
          <w:rFonts w:hint="eastAsia" w:asciiTheme="minorEastAsia" w:hAnsiTheme="minorEastAsia" w:eastAsiaTheme="minorEastAsia" w:cstheme="minorEastAsia"/>
          <w:color w:val="auto"/>
          <w:sz w:val="24"/>
          <w:szCs w:val="24"/>
          <w:lang w:val="en-US" w:eastAsia="zh-CN"/>
        </w:rPr>
        <w:t>11.38</w:t>
      </w:r>
      <w:r>
        <w:rPr>
          <w:rFonts w:hint="eastAsia" w:asciiTheme="minorEastAsia" w:hAnsiTheme="minorEastAsia" w:eastAsiaTheme="minorEastAsia" w:cstheme="minorEastAsia"/>
          <w:color w:val="auto"/>
          <w:sz w:val="24"/>
          <w:szCs w:val="24"/>
        </w:rPr>
        <w:t>元/工时。</w:t>
      </w:r>
    </w:p>
    <w:p w14:paraId="26CD81A1">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2、主要材料价格：材料价格采用伊犁州伊宁市202</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月份建设工程综合价格信息；</w:t>
      </w:r>
    </w:p>
    <w:p w14:paraId="095A81F2">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3、其它材料价，施工用电、风、水按施工组织设计要求计算，其中风：0.</w:t>
      </w:r>
      <w:r>
        <w:rPr>
          <w:rFonts w:hint="eastAsia" w:asciiTheme="minorEastAsia" w:hAnsiTheme="minorEastAsia" w:eastAsiaTheme="minorEastAsia" w:cstheme="minorEastAsia"/>
          <w:color w:val="auto"/>
          <w:sz w:val="24"/>
          <w:szCs w:val="24"/>
          <w:lang w:val="en-US" w:eastAsia="zh-CN"/>
        </w:rPr>
        <w:t>313</w:t>
      </w:r>
      <w:r>
        <w:rPr>
          <w:rFonts w:hint="eastAsia" w:asciiTheme="minorEastAsia" w:hAnsiTheme="minorEastAsia" w:eastAsiaTheme="minorEastAsia" w:cstheme="minorEastAsia"/>
          <w:color w:val="auto"/>
          <w:sz w:val="24"/>
          <w:szCs w:val="24"/>
        </w:rPr>
        <w:t>，水：</w:t>
      </w:r>
      <w:r>
        <w:rPr>
          <w:rFonts w:hint="eastAsia" w:asciiTheme="minorEastAsia" w:hAnsiTheme="minorEastAsia" w:eastAsiaTheme="minorEastAsia" w:cstheme="minorEastAsia"/>
          <w:color w:val="auto"/>
          <w:sz w:val="24"/>
          <w:szCs w:val="24"/>
          <w:lang w:val="en-US" w:eastAsia="zh-CN"/>
        </w:rPr>
        <w:t>0.781</w:t>
      </w:r>
      <w:r>
        <w:rPr>
          <w:rFonts w:hint="eastAsia" w:asciiTheme="minorEastAsia" w:hAnsiTheme="minorEastAsia" w:eastAsiaTheme="minorEastAsia" w:cstheme="minorEastAsia"/>
          <w:color w:val="auto"/>
          <w:sz w:val="24"/>
          <w:szCs w:val="24"/>
        </w:rPr>
        <w:t>，电：</w:t>
      </w:r>
      <w:r>
        <w:rPr>
          <w:rFonts w:hint="eastAsia" w:asciiTheme="minorEastAsia" w:hAnsiTheme="minorEastAsia" w:eastAsiaTheme="minorEastAsia" w:cstheme="minorEastAsia"/>
          <w:color w:val="auto"/>
          <w:sz w:val="24"/>
          <w:szCs w:val="24"/>
          <w:lang w:val="en-US" w:eastAsia="zh-CN"/>
        </w:rPr>
        <w:t>2.781</w:t>
      </w:r>
      <w:r>
        <w:rPr>
          <w:rFonts w:hint="eastAsia" w:asciiTheme="minorEastAsia" w:hAnsiTheme="minorEastAsia" w:eastAsiaTheme="minorEastAsia" w:cstheme="minorEastAsia"/>
          <w:color w:val="auto"/>
          <w:sz w:val="24"/>
          <w:szCs w:val="24"/>
        </w:rPr>
        <w:t>；</w:t>
      </w:r>
    </w:p>
    <w:p w14:paraId="66F3ABA2">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4、按设计所提混凝土强度、级配、标号，</w:t>
      </w:r>
      <w:r>
        <w:rPr>
          <w:rFonts w:hint="eastAsia" w:asciiTheme="minorEastAsia" w:hAnsiTheme="minorEastAsia" w:eastAsiaTheme="minorEastAsia" w:cstheme="minorEastAsia"/>
          <w:color w:val="auto"/>
          <w:sz w:val="24"/>
          <w:szCs w:val="24"/>
          <w:lang w:val="en-US" w:eastAsia="zh-CN"/>
        </w:rPr>
        <w:t>全部采用商品混凝土。</w:t>
      </w:r>
    </w:p>
    <w:p w14:paraId="74566D8E">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color w:val="auto"/>
          <w:sz w:val="24"/>
          <w:szCs w:val="24"/>
          <w:highlight w:val="none"/>
          <w:lang w:val="en-US" w:eastAsia="zh-CN"/>
        </w:rPr>
      </w:pPr>
    </w:p>
    <w:p w14:paraId="08B1017E">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p>
    <w:p w14:paraId="57C812DE">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p>
    <w:p w14:paraId="3E3FFFA6">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p>
    <w:p w14:paraId="2D0D3DEB">
      <w:pPr>
        <w:keepNext w:val="0"/>
        <w:keepLines w:val="0"/>
        <w:pageBreakBefore w:val="0"/>
        <w:widowControl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color w:val="auto"/>
          <w:sz w:val="24"/>
          <w:szCs w:val="24"/>
          <w:highlight w:val="none"/>
        </w:rPr>
      </w:pPr>
    </w:p>
    <w:p w14:paraId="705CADCC">
      <w:pPr>
        <w:jc w:val="left"/>
        <w:rPr>
          <w:rFonts w:hint="eastAsia"/>
          <w:color w:val="auto"/>
          <w:highlight w:val="none"/>
        </w:rPr>
      </w:pPr>
    </w:p>
    <w:p w14:paraId="10342CA2">
      <w:pPr>
        <w:jc w:val="left"/>
        <w:rPr>
          <w:rFonts w:hint="eastAsia"/>
          <w:color w:val="auto"/>
          <w:highlight w:val="none"/>
        </w:rPr>
      </w:pPr>
    </w:p>
    <w:p w14:paraId="230E3B4F">
      <w:pPr>
        <w:jc w:val="left"/>
        <w:rPr>
          <w:rFonts w:hint="eastAsia"/>
          <w:color w:val="auto"/>
          <w:highlight w:val="none"/>
        </w:rPr>
      </w:pPr>
    </w:p>
    <w:p w14:paraId="3D714E92">
      <w:pPr>
        <w:jc w:val="left"/>
        <w:rPr>
          <w:rFonts w:hint="eastAsia"/>
          <w:color w:val="auto"/>
          <w:highlight w:val="none"/>
        </w:rPr>
      </w:pPr>
    </w:p>
    <w:p w14:paraId="29F39628">
      <w:pPr>
        <w:jc w:val="left"/>
        <w:rPr>
          <w:rFonts w:hint="eastAsia"/>
          <w:color w:val="auto"/>
          <w:highlight w:val="none"/>
        </w:rPr>
      </w:pPr>
    </w:p>
    <w:p w14:paraId="696B3C02">
      <w:pPr>
        <w:pStyle w:val="2"/>
        <w:spacing w:line="282" w:lineRule="auto"/>
        <w:rPr>
          <w:color w:val="auto"/>
          <w:highlight w:val="none"/>
        </w:rPr>
      </w:pPr>
    </w:p>
    <w:p w14:paraId="3010EB02">
      <w:pPr>
        <w:spacing w:before="101" w:line="224" w:lineRule="auto"/>
        <w:ind w:left="2790"/>
        <w:outlineLvl w:val="0"/>
        <w:rPr>
          <w:rFonts w:ascii="宋体" w:hAnsi="宋体" w:eastAsia="宋体" w:cs="宋体"/>
          <w:color w:val="auto"/>
          <w:sz w:val="31"/>
          <w:szCs w:val="31"/>
          <w:highlight w:val="none"/>
        </w:rPr>
      </w:pPr>
      <w:bookmarkStart w:id="29" w:name="_Toc2345"/>
      <w:r>
        <w:rPr>
          <w:rFonts w:ascii="宋体" w:hAnsi="宋体" w:eastAsia="宋体" w:cs="宋体"/>
          <w:b/>
          <w:bCs/>
          <w:color w:val="auto"/>
          <w:spacing w:val="2"/>
          <w:sz w:val="31"/>
          <w:szCs w:val="31"/>
          <w:highlight w:val="none"/>
        </w:rPr>
        <w:t>第八章</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2"/>
          <w:sz w:val="31"/>
          <w:szCs w:val="31"/>
          <w:highlight w:val="none"/>
        </w:rPr>
        <w:t>响应文件格式</w:t>
      </w:r>
      <w:bookmarkEnd w:id="29"/>
    </w:p>
    <w:p w14:paraId="61E1001D">
      <w:pPr>
        <w:spacing w:before="273" w:line="219" w:lineRule="auto"/>
        <w:ind w:left="3008"/>
        <w:outlineLvl w:val="1"/>
        <w:rPr>
          <w:rFonts w:ascii="宋体" w:hAnsi="宋体" w:eastAsia="宋体" w:cs="宋体"/>
          <w:color w:val="auto"/>
          <w:sz w:val="24"/>
          <w:szCs w:val="24"/>
          <w:highlight w:val="none"/>
        </w:rPr>
      </w:pPr>
      <w:bookmarkStart w:id="30" w:name="_Toc28178"/>
      <w:r>
        <w:rPr>
          <w:rFonts w:ascii="宋体" w:hAnsi="宋体" w:eastAsia="宋体" w:cs="宋体"/>
          <w:b/>
          <w:bCs/>
          <w:color w:val="auto"/>
          <w:spacing w:val="-3"/>
          <w:sz w:val="24"/>
          <w:szCs w:val="24"/>
          <w:highlight w:val="none"/>
        </w:rPr>
        <w:t>第一节</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响应文件封面示例</w:t>
      </w:r>
      <w:bookmarkEnd w:id="30"/>
    </w:p>
    <w:p w14:paraId="4AC34EE5">
      <w:pPr>
        <w:pStyle w:val="2"/>
        <w:spacing w:line="284" w:lineRule="auto"/>
        <w:rPr>
          <w:color w:val="auto"/>
          <w:highlight w:val="none"/>
        </w:rPr>
      </w:pPr>
    </w:p>
    <w:p w14:paraId="51079AEC">
      <w:pPr>
        <w:pStyle w:val="2"/>
        <w:spacing w:line="284" w:lineRule="auto"/>
        <w:rPr>
          <w:color w:val="auto"/>
          <w:highlight w:val="none"/>
        </w:rPr>
      </w:pPr>
    </w:p>
    <w:p w14:paraId="523D5217">
      <w:pPr>
        <w:pStyle w:val="2"/>
        <w:spacing w:line="284" w:lineRule="auto"/>
        <w:rPr>
          <w:color w:val="auto"/>
          <w:highlight w:val="none"/>
        </w:rPr>
      </w:pPr>
    </w:p>
    <w:p w14:paraId="291C4913">
      <w:pPr>
        <w:pStyle w:val="2"/>
        <w:spacing w:line="284" w:lineRule="auto"/>
        <w:rPr>
          <w:color w:val="auto"/>
          <w:highlight w:val="none"/>
        </w:rPr>
      </w:pPr>
    </w:p>
    <w:p w14:paraId="40A9F35B">
      <w:pPr>
        <w:pStyle w:val="2"/>
        <w:spacing w:line="285" w:lineRule="auto"/>
        <w:rPr>
          <w:color w:val="auto"/>
          <w:highlight w:val="none"/>
        </w:rPr>
      </w:pPr>
    </w:p>
    <w:p w14:paraId="58D2D497">
      <w:pPr>
        <w:spacing w:before="153" w:line="223" w:lineRule="auto"/>
        <w:ind w:left="3464"/>
        <w:rPr>
          <w:rFonts w:ascii="宋体" w:hAnsi="宋体" w:eastAsia="宋体" w:cs="宋体"/>
          <w:color w:val="auto"/>
          <w:sz w:val="47"/>
          <w:szCs w:val="47"/>
          <w:highlight w:val="none"/>
        </w:rPr>
      </w:pPr>
      <w:r>
        <w:rPr>
          <w:rFonts w:ascii="宋体" w:hAnsi="宋体" w:eastAsia="宋体" w:cs="宋体"/>
          <w:b/>
          <w:bCs/>
          <w:color w:val="auto"/>
          <w:spacing w:val="-5"/>
          <w:sz w:val="47"/>
          <w:szCs w:val="47"/>
          <w:highlight w:val="none"/>
        </w:rPr>
        <w:t>响应文件</w:t>
      </w:r>
    </w:p>
    <w:p w14:paraId="7EF98F4B">
      <w:pPr>
        <w:pStyle w:val="2"/>
        <w:rPr>
          <w:color w:val="auto"/>
          <w:highlight w:val="none"/>
        </w:rPr>
      </w:pPr>
    </w:p>
    <w:p w14:paraId="10D7CB2B">
      <w:pPr>
        <w:pStyle w:val="2"/>
        <w:rPr>
          <w:color w:val="auto"/>
          <w:highlight w:val="none"/>
        </w:rPr>
      </w:pPr>
    </w:p>
    <w:p w14:paraId="31CE529E">
      <w:pPr>
        <w:pStyle w:val="2"/>
        <w:rPr>
          <w:color w:val="auto"/>
          <w:highlight w:val="none"/>
        </w:rPr>
      </w:pPr>
    </w:p>
    <w:p w14:paraId="731F5FE7">
      <w:pPr>
        <w:pStyle w:val="2"/>
        <w:rPr>
          <w:color w:val="auto"/>
          <w:highlight w:val="none"/>
        </w:rPr>
      </w:pPr>
    </w:p>
    <w:p w14:paraId="47BA3C6B">
      <w:pPr>
        <w:pStyle w:val="2"/>
        <w:rPr>
          <w:color w:val="auto"/>
          <w:highlight w:val="none"/>
        </w:rPr>
      </w:pPr>
    </w:p>
    <w:p w14:paraId="6D0C6101">
      <w:pPr>
        <w:pStyle w:val="2"/>
        <w:rPr>
          <w:color w:val="auto"/>
          <w:highlight w:val="none"/>
        </w:rPr>
      </w:pPr>
    </w:p>
    <w:p w14:paraId="45A5972B">
      <w:pPr>
        <w:pStyle w:val="2"/>
        <w:rPr>
          <w:color w:val="auto"/>
          <w:highlight w:val="none"/>
        </w:rPr>
      </w:pPr>
    </w:p>
    <w:p w14:paraId="0FF8BFCB">
      <w:pPr>
        <w:pStyle w:val="2"/>
        <w:rPr>
          <w:color w:val="auto"/>
          <w:highlight w:val="none"/>
        </w:rPr>
      </w:pPr>
    </w:p>
    <w:p w14:paraId="4AF1C1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p w14:paraId="2A7E0C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p w14:paraId="3EE8FE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项目名称：</w:t>
      </w:r>
      <w:r>
        <w:rPr>
          <w:rFonts w:ascii="宋体" w:hAnsi="宋体" w:eastAsia="宋体" w:cs="宋体"/>
          <w:color w:val="auto"/>
          <w:sz w:val="24"/>
          <w:szCs w:val="24"/>
          <w:highlight w:val="none"/>
        </w:rPr>
        <w:t xml:space="preserve"> </w:t>
      </w:r>
    </w:p>
    <w:p w14:paraId="131774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项目编号：</w:t>
      </w:r>
      <w:r>
        <w:rPr>
          <w:rFonts w:ascii="宋体" w:hAnsi="宋体" w:eastAsia="宋体" w:cs="宋体"/>
          <w:color w:val="auto"/>
          <w:sz w:val="24"/>
          <w:szCs w:val="24"/>
          <w:highlight w:val="none"/>
        </w:rPr>
        <w:t xml:space="preserve"> </w:t>
      </w:r>
    </w:p>
    <w:p w14:paraId="2188DD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采购人：</w:t>
      </w:r>
    </w:p>
    <w:p w14:paraId="7338C63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投标人单位名称</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盖章）</w:t>
      </w:r>
    </w:p>
    <w:p w14:paraId="2806F4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pacing w:val="1"/>
          <w:sz w:val="24"/>
          <w:szCs w:val="24"/>
          <w:highlight w:val="none"/>
        </w:rPr>
      </w:pPr>
      <w:r>
        <w:rPr>
          <w:rFonts w:ascii="宋体" w:hAnsi="宋体" w:eastAsia="宋体" w:cs="宋体"/>
          <w:color w:val="auto"/>
          <w:sz w:val="24"/>
          <w:szCs w:val="24"/>
          <w:highlight w:val="none"/>
        </w:rPr>
        <w:t>法定代表人</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签字和盖章）</w:t>
      </w:r>
      <w:r>
        <w:rPr>
          <w:rFonts w:ascii="宋体" w:hAnsi="宋体" w:eastAsia="宋体" w:cs="宋体"/>
          <w:color w:val="auto"/>
          <w:spacing w:val="1"/>
          <w:sz w:val="24"/>
          <w:szCs w:val="24"/>
          <w:highlight w:val="none"/>
        </w:rPr>
        <w:t xml:space="preserve"> </w:t>
      </w:r>
    </w:p>
    <w:p w14:paraId="6E7385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单位地址：</w:t>
      </w:r>
    </w:p>
    <w:p w14:paraId="3C65427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联系人：</w:t>
      </w:r>
    </w:p>
    <w:p w14:paraId="0ECA4E0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p>
    <w:p w14:paraId="09CCE6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p w14:paraId="764AA54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p w14:paraId="18046ED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2"/>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日</w:t>
      </w:r>
    </w:p>
    <w:p w14:paraId="0365F4B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4"/>
          <w:szCs w:val="24"/>
          <w:highlight w:val="none"/>
        </w:rPr>
        <w:sectPr>
          <w:headerReference r:id="rId30" w:type="default"/>
          <w:footerReference r:id="rId31" w:type="default"/>
          <w:pgSz w:w="11906" w:h="16839"/>
          <w:pgMar w:top="1440" w:right="1800" w:bottom="1440" w:left="1800" w:header="0" w:footer="973" w:gutter="0"/>
          <w:pgNumType w:fmt="decimal"/>
          <w:cols w:space="720" w:num="1"/>
        </w:sectPr>
      </w:pPr>
    </w:p>
    <w:p w14:paraId="01AA4D48">
      <w:pPr>
        <w:pStyle w:val="2"/>
        <w:spacing w:line="265" w:lineRule="auto"/>
        <w:rPr>
          <w:color w:val="auto"/>
          <w:highlight w:val="none"/>
        </w:rPr>
      </w:pPr>
    </w:p>
    <w:p w14:paraId="3D87530F">
      <w:pPr>
        <w:pStyle w:val="2"/>
        <w:spacing w:line="266" w:lineRule="auto"/>
        <w:rPr>
          <w:color w:val="auto"/>
          <w:highlight w:val="none"/>
        </w:rPr>
      </w:pPr>
    </w:p>
    <w:p w14:paraId="3698DE8F">
      <w:pPr>
        <w:pStyle w:val="2"/>
        <w:spacing w:line="266" w:lineRule="auto"/>
        <w:rPr>
          <w:color w:val="auto"/>
          <w:highlight w:val="none"/>
        </w:rPr>
      </w:pPr>
    </w:p>
    <w:p w14:paraId="613368A6">
      <w:pPr>
        <w:pStyle w:val="2"/>
        <w:spacing w:line="266" w:lineRule="auto"/>
        <w:rPr>
          <w:color w:val="auto"/>
          <w:highlight w:val="none"/>
        </w:rPr>
      </w:pPr>
    </w:p>
    <w:p w14:paraId="1181686F">
      <w:pPr>
        <w:spacing w:before="78" w:line="219" w:lineRule="auto"/>
        <w:ind w:left="3128"/>
        <w:outlineLvl w:val="1"/>
        <w:rPr>
          <w:rFonts w:ascii="宋体" w:hAnsi="宋体" w:eastAsia="宋体" w:cs="宋体"/>
          <w:color w:val="auto"/>
          <w:sz w:val="24"/>
          <w:szCs w:val="24"/>
          <w:highlight w:val="none"/>
        </w:rPr>
      </w:pPr>
      <w:bookmarkStart w:id="31" w:name="_Toc5853"/>
      <w:r>
        <w:rPr>
          <w:rFonts w:ascii="宋体" w:hAnsi="宋体" w:eastAsia="宋体" w:cs="宋体"/>
          <w:b/>
          <w:bCs/>
          <w:color w:val="auto"/>
          <w:spacing w:val="-3"/>
          <w:sz w:val="24"/>
          <w:szCs w:val="24"/>
          <w:highlight w:val="none"/>
        </w:rPr>
        <w:t>第二节</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商务标目录示例</w:t>
      </w:r>
      <w:bookmarkEnd w:id="31"/>
    </w:p>
    <w:p w14:paraId="7D4C8235">
      <w:pPr>
        <w:spacing w:before="182" w:line="219"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1、投标承诺书（一）</w:t>
      </w:r>
    </w:p>
    <w:p w14:paraId="2FF37798">
      <w:pPr>
        <w:spacing w:before="183" w:line="219" w:lineRule="auto"/>
        <w:ind w:left="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2、投标承诺书（二）</w:t>
      </w:r>
    </w:p>
    <w:p w14:paraId="51FEE0A8">
      <w:pPr>
        <w:spacing w:before="183" w:line="219"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3、投标承诺书（三）</w:t>
      </w:r>
    </w:p>
    <w:p w14:paraId="69C8D911">
      <w:pPr>
        <w:spacing w:before="183"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4、法定代表人身份证明书</w:t>
      </w:r>
    </w:p>
    <w:p w14:paraId="2CD135D5">
      <w:pPr>
        <w:spacing w:before="183" w:line="219" w:lineRule="auto"/>
        <w:ind w:left="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5、授权委托书</w:t>
      </w:r>
    </w:p>
    <w:p w14:paraId="0364812F">
      <w:pPr>
        <w:spacing w:before="184" w:line="220" w:lineRule="auto"/>
        <w:ind w:left="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6、开标一览表</w:t>
      </w:r>
    </w:p>
    <w:p w14:paraId="40B3B50F">
      <w:pPr>
        <w:spacing w:before="182"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7、投标保证金</w:t>
      </w:r>
    </w:p>
    <w:p w14:paraId="5B15659A">
      <w:pPr>
        <w:spacing w:before="182" w:line="219"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8、投标人概况</w:t>
      </w:r>
    </w:p>
    <w:p w14:paraId="7E723F5F">
      <w:pPr>
        <w:spacing w:before="183" w:line="219"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9、项目负责人简历表</w:t>
      </w:r>
    </w:p>
    <w:p w14:paraId="0C78B23C">
      <w:pPr>
        <w:spacing w:before="184" w:line="262" w:lineRule="auto"/>
        <w:ind w:right="6258"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10、项目管理人员表</w:t>
      </w:r>
      <w:r>
        <w:rPr>
          <w:rFonts w:ascii="宋体" w:hAnsi="宋体" w:eastAsia="宋体" w:cs="宋体"/>
          <w:color w:val="auto"/>
          <w:spacing w:val="1"/>
          <w:sz w:val="24"/>
          <w:szCs w:val="24"/>
          <w:highlight w:val="none"/>
        </w:rPr>
        <w:t xml:space="preserve"> </w:t>
      </w:r>
      <w:r>
        <w:rPr>
          <w:rFonts w:ascii="宋体" w:hAnsi="宋体" w:eastAsia="宋体" w:cs="宋体"/>
          <w:color w:val="auto"/>
          <w:spacing w:val="-5"/>
          <w:sz w:val="24"/>
          <w:szCs w:val="24"/>
          <w:highlight w:val="none"/>
        </w:rPr>
        <w:t>注：</w:t>
      </w:r>
    </w:p>
    <w:p w14:paraId="4F096BFB">
      <w:pPr>
        <w:spacing w:before="22" w:line="219" w:lineRule="auto"/>
        <w:ind w:left="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1、要有准确及对应的目录、序号和页码，投标人自行编</w:t>
      </w:r>
      <w:r>
        <w:rPr>
          <w:rFonts w:ascii="宋体" w:hAnsi="宋体" w:eastAsia="宋体" w:cs="宋体"/>
          <w:color w:val="auto"/>
          <w:spacing w:val="-2"/>
          <w:sz w:val="24"/>
          <w:szCs w:val="24"/>
          <w:highlight w:val="none"/>
        </w:rPr>
        <w:t>列。</w:t>
      </w:r>
    </w:p>
    <w:p w14:paraId="4BA8E836">
      <w:pPr>
        <w:spacing w:before="26" w:line="230" w:lineRule="auto"/>
        <w:ind w:right="378" w:firstLine="2"/>
        <w:rPr>
          <w:rFonts w:ascii="宋体" w:hAnsi="宋体" w:eastAsia="宋体" w:cs="宋体"/>
          <w:color w:val="auto"/>
          <w:sz w:val="24"/>
          <w:szCs w:val="24"/>
          <w:highlight w:val="none"/>
        </w:rPr>
      </w:pPr>
      <w:r>
        <w:rPr>
          <w:rFonts w:ascii="宋体" w:hAnsi="宋体" w:eastAsia="宋体" w:cs="宋体"/>
          <w:color w:val="auto"/>
          <w:sz w:val="24"/>
          <w:szCs w:val="24"/>
          <w:highlight w:val="none"/>
        </w:rPr>
        <w:t>2、使用本文件提供的表格格式附件时，可以</w:t>
      </w:r>
      <w:r>
        <w:rPr>
          <w:rFonts w:ascii="宋体" w:hAnsi="宋体" w:eastAsia="宋体" w:cs="宋体"/>
          <w:color w:val="auto"/>
          <w:spacing w:val="-1"/>
          <w:sz w:val="24"/>
          <w:szCs w:val="24"/>
          <w:highlight w:val="none"/>
        </w:rPr>
        <w:t>按同样格式扩展。没有提供制式格式的，投标人可以自行设计。</w:t>
      </w:r>
    </w:p>
    <w:p w14:paraId="39DCA354">
      <w:pPr>
        <w:spacing w:line="230" w:lineRule="auto"/>
        <w:rPr>
          <w:rFonts w:ascii="宋体" w:hAnsi="宋体" w:eastAsia="宋体" w:cs="宋体"/>
          <w:color w:val="auto"/>
          <w:sz w:val="24"/>
          <w:szCs w:val="24"/>
          <w:highlight w:val="none"/>
        </w:rPr>
        <w:sectPr>
          <w:footerReference r:id="rId32" w:type="default"/>
          <w:pgSz w:w="11906" w:h="16839"/>
          <w:pgMar w:top="1440" w:right="1800" w:bottom="1440" w:left="1800" w:header="0" w:footer="973" w:gutter="0"/>
          <w:pgNumType w:fmt="decimal"/>
          <w:cols w:space="720" w:num="1"/>
        </w:sectPr>
      </w:pPr>
    </w:p>
    <w:p w14:paraId="779EE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投标承诺书（一）</w:t>
      </w:r>
    </w:p>
    <w:p w14:paraId="6DFED4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致</w:t>
      </w:r>
      <w:r>
        <w:rPr>
          <w:rFonts w:ascii="宋体" w:hAnsi="宋体" w:eastAsia="宋体" w:cs="宋体"/>
          <w:color w:val="auto"/>
          <w:spacing w:val="-30"/>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30"/>
          <w:sz w:val="21"/>
          <w:szCs w:val="21"/>
          <w:highlight w:val="none"/>
        </w:rPr>
        <w:t>（</w:t>
      </w:r>
      <w:r>
        <w:rPr>
          <w:rFonts w:ascii="宋体" w:hAnsi="宋体" w:eastAsia="宋体" w:cs="宋体"/>
          <w:color w:val="auto"/>
          <w:spacing w:val="7"/>
          <w:sz w:val="21"/>
          <w:szCs w:val="21"/>
          <w:highlight w:val="none"/>
        </w:rPr>
        <w:t>采购人名称）</w:t>
      </w:r>
    </w:p>
    <w:p w14:paraId="238C2D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根据贵方</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58"/>
          <w:sz w:val="21"/>
          <w:szCs w:val="21"/>
          <w:highlight w:val="none"/>
        </w:rPr>
        <w:t xml:space="preserve"> </w:t>
      </w:r>
      <w:r>
        <w:rPr>
          <w:rFonts w:ascii="宋体" w:hAnsi="宋体" w:eastAsia="宋体" w:cs="宋体"/>
          <w:color w:val="auto"/>
          <w:spacing w:val="-1"/>
          <w:sz w:val="21"/>
          <w:szCs w:val="21"/>
          <w:highlight w:val="none"/>
        </w:rPr>
        <w:t>(项目名称、项目编号)的工程磋商文件,</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签</w:t>
      </w:r>
      <w:r>
        <w:rPr>
          <w:rFonts w:ascii="宋体" w:hAnsi="宋体" w:eastAsia="宋体" w:cs="宋体"/>
          <w:color w:val="auto"/>
          <w:spacing w:val="-38"/>
          <w:sz w:val="21"/>
          <w:szCs w:val="21"/>
          <w:highlight w:val="none"/>
        </w:rPr>
        <w:t xml:space="preserve"> </w:t>
      </w:r>
      <w:r>
        <w:rPr>
          <w:rFonts w:ascii="宋体" w:hAnsi="宋体" w:eastAsia="宋体" w:cs="宋体"/>
          <w:color w:val="auto"/>
          <w:spacing w:val="-11"/>
          <w:sz w:val="21"/>
          <w:szCs w:val="21"/>
          <w:highlight w:val="none"/>
        </w:rPr>
        <w:t>字</w:t>
      </w:r>
      <w:r>
        <w:rPr>
          <w:rFonts w:ascii="宋体" w:hAnsi="宋体" w:eastAsia="宋体" w:cs="宋体"/>
          <w:color w:val="auto"/>
          <w:spacing w:val="-58"/>
          <w:sz w:val="21"/>
          <w:szCs w:val="21"/>
          <w:highlight w:val="none"/>
        </w:rPr>
        <w:t xml:space="preserve"> </w:t>
      </w:r>
      <w:r>
        <w:rPr>
          <w:rFonts w:ascii="宋体" w:hAnsi="宋体" w:eastAsia="宋体" w:cs="宋体"/>
          <w:color w:val="auto"/>
          <w:spacing w:val="-11"/>
          <w:sz w:val="21"/>
          <w:szCs w:val="21"/>
          <w:highlight w:val="none"/>
        </w:rPr>
        <w:t>代</w:t>
      </w:r>
      <w:r>
        <w:rPr>
          <w:rFonts w:ascii="宋体" w:hAnsi="宋体" w:eastAsia="宋体" w:cs="宋体"/>
          <w:color w:val="auto"/>
          <w:spacing w:val="-57"/>
          <w:sz w:val="21"/>
          <w:szCs w:val="21"/>
          <w:highlight w:val="none"/>
        </w:rPr>
        <w:t xml:space="preserve"> </w:t>
      </w:r>
      <w:r>
        <w:rPr>
          <w:rFonts w:ascii="宋体" w:hAnsi="宋体" w:eastAsia="宋体" w:cs="宋体"/>
          <w:color w:val="auto"/>
          <w:spacing w:val="-11"/>
          <w:sz w:val="21"/>
          <w:szCs w:val="21"/>
          <w:highlight w:val="none"/>
        </w:rPr>
        <w:t>表</w:t>
      </w:r>
      <w:r>
        <w:rPr>
          <w:rFonts w:ascii="宋体" w:hAnsi="宋体" w:eastAsia="宋体" w:cs="宋体"/>
          <w:color w:val="auto"/>
          <w:spacing w:val="-67"/>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4"/>
          <w:sz w:val="21"/>
          <w:szCs w:val="21"/>
          <w:highlight w:val="none"/>
        </w:rPr>
        <w:t xml:space="preserve"> </w:t>
      </w:r>
      <w:r>
        <w:rPr>
          <w:rFonts w:ascii="宋体" w:hAnsi="宋体" w:eastAsia="宋体" w:cs="宋体"/>
          <w:color w:val="auto"/>
          <w:spacing w:val="-11"/>
          <w:sz w:val="21"/>
          <w:szCs w:val="21"/>
          <w:highlight w:val="none"/>
        </w:rPr>
        <w:t>(</w:t>
      </w:r>
      <w:r>
        <w:rPr>
          <w:rFonts w:ascii="宋体" w:hAnsi="宋体" w:eastAsia="宋体" w:cs="宋体"/>
          <w:color w:val="auto"/>
          <w:spacing w:val="-55"/>
          <w:sz w:val="21"/>
          <w:szCs w:val="21"/>
          <w:highlight w:val="none"/>
        </w:rPr>
        <w:t xml:space="preserve"> </w:t>
      </w:r>
      <w:r>
        <w:rPr>
          <w:rFonts w:ascii="宋体" w:hAnsi="宋体" w:eastAsia="宋体" w:cs="宋体"/>
          <w:color w:val="auto"/>
          <w:spacing w:val="-11"/>
          <w:sz w:val="21"/>
          <w:szCs w:val="21"/>
          <w:highlight w:val="none"/>
        </w:rPr>
        <w:t>姓</w:t>
      </w:r>
      <w:r>
        <w:rPr>
          <w:rFonts w:ascii="宋体" w:hAnsi="宋体" w:eastAsia="宋体" w:cs="宋体"/>
          <w:color w:val="auto"/>
          <w:spacing w:val="-53"/>
          <w:sz w:val="21"/>
          <w:szCs w:val="21"/>
          <w:highlight w:val="none"/>
        </w:rPr>
        <w:t xml:space="preserve"> </w:t>
      </w:r>
      <w:r>
        <w:rPr>
          <w:rFonts w:ascii="宋体" w:hAnsi="宋体" w:eastAsia="宋体" w:cs="宋体"/>
          <w:color w:val="auto"/>
          <w:spacing w:val="-11"/>
          <w:sz w:val="21"/>
          <w:szCs w:val="21"/>
          <w:highlight w:val="none"/>
        </w:rPr>
        <w:t>名</w:t>
      </w:r>
      <w:r>
        <w:rPr>
          <w:rFonts w:ascii="宋体" w:hAnsi="宋体" w:eastAsia="宋体" w:cs="宋体"/>
          <w:color w:val="auto"/>
          <w:spacing w:val="-41"/>
          <w:sz w:val="21"/>
          <w:szCs w:val="21"/>
          <w:highlight w:val="none"/>
        </w:rPr>
        <w:t xml:space="preserve"> </w:t>
      </w:r>
      <w:r>
        <w:rPr>
          <w:rFonts w:ascii="宋体" w:hAnsi="宋体" w:eastAsia="宋体" w:cs="宋体"/>
          <w:color w:val="auto"/>
          <w:spacing w:val="-11"/>
          <w:sz w:val="21"/>
          <w:szCs w:val="21"/>
          <w:highlight w:val="none"/>
        </w:rPr>
        <w:t>、</w:t>
      </w:r>
      <w:r>
        <w:rPr>
          <w:rFonts w:ascii="宋体" w:hAnsi="宋体" w:eastAsia="宋体" w:cs="宋体"/>
          <w:color w:val="auto"/>
          <w:spacing w:val="-54"/>
          <w:sz w:val="21"/>
          <w:szCs w:val="21"/>
          <w:highlight w:val="none"/>
        </w:rPr>
        <w:t xml:space="preserve"> </w:t>
      </w:r>
      <w:r>
        <w:rPr>
          <w:rFonts w:ascii="宋体" w:hAnsi="宋体" w:eastAsia="宋体" w:cs="宋体"/>
          <w:color w:val="auto"/>
          <w:spacing w:val="-11"/>
          <w:sz w:val="21"/>
          <w:szCs w:val="21"/>
          <w:highlight w:val="none"/>
        </w:rPr>
        <w:t>职</w:t>
      </w:r>
      <w:r>
        <w:rPr>
          <w:rFonts w:ascii="宋体" w:hAnsi="宋体" w:eastAsia="宋体" w:cs="宋体"/>
          <w:color w:val="auto"/>
          <w:spacing w:val="-56"/>
          <w:sz w:val="21"/>
          <w:szCs w:val="21"/>
          <w:highlight w:val="none"/>
        </w:rPr>
        <w:t xml:space="preserve"> </w:t>
      </w:r>
      <w:r>
        <w:rPr>
          <w:rFonts w:ascii="宋体" w:hAnsi="宋体" w:eastAsia="宋体" w:cs="宋体"/>
          <w:color w:val="auto"/>
          <w:spacing w:val="-11"/>
          <w:sz w:val="21"/>
          <w:szCs w:val="21"/>
          <w:highlight w:val="none"/>
        </w:rPr>
        <w:t>务</w:t>
      </w:r>
      <w:r>
        <w:rPr>
          <w:rFonts w:ascii="宋体" w:hAnsi="宋体" w:eastAsia="宋体" w:cs="宋体"/>
          <w:color w:val="auto"/>
          <w:spacing w:val="-57"/>
          <w:sz w:val="21"/>
          <w:szCs w:val="21"/>
          <w:highlight w:val="none"/>
        </w:rPr>
        <w:t xml:space="preserve"> </w:t>
      </w:r>
      <w:r>
        <w:rPr>
          <w:rFonts w:ascii="宋体" w:hAnsi="宋体" w:eastAsia="宋体" w:cs="宋体"/>
          <w:color w:val="auto"/>
          <w:spacing w:val="-11"/>
          <w:sz w:val="21"/>
          <w:szCs w:val="21"/>
          <w:highlight w:val="none"/>
        </w:rPr>
        <w:t>)经</w:t>
      </w:r>
      <w:r>
        <w:rPr>
          <w:rFonts w:ascii="宋体" w:hAnsi="宋体" w:eastAsia="宋体" w:cs="宋体"/>
          <w:color w:val="auto"/>
          <w:spacing w:val="-50"/>
          <w:sz w:val="21"/>
          <w:szCs w:val="21"/>
          <w:highlight w:val="none"/>
        </w:rPr>
        <w:t xml:space="preserve"> </w:t>
      </w:r>
      <w:r>
        <w:rPr>
          <w:rFonts w:ascii="宋体" w:hAnsi="宋体" w:eastAsia="宋体" w:cs="宋体"/>
          <w:color w:val="auto"/>
          <w:spacing w:val="-11"/>
          <w:sz w:val="21"/>
          <w:szCs w:val="21"/>
          <w:highlight w:val="none"/>
        </w:rPr>
        <w:t>正</w:t>
      </w:r>
      <w:r>
        <w:rPr>
          <w:rFonts w:ascii="宋体" w:hAnsi="宋体" w:eastAsia="宋体" w:cs="宋体"/>
          <w:color w:val="auto"/>
          <w:spacing w:val="-53"/>
          <w:sz w:val="21"/>
          <w:szCs w:val="21"/>
          <w:highlight w:val="none"/>
        </w:rPr>
        <w:t xml:space="preserve"> </w:t>
      </w:r>
      <w:r>
        <w:rPr>
          <w:rFonts w:ascii="宋体" w:hAnsi="宋体" w:eastAsia="宋体" w:cs="宋体"/>
          <w:color w:val="auto"/>
          <w:spacing w:val="-11"/>
          <w:sz w:val="21"/>
          <w:szCs w:val="21"/>
          <w:highlight w:val="none"/>
        </w:rPr>
        <w:t>式</w:t>
      </w:r>
      <w:r>
        <w:rPr>
          <w:rFonts w:ascii="宋体" w:hAnsi="宋体" w:eastAsia="宋体" w:cs="宋体"/>
          <w:color w:val="auto"/>
          <w:spacing w:val="-57"/>
          <w:sz w:val="21"/>
          <w:szCs w:val="21"/>
          <w:highlight w:val="none"/>
        </w:rPr>
        <w:t xml:space="preserve"> </w:t>
      </w:r>
      <w:r>
        <w:rPr>
          <w:rFonts w:ascii="宋体" w:hAnsi="宋体" w:eastAsia="宋体" w:cs="宋体"/>
          <w:color w:val="auto"/>
          <w:spacing w:val="-11"/>
          <w:sz w:val="21"/>
          <w:szCs w:val="21"/>
          <w:highlight w:val="none"/>
        </w:rPr>
        <w:t>授</w:t>
      </w:r>
      <w:r>
        <w:rPr>
          <w:rFonts w:ascii="宋体" w:hAnsi="宋体" w:eastAsia="宋体" w:cs="宋体"/>
          <w:color w:val="auto"/>
          <w:spacing w:val="-59"/>
          <w:sz w:val="21"/>
          <w:szCs w:val="21"/>
          <w:highlight w:val="none"/>
        </w:rPr>
        <w:t xml:space="preserve"> </w:t>
      </w:r>
      <w:r>
        <w:rPr>
          <w:rFonts w:ascii="宋体" w:hAnsi="宋体" w:eastAsia="宋体" w:cs="宋体"/>
          <w:color w:val="auto"/>
          <w:spacing w:val="-11"/>
          <w:sz w:val="21"/>
          <w:szCs w:val="21"/>
          <w:highlight w:val="none"/>
        </w:rPr>
        <w:t>权</w:t>
      </w:r>
      <w:r>
        <w:rPr>
          <w:rFonts w:ascii="宋体" w:hAnsi="宋体" w:eastAsia="宋体" w:cs="宋体"/>
          <w:color w:val="auto"/>
          <w:spacing w:val="-49"/>
          <w:sz w:val="21"/>
          <w:szCs w:val="21"/>
          <w:highlight w:val="none"/>
        </w:rPr>
        <w:t xml:space="preserve"> </w:t>
      </w:r>
      <w:r>
        <w:rPr>
          <w:rFonts w:ascii="宋体" w:hAnsi="宋体" w:eastAsia="宋体" w:cs="宋体"/>
          <w:color w:val="auto"/>
          <w:spacing w:val="-11"/>
          <w:sz w:val="21"/>
          <w:szCs w:val="21"/>
          <w:highlight w:val="none"/>
        </w:rPr>
        <w:t>并</w:t>
      </w:r>
      <w:r>
        <w:rPr>
          <w:rFonts w:ascii="宋体" w:hAnsi="宋体" w:eastAsia="宋体" w:cs="宋体"/>
          <w:color w:val="auto"/>
          <w:spacing w:val="-59"/>
          <w:sz w:val="21"/>
          <w:szCs w:val="21"/>
          <w:highlight w:val="none"/>
        </w:rPr>
        <w:t xml:space="preserve"> </w:t>
      </w:r>
      <w:r>
        <w:rPr>
          <w:rFonts w:ascii="宋体" w:hAnsi="宋体" w:eastAsia="宋体" w:cs="宋体"/>
          <w:color w:val="auto"/>
          <w:spacing w:val="-11"/>
          <w:sz w:val="21"/>
          <w:szCs w:val="21"/>
          <w:highlight w:val="none"/>
        </w:rPr>
        <w:t>代</w:t>
      </w:r>
      <w:r>
        <w:rPr>
          <w:rFonts w:ascii="宋体" w:hAnsi="宋体" w:eastAsia="宋体" w:cs="宋体"/>
          <w:color w:val="auto"/>
          <w:spacing w:val="-57"/>
          <w:sz w:val="21"/>
          <w:szCs w:val="21"/>
          <w:highlight w:val="none"/>
        </w:rPr>
        <w:t xml:space="preserve"> </w:t>
      </w:r>
      <w:r>
        <w:rPr>
          <w:rFonts w:ascii="宋体" w:hAnsi="宋体" w:eastAsia="宋体" w:cs="宋体"/>
          <w:color w:val="auto"/>
          <w:spacing w:val="-11"/>
          <w:sz w:val="21"/>
          <w:szCs w:val="21"/>
          <w:highlight w:val="none"/>
        </w:rPr>
        <w:t>表</w:t>
      </w:r>
      <w:r>
        <w:rPr>
          <w:rFonts w:ascii="宋体" w:hAnsi="宋体" w:eastAsia="宋体" w:cs="宋体"/>
          <w:color w:val="auto"/>
          <w:spacing w:val="-55"/>
          <w:sz w:val="21"/>
          <w:szCs w:val="21"/>
          <w:highlight w:val="none"/>
        </w:rPr>
        <w:t xml:space="preserve"> </w:t>
      </w:r>
      <w:r>
        <w:rPr>
          <w:rFonts w:ascii="宋体" w:hAnsi="宋体" w:eastAsia="宋体" w:cs="宋体"/>
          <w:color w:val="auto"/>
          <w:spacing w:val="-11"/>
          <w:sz w:val="21"/>
          <w:szCs w:val="21"/>
          <w:highlight w:val="none"/>
        </w:rPr>
        <w:t>投</w:t>
      </w:r>
      <w:r>
        <w:rPr>
          <w:rFonts w:ascii="宋体" w:hAnsi="宋体" w:eastAsia="宋体" w:cs="宋体"/>
          <w:color w:val="auto"/>
          <w:spacing w:val="-54"/>
          <w:sz w:val="21"/>
          <w:szCs w:val="21"/>
          <w:highlight w:val="none"/>
        </w:rPr>
        <w:t xml:space="preserve"> </w:t>
      </w:r>
      <w:r>
        <w:rPr>
          <w:rFonts w:ascii="宋体" w:hAnsi="宋体" w:eastAsia="宋体" w:cs="宋体"/>
          <w:color w:val="auto"/>
          <w:spacing w:val="-11"/>
          <w:sz w:val="21"/>
          <w:szCs w:val="21"/>
          <w:highlight w:val="none"/>
        </w:rPr>
        <w:t>标</w:t>
      </w:r>
      <w:r>
        <w:rPr>
          <w:rFonts w:ascii="宋体" w:hAnsi="宋体" w:eastAsia="宋体" w:cs="宋体"/>
          <w:color w:val="auto"/>
          <w:spacing w:val="-56"/>
          <w:sz w:val="21"/>
          <w:szCs w:val="21"/>
          <w:highlight w:val="none"/>
        </w:rPr>
        <w:t xml:space="preserve"> </w:t>
      </w:r>
      <w:r>
        <w:rPr>
          <w:rFonts w:ascii="宋体" w:hAnsi="宋体" w:eastAsia="宋体" w:cs="宋体"/>
          <w:color w:val="auto"/>
          <w:spacing w:val="-11"/>
          <w:sz w:val="21"/>
          <w:szCs w:val="21"/>
          <w:highlight w:val="none"/>
        </w:rPr>
        <w:t>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（投标人名称、注册地址）提交响应文件。</w:t>
      </w:r>
    </w:p>
    <w:p w14:paraId="19E53F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据此，签字代表宣布同意如下：</w:t>
      </w:r>
    </w:p>
    <w:p w14:paraId="1F3FE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1、总报价为</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元人民币（人民币大写</w:t>
      </w:r>
      <w:r>
        <w:rPr>
          <w:rFonts w:ascii="宋体" w:hAnsi="宋体" w:eastAsia="宋体" w:cs="宋体"/>
          <w:color w:val="auto"/>
          <w:spacing w:val="-17"/>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85"/>
          <w:sz w:val="21"/>
          <w:szCs w:val="21"/>
          <w:highlight w:val="none"/>
        </w:rPr>
        <w:t xml:space="preserve"> </w:t>
      </w:r>
      <w:r>
        <w:rPr>
          <w:rFonts w:ascii="宋体" w:hAnsi="宋体" w:eastAsia="宋体" w:cs="宋体"/>
          <w:color w:val="auto"/>
          <w:spacing w:val="-17"/>
          <w:sz w:val="21"/>
          <w:szCs w:val="21"/>
          <w:highlight w:val="none"/>
        </w:rPr>
        <w:t>）</w:t>
      </w:r>
      <w:r>
        <w:rPr>
          <w:rFonts w:ascii="宋体" w:hAnsi="宋体" w:eastAsia="宋体" w:cs="宋体"/>
          <w:color w:val="auto"/>
          <w:spacing w:val="-1"/>
          <w:sz w:val="21"/>
          <w:szCs w:val="21"/>
          <w:highlight w:val="none"/>
        </w:rPr>
        <w:t>。</w:t>
      </w:r>
    </w:p>
    <w:p w14:paraId="7381DA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2.我方承诺在投标有效期内不补充、修改、替代或者撤回本响应文件。</w:t>
      </w:r>
    </w:p>
    <w:p w14:paraId="74D74B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3.如果我方中标，非业主原因，我方保证将在下列日期内组织施工，工期：</w:t>
      </w:r>
      <w:r>
        <w:rPr>
          <w:rFonts w:ascii="宋体" w:hAnsi="宋体" w:eastAsia="宋体" w:cs="宋体"/>
          <w:color w:val="auto"/>
          <w:spacing w:val="4"/>
          <w:sz w:val="21"/>
          <w:szCs w:val="21"/>
          <w:highlight w:val="none"/>
          <w:u w:val="single" w:color="auto"/>
        </w:rPr>
        <w:t xml:space="preserve">    </w:t>
      </w:r>
    </w:p>
    <w:p w14:paraId="643B63F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08" w:firstLineChars="200"/>
        <w:textAlignment w:val="baseline"/>
        <w:rPr>
          <w:rFonts w:ascii="宋体" w:hAnsi="宋体" w:eastAsia="宋体" w:cs="宋体"/>
          <w:color w:val="auto"/>
          <w:spacing w:val="-3"/>
          <w:sz w:val="21"/>
          <w:szCs w:val="21"/>
          <w:highlight w:val="none"/>
        </w:rPr>
      </w:pPr>
      <w:r>
        <w:rPr>
          <w:rFonts w:ascii="宋体" w:hAnsi="宋体" w:eastAsia="宋体" w:cs="宋体"/>
          <w:color w:val="auto"/>
          <w:spacing w:val="-3"/>
          <w:sz w:val="21"/>
          <w:szCs w:val="21"/>
          <w:highlight w:val="none"/>
        </w:rPr>
        <w:t>4.如果我方中标，非业主原因，我方保证将按下列质量等级完成本工程。</w:t>
      </w:r>
    </w:p>
    <w:p w14:paraId="6062E1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质量要</w:t>
      </w:r>
      <w:r>
        <w:rPr>
          <w:rFonts w:ascii="宋体" w:hAnsi="宋体" w:eastAsia="宋体" w:cs="宋体"/>
          <w:color w:val="auto"/>
          <w:spacing w:val="-2"/>
          <w:sz w:val="21"/>
          <w:szCs w:val="21"/>
          <w:highlight w:val="none"/>
        </w:rPr>
        <w:t>求：</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w:t>
      </w:r>
    </w:p>
    <w:p w14:paraId="25C8D12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388" w:firstLineChars="200"/>
        <w:jc w:val="both"/>
        <w:textAlignment w:val="baseline"/>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5.如果我方中标，我方将按磋商文件规定的时间内签订承包合同。如果我方违约，</w:t>
      </w:r>
      <w:r>
        <w:rPr>
          <w:rFonts w:ascii="宋体" w:hAnsi="宋体" w:eastAsia="宋体" w:cs="宋体"/>
          <w:color w:val="auto"/>
          <w:spacing w:val="-3"/>
          <w:sz w:val="21"/>
          <w:szCs w:val="21"/>
          <w:highlight w:val="none"/>
        </w:rPr>
        <w:t>除投标保证金外，我方还将以中标价</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%作为赔偿金，同时贵方有权终止我方中标</w:t>
      </w:r>
      <w:r>
        <w:rPr>
          <w:rFonts w:ascii="宋体" w:hAnsi="宋体" w:eastAsia="宋体" w:cs="宋体"/>
          <w:color w:val="auto"/>
          <w:spacing w:val="-2"/>
          <w:sz w:val="21"/>
          <w:szCs w:val="21"/>
          <w:highlight w:val="none"/>
        </w:rPr>
        <w:t>并选择其它成交人。</w:t>
      </w:r>
    </w:p>
    <w:p w14:paraId="1DFE3F9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04"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6.我方同意在本项目磋商文件中规定的</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6"/>
          <w:sz w:val="21"/>
          <w:szCs w:val="21"/>
          <w:highlight w:val="none"/>
        </w:rPr>
        <w:t xml:space="preserve"> </w:t>
      </w:r>
      <w:r>
        <w:rPr>
          <w:rFonts w:ascii="宋体" w:hAnsi="宋体" w:eastAsia="宋体" w:cs="宋体"/>
          <w:color w:val="auto"/>
          <w:spacing w:val="-4"/>
          <w:sz w:val="21"/>
          <w:szCs w:val="21"/>
          <w:highlight w:val="none"/>
        </w:rPr>
        <w:t>日历天（投标有效期）遵守本响</w:t>
      </w:r>
      <w:r>
        <w:rPr>
          <w:rFonts w:ascii="宋体" w:hAnsi="宋体" w:eastAsia="宋体" w:cs="宋体"/>
          <w:color w:val="auto"/>
          <w:spacing w:val="-1"/>
          <w:sz w:val="21"/>
          <w:szCs w:val="21"/>
          <w:highlight w:val="none"/>
        </w:rPr>
        <w:t>应文件中的承诺且在此期限期满之前均具有约束力。</w:t>
      </w:r>
    </w:p>
    <w:p w14:paraId="256955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392" w:firstLineChars="200"/>
        <w:jc w:val="both"/>
        <w:textAlignment w:val="baseline"/>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7.贵方的磋商文件、中标通知书、我方的响应文件将构成</w:t>
      </w:r>
      <w:r>
        <w:rPr>
          <w:rFonts w:ascii="宋体" w:hAnsi="宋体" w:eastAsia="宋体" w:cs="宋体"/>
          <w:color w:val="auto"/>
          <w:spacing w:val="-8"/>
          <w:sz w:val="21"/>
          <w:szCs w:val="21"/>
          <w:highlight w:val="none"/>
        </w:rPr>
        <w:t>约束双方的合同一部分。</w:t>
      </w:r>
    </w:p>
    <w:p w14:paraId="6CE08F7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08"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8.如果我方未中标，贵方没有必要对我方做出任何解释和说明，我方将充分尊重</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和理解贵方的选择。</w:t>
      </w:r>
    </w:p>
    <w:p w14:paraId="0493D7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rPr>
        <w:t>9.完全理解并无条件承担中标后不依法与采</w:t>
      </w:r>
      <w:r>
        <w:rPr>
          <w:rFonts w:ascii="宋体" w:hAnsi="宋体" w:eastAsia="宋体" w:cs="宋体"/>
          <w:color w:val="auto"/>
          <w:spacing w:val="-1"/>
          <w:sz w:val="21"/>
          <w:szCs w:val="21"/>
          <w:highlight w:val="none"/>
        </w:rPr>
        <w:t>购人签订合同的法律后果。</w:t>
      </w:r>
    </w:p>
    <w:p w14:paraId="04A715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16"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10.如我方中标，在合同签订后</w:t>
      </w:r>
      <w:r>
        <w:rPr>
          <w:rFonts w:ascii="宋体" w:hAnsi="宋体" w:eastAsia="宋体" w:cs="宋体"/>
          <w:color w:val="auto"/>
          <w:spacing w:val="-46"/>
          <w:sz w:val="21"/>
          <w:szCs w:val="21"/>
          <w:highlight w:val="none"/>
        </w:rPr>
        <w:t xml:space="preserve"> </w:t>
      </w:r>
      <w:r>
        <w:rPr>
          <w:rFonts w:ascii="宋体" w:hAnsi="宋体" w:eastAsia="宋体" w:cs="宋体"/>
          <w:color w:val="auto"/>
          <w:spacing w:val="-1"/>
          <w:sz w:val="21"/>
          <w:szCs w:val="21"/>
          <w:highlight w:val="none"/>
        </w:rPr>
        <w:t>3</w:t>
      </w:r>
      <w:r>
        <w:rPr>
          <w:rFonts w:ascii="宋体" w:hAnsi="宋体" w:eastAsia="宋体" w:cs="宋体"/>
          <w:color w:val="auto"/>
          <w:spacing w:val="-51"/>
          <w:sz w:val="21"/>
          <w:szCs w:val="21"/>
          <w:highlight w:val="none"/>
        </w:rPr>
        <w:t xml:space="preserve"> </w:t>
      </w:r>
      <w:r>
        <w:rPr>
          <w:rFonts w:ascii="宋体" w:hAnsi="宋体" w:eastAsia="宋体" w:cs="宋体"/>
          <w:color w:val="auto"/>
          <w:spacing w:val="-1"/>
          <w:sz w:val="21"/>
          <w:szCs w:val="21"/>
          <w:highlight w:val="none"/>
        </w:rPr>
        <w:t>个工作日</w:t>
      </w:r>
      <w:r>
        <w:rPr>
          <w:rFonts w:ascii="宋体" w:hAnsi="宋体" w:eastAsia="宋体" w:cs="宋体"/>
          <w:color w:val="auto"/>
          <w:spacing w:val="-2"/>
          <w:sz w:val="21"/>
          <w:szCs w:val="21"/>
          <w:highlight w:val="none"/>
        </w:rPr>
        <w:t>内向采购代理机构提供合同原件用于</w:t>
      </w:r>
      <w:r>
        <w:rPr>
          <w:rFonts w:ascii="宋体" w:hAnsi="宋体" w:eastAsia="宋体" w:cs="宋体"/>
          <w:color w:val="auto"/>
          <w:spacing w:val="-1"/>
          <w:sz w:val="21"/>
          <w:szCs w:val="21"/>
          <w:highlight w:val="none"/>
        </w:rPr>
        <w:t>采购资料备案工作。</w:t>
      </w:r>
    </w:p>
    <w:p w14:paraId="593094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4"/>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11.我方在此声明，所递交的响应文件及有关资料内容完整、真实和准确。</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与本投标有关的一切正式通讯地址为：</w:t>
      </w:r>
    </w:p>
    <w:p w14:paraId="593289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4"/>
        <w:textAlignment w:val="baseline"/>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 xml:space="preserve">地   址： </w:t>
      </w:r>
    </w:p>
    <w:p w14:paraId="36158F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4"/>
        <w:textAlignment w:val="baseline"/>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电   话：</w:t>
      </w:r>
    </w:p>
    <w:p w14:paraId="0F8B0A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投标人</w:t>
      </w:r>
      <w:r>
        <w:rPr>
          <w:rFonts w:ascii="宋体" w:hAnsi="宋体" w:eastAsia="宋体" w:cs="宋体"/>
          <w:color w:val="auto"/>
          <w:spacing w:val="-16"/>
          <w:sz w:val="21"/>
          <w:szCs w:val="21"/>
          <w:highlight w:val="none"/>
        </w:rPr>
        <w:t>：（</w:t>
      </w:r>
      <w:r>
        <w:rPr>
          <w:rFonts w:ascii="宋体" w:hAnsi="宋体" w:eastAsia="宋体" w:cs="宋体"/>
          <w:color w:val="auto"/>
          <w:spacing w:val="3"/>
          <w:sz w:val="21"/>
          <w:szCs w:val="21"/>
          <w:highlight w:val="none"/>
        </w:rPr>
        <w:t>盖章）</w:t>
      </w:r>
    </w:p>
    <w:p w14:paraId="132335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法定代表人（签字和盖章</w:t>
      </w:r>
      <w:r>
        <w:rPr>
          <w:rFonts w:ascii="宋体" w:hAnsi="宋体" w:eastAsia="宋体" w:cs="宋体"/>
          <w:color w:val="auto"/>
          <w:sz w:val="21"/>
          <w:szCs w:val="21"/>
          <w:highlight w:val="none"/>
        </w:rPr>
        <w:t>）：</w:t>
      </w:r>
    </w:p>
    <w:p w14:paraId="5BB379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日期：</w:t>
      </w:r>
      <w:r>
        <w:rPr>
          <w:rFonts w:ascii="宋体" w:hAnsi="宋体" w:eastAsia="宋体" w:cs="宋体"/>
          <w:color w:val="auto"/>
          <w:spacing w:val="1"/>
          <w:sz w:val="21"/>
          <w:szCs w:val="21"/>
          <w:highlight w:val="none"/>
        </w:rPr>
        <w:t xml:space="preserve">       </w:t>
      </w:r>
      <w:r>
        <w:rPr>
          <w:rFonts w:ascii="宋体" w:hAnsi="宋体" w:eastAsia="宋体" w:cs="宋体"/>
          <w:color w:val="auto"/>
          <w:spacing w:val="-13"/>
          <w:sz w:val="21"/>
          <w:szCs w:val="21"/>
          <w:highlight w:val="none"/>
        </w:rPr>
        <w:t>年</w:t>
      </w:r>
      <w:r>
        <w:rPr>
          <w:rFonts w:ascii="宋体" w:hAnsi="宋体" w:eastAsia="宋体" w:cs="宋体"/>
          <w:color w:val="auto"/>
          <w:spacing w:val="6"/>
          <w:sz w:val="21"/>
          <w:szCs w:val="21"/>
          <w:highlight w:val="none"/>
        </w:rPr>
        <w:t xml:space="preserve">   </w:t>
      </w:r>
      <w:r>
        <w:rPr>
          <w:rFonts w:ascii="宋体" w:hAnsi="宋体" w:eastAsia="宋体" w:cs="宋体"/>
          <w:color w:val="auto"/>
          <w:spacing w:val="-13"/>
          <w:sz w:val="21"/>
          <w:szCs w:val="21"/>
          <w:highlight w:val="none"/>
        </w:rPr>
        <w:t>月</w:t>
      </w:r>
      <w:r>
        <w:rPr>
          <w:rFonts w:ascii="宋体" w:hAnsi="宋体" w:eastAsia="宋体" w:cs="宋体"/>
          <w:color w:val="auto"/>
          <w:spacing w:val="17"/>
          <w:sz w:val="21"/>
          <w:szCs w:val="21"/>
          <w:highlight w:val="none"/>
        </w:rPr>
        <w:t xml:space="preserve">   </w:t>
      </w:r>
      <w:r>
        <w:rPr>
          <w:rFonts w:ascii="宋体" w:hAnsi="宋体" w:eastAsia="宋体" w:cs="宋体"/>
          <w:color w:val="auto"/>
          <w:spacing w:val="-13"/>
          <w:sz w:val="21"/>
          <w:szCs w:val="21"/>
          <w:highlight w:val="none"/>
        </w:rPr>
        <w:t>日</w:t>
      </w:r>
    </w:p>
    <w:p w14:paraId="5A8E57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宋体" w:hAnsi="宋体" w:eastAsia="宋体" w:cs="宋体"/>
          <w:color w:val="auto"/>
          <w:sz w:val="21"/>
          <w:szCs w:val="21"/>
          <w:highlight w:val="none"/>
        </w:rPr>
        <w:sectPr>
          <w:footerReference r:id="rId33" w:type="default"/>
          <w:pgSz w:w="11906" w:h="16839"/>
          <w:pgMar w:top="1440" w:right="1800" w:bottom="1440" w:left="1800" w:header="0" w:footer="973" w:gutter="0"/>
          <w:pgNumType w:fmt="decimal"/>
          <w:cols w:space="720" w:num="1"/>
        </w:sectPr>
      </w:pPr>
    </w:p>
    <w:p w14:paraId="04E4069F">
      <w:pPr>
        <w:pStyle w:val="2"/>
        <w:spacing w:line="270" w:lineRule="auto"/>
        <w:rPr>
          <w:color w:val="auto"/>
          <w:highlight w:val="none"/>
        </w:rPr>
      </w:pPr>
    </w:p>
    <w:p w14:paraId="522ABE08">
      <w:pPr>
        <w:spacing w:before="101" w:line="224" w:lineRule="auto"/>
        <w:ind w:left="3115"/>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投标承诺书（二）</w:t>
      </w:r>
    </w:p>
    <w:p w14:paraId="547E74B6">
      <w:pPr>
        <w:spacing w:before="128" w:line="219"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致</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0"/>
          <w:sz w:val="24"/>
          <w:szCs w:val="24"/>
          <w:highlight w:val="none"/>
        </w:rPr>
        <w:t>（</w:t>
      </w:r>
      <w:r>
        <w:rPr>
          <w:rFonts w:ascii="宋体" w:hAnsi="宋体" w:eastAsia="宋体" w:cs="宋体"/>
          <w:color w:val="auto"/>
          <w:spacing w:val="7"/>
          <w:sz w:val="24"/>
          <w:szCs w:val="24"/>
          <w:highlight w:val="none"/>
        </w:rPr>
        <w:t>采购人名称）</w:t>
      </w:r>
    </w:p>
    <w:p w14:paraId="09CE3B8C">
      <w:pPr>
        <w:spacing w:before="294" w:line="219" w:lineRule="auto"/>
        <w:ind w:left="4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如果我方中标，施工项目负责人为：</w:t>
      </w:r>
    </w:p>
    <w:p w14:paraId="42D86FCA">
      <w:pPr>
        <w:spacing w:line="67" w:lineRule="exact"/>
        <w:rPr>
          <w:color w:val="auto"/>
          <w:highlight w:val="none"/>
        </w:rPr>
      </w:pPr>
    </w:p>
    <w:tbl>
      <w:tblPr>
        <w:tblStyle w:val="13"/>
        <w:tblW w:w="8752"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8"/>
        <w:gridCol w:w="2389"/>
        <w:gridCol w:w="2394"/>
        <w:gridCol w:w="1571"/>
      </w:tblGrid>
      <w:tr w14:paraId="6CB2A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398" w:type="dxa"/>
            <w:vAlign w:val="top"/>
          </w:tcPr>
          <w:p w14:paraId="016EBFEE">
            <w:pPr>
              <w:pStyle w:val="14"/>
              <w:spacing w:before="55" w:line="228" w:lineRule="auto"/>
              <w:ind w:left="115"/>
              <w:rPr>
                <w:color w:val="auto"/>
                <w:sz w:val="20"/>
                <w:szCs w:val="20"/>
                <w:highlight w:val="none"/>
              </w:rPr>
            </w:pPr>
            <w:r>
              <w:rPr>
                <w:color w:val="auto"/>
                <w:spacing w:val="4"/>
                <w:sz w:val="20"/>
                <w:szCs w:val="20"/>
                <w:highlight w:val="none"/>
              </w:rPr>
              <w:t>姓名</w:t>
            </w:r>
          </w:p>
        </w:tc>
        <w:tc>
          <w:tcPr>
            <w:tcW w:w="2389" w:type="dxa"/>
            <w:vAlign w:val="top"/>
          </w:tcPr>
          <w:p w14:paraId="23D67BFC">
            <w:pPr>
              <w:rPr>
                <w:rFonts w:ascii="Arial"/>
                <w:color w:val="auto"/>
                <w:sz w:val="21"/>
                <w:highlight w:val="none"/>
              </w:rPr>
            </w:pPr>
          </w:p>
        </w:tc>
        <w:tc>
          <w:tcPr>
            <w:tcW w:w="2394" w:type="dxa"/>
            <w:vAlign w:val="top"/>
          </w:tcPr>
          <w:p w14:paraId="698BC769">
            <w:pPr>
              <w:pStyle w:val="14"/>
              <w:spacing w:before="55" w:line="230" w:lineRule="auto"/>
              <w:ind w:left="115"/>
              <w:rPr>
                <w:color w:val="auto"/>
                <w:sz w:val="20"/>
                <w:szCs w:val="20"/>
                <w:highlight w:val="none"/>
              </w:rPr>
            </w:pPr>
            <w:r>
              <w:rPr>
                <w:color w:val="auto"/>
                <w:spacing w:val="4"/>
                <w:sz w:val="20"/>
                <w:szCs w:val="20"/>
                <w:highlight w:val="none"/>
              </w:rPr>
              <w:t>职称</w:t>
            </w:r>
          </w:p>
        </w:tc>
        <w:tc>
          <w:tcPr>
            <w:tcW w:w="1571" w:type="dxa"/>
            <w:vAlign w:val="top"/>
          </w:tcPr>
          <w:p w14:paraId="55FAF43E">
            <w:pPr>
              <w:rPr>
                <w:rFonts w:ascii="Arial"/>
                <w:color w:val="auto"/>
                <w:sz w:val="21"/>
                <w:highlight w:val="none"/>
              </w:rPr>
            </w:pPr>
          </w:p>
        </w:tc>
      </w:tr>
      <w:tr w14:paraId="0F324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398" w:type="dxa"/>
            <w:vAlign w:val="top"/>
          </w:tcPr>
          <w:p w14:paraId="71DB9EED">
            <w:pPr>
              <w:pStyle w:val="14"/>
              <w:spacing w:before="52" w:line="228" w:lineRule="auto"/>
              <w:ind w:left="119"/>
              <w:rPr>
                <w:color w:val="auto"/>
                <w:sz w:val="20"/>
                <w:szCs w:val="20"/>
                <w:highlight w:val="none"/>
              </w:rPr>
            </w:pPr>
            <w:r>
              <w:rPr>
                <w:color w:val="auto"/>
                <w:spacing w:val="8"/>
                <w:sz w:val="20"/>
                <w:szCs w:val="20"/>
                <w:highlight w:val="none"/>
              </w:rPr>
              <w:t>项目负责人等级</w:t>
            </w:r>
          </w:p>
        </w:tc>
        <w:tc>
          <w:tcPr>
            <w:tcW w:w="2389" w:type="dxa"/>
            <w:vAlign w:val="top"/>
          </w:tcPr>
          <w:p w14:paraId="2159B571">
            <w:pPr>
              <w:rPr>
                <w:rFonts w:ascii="Arial"/>
                <w:color w:val="auto"/>
                <w:sz w:val="21"/>
                <w:highlight w:val="none"/>
              </w:rPr>
            </w:pPr>
          </w:p>
        </w:tc>
        <w:tc>
          <w:tcPr>
            <w:tcW w:w="2394" w:type="dxa"/>
            <w:vAlign w:val="top"/>
          </w:tcPr>
          <w:p w14:paraId="46966717">
            <w:pPr>
              <w:pStyle w:val="14"/>
              <w:spacing w:before="52" w:line="227" w:lineRule="auto"/>
              <w:ind w:left="114"/>
              <w:rPr>
                <w:color w:val="auto"/>
                <w:sz w:val="20"/>
                <w:szCs w:val="20"/>
                <w:highlight w:val="none"/>
              </w:rPr>
            </w:pPr>
            <w:r>
              <w:rPr>
                <w:color w:val="auto"/>
                <w:spacing w:val="7"/>
                <w:sz w:val="20"/>
                <w:szCs w:val="20"/>
                <w:highlight w:val="none"/>
              </w:rPr>
              <w:t>证书编号</w:t>
            </w:r>
          </w:p>
        </w:tc>
        <w:tc>
          <w:tcPr>
            <w:tcW w:w="1571" w:type="dxa"/>
            <w:vAlign w:val="top"/>
          </w:tcPr>
          <w:p w14:paraId="0AE953D8">
            <w:pPr>
              <w:rPr>
                <w:rFonts w:ascii="Arial"/>
                <w:color w:val="auto"/>
                <w:sz w:val="21"/>
                <w:highlight w:val="none"/>
              </w:rPr>
            </w:pPr>
          </w:p>
        </w:tc>
      </w:tr>
      <w:tr w14:paraId="69811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98" w:type="dxa"/>
            <w:vAlign w:val="top"/>
          </w:tcPr>
          <w:p w14:paraId="2E08C0EF">
            <w:pPr>
              <w:pStyle w:val="14"/>
              <w:spacing w:before="55" w:line="228" w:lineRule="auto"/>
              <w:ind w:left="121"/>
              <w:rPr>
                <w:color w:val="auto"/>
                <w:sz w:val="20"/>
                <w:szCs w:val="20"/>
                <w:highlight w:val="none"/>
              </w:rPr>
            </w:pPr>
            <w:r>
              <w:rPr>
                <w:color w:val="auto"/>
                <w:spacing w:val="7"/>
                <w:sz w:val="20"/>
                <w:szCs w:val="20"/>
                <w:highlight w:val="none"/>
              </w:rPr>
              <w:t>身份证号码</w:t>
            </w:r>
          </w:p>
        </w:tc>
        <w:tc>
          <w:tcPr>
            <w:tcW w:w="6354" w:type="dxa"/>
            <w:gridSpan w:val="3"/>
            <w:vAlign w:val="top"/>
          </w:tcPr>
          <w:p w14:paraId="7199C901">
            <w:pPr>
              <w:rPr>
                <w:rFonts w:ascii="Arial"/>
                <w:color w:val="auto"/>
                <w:sz w:val="21"/>
                <w:highlight w:val="none"/>
              </w:rPr>
            </w:pPr>
          </w:p>
        </w:tc>
      </w:tr>
    </w:tbl>
    <w:p w14:paraId="3065AD1C">
      <w:pPr>
        <w:pStyle w:val="2"/>
        <w:spacing w:line="344" w:lineRule="auto"/>
        <w:rPr>
          <w:color w:val="auto"/>
          <w:highlight w:val="none"/>
        </w:rPr>
      </w:pPr>
    </w:p>
    <w:p w14:paraId="4C4FBFBE">
      <w:pPr>
        <w:spacing w:before="78" w:line="351" w:lineRule="auto"/>
        <w:ind w:firstLine="503"/>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中标后，若由于特殊原因须更换施工项目负责人时，我方将以资质、业绩以及信</w:t>
      </w:r>
      <w:r>
        <w:rPr>
          <w:rFonts w:ascii="宋体" w:hAnsi="宋体" w:eastAsia="宋体" w:cs="宋体"/>
          <w:color w:val="auto"/>
          <w:spacing w:val="13"/>
          <w:sz w:val="24"/>
          <w:szCs w:val="24"/>
          <w:highlight w:val="none"/>
        </w:rPr>
        <w:t xml:space="preserve"> </w:t>
      </w:r>
      <w:r>
        <w:rPr>
          <w:rFonts w:ascii="宋体" w:hAnsi="宋体" w:eastAsia="宋体" w:cs="宋体"/>
          <w:color w:val="auto"/>
          <w:spacing w:val="-3"/>
          <w:sz w:val="24"/>
          <w:szCs w:val="24"/>
          <w:highlight w:val="none"/>
        </w:rPr>
        <w:t>誉不低于此项目经理的人员替换，并报业主审查。经审查通过后，方可更换。若未经</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业主批准，我方擅自更换施工项目负责人，我方愿以合同</w:t>
      </w:r>
      <w:r>
        <w:rPr>
          <w:rFonts w:ascii="宋体" w:hAnsi="宋体" w:eastAsia="宋体" w:cs="宋体"/>
          <w:color w:val="auto"/>
          <w:spacing w:val="-1"/>
          <w:sz w:val="24"/>
          <w:szCs w:val="24"/>
          <w:highlight w:val="none"/>
        </w:rPr>
        <w:t>价的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7"/>
          <w:sz w:val="24"/>
          <w:szCs w:val="24"/>
          <w:highlight w:val="none"/>
        </w:rPr>
        <w:t xml:space="preserve"> </w:t>
      </w:r>
      <w:r>
        <w:rPr>
          <w:rFonts w:ascii="宋体" w:hAnsi="宋体" w:eastAsia="宋体" w:cs="宋体"/>
          <w:color w:val="auto"/>
          <w:spacing w:val="-1"/>
          <w:sz w:val="24"/>
          <w:szCs w:val="24"/>
          <w:highlight w:val="none"/>
        </w:rPr>
        <w:t>%作为赔偿金。</w:t>
      </w:r>
    </w:p>
    <w:p w14:paraId="36358E9B">
      <w:pPr>
        <w:pStyle w:val="2"/>
        <w:spacing w:line="296" w:lineRule="auto"/>
        <w:rPr>
          <w:color w:val="auto"/>
          <w:highlight w:val="none"/>
        </w:rPr>
      </w:pPr>
    </w:p>
    <w:p w14:paraId="1F3C9DF5">
      <w:pPr>
        <w:pStyle w:val="2"/>
        <w:spacing w:line="296" w:lineRule="auto"/>
        <w:rPr>
          <w:color w:val="auto"/>
          <w:highlight w:val="none"/>
        </w:rPr>
      </w:pPr>
    </w:p>
    <w:p w14:paraId="2EEC4D7B">
      <w:pPr>
        <w:pStyle w:val="2"/>
        <w:spacing w:line="296" w:lineRule="auto"/>
        <w:rPr>
          <w:color w:val="auto"/>
          <w:highlight w:val="none"/>
        </w:rPr>
      </w:pPr>
    </w:p>
    <w:p w14:paraId="6EA7ED8F">
      <w:pPr>
        <w:spacing w:before="78" w:line="219" w:lineRule="auto"/>
        <w:ind w:left="480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36492C80">
      <w:pPr>
        <w:pStyle w:val="2"/>
        <w:spacing w:line="284" w:lineRule="auto"/>
        <w:rPr>
          <w:color w:val="auto"/>
          <w:highlight w:val="none"/>
        </w:rPr>
      </w:pPr>
    </w:p>
    <w:p w14:paraId="410ABDC2">
      <w:pPr>
        <w:pStyle w:val="2"/>
        <w:spacing w:line="285" w:lineRule="auto"/>
        <w:rPr>
          <w:color w:val="auto"/>
          <w:highlight w:val="none"/>
        </w:rPr>
      </w:pPr>
    </w:p>
    <w:p w14:paraId="6198E13A">
      <w:pPr>
        <w:spacing w:before="79" w:line="219" w:lineRule="auto"/>
        <w:ind w:left="48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z w:val="24"/>
          <w:szCs w:val="24"/>
          <w:highlight w:val="none"/>
        </w:rPr>
        <w:t>）：</w:t>
      </w:r>
    </w:p>
    <w:p w14:paraId="6EE14385">
      <w:pPr>
        <w:pStyle w:val="2"/>
        <w:spacing w:line="276" w:lineRule="auto"/>
        <w:rPr>
          <w:color w:val="auto"/>
          <w:highlight w:val="none"/>
        </w:rPr>
      </w:pPr>
    </w:p>
    <w:p w14:paraId="4CA731C0">
      <w:pPr>
        <w:pStyle w:val="2"/>
        <w:spacing w:line="276" w:lineRule="auto"/>
        <w:rPr>
          <w:color w:val="auto"/>
          <w:highlight w:val="none"/>
        </w:rPr>
      </w:pPr>
    </w:p>
    <w:p w14:paraId="28EA2D0E">
      <w:pPr>
        <w:pStyle w:val="2"/>
        <w:spacing w:line="276" w:lineRule="auto"/>
        <w:rPr>
          <w:color w:val="auto"/>
          <w:highlight w:val="none"/>
        </w:rPr>
      </w:pPr>
    </w:p>
    <w:p w14:paraId="4F3A8401">
      <w:pPr>
        <w:pStyle w:val="2"/>
        <w:spacing w:line="276" w:lineRule="auto"/>
        <w:rPr>
          <w:color w:val="auto"/>
          <w:highlight w:val="none"/>
        </w:rPr>
      </w:pPr>
    </w:p>
    <w:p w14:paraId="542A4360">
      <w:pPr>
        <w:pStyle w:val="2"/>
        <w:spacing w:line="276" w:lineRule="auto"/>
        <w:rPr>
          <w:color w:val="auto"/>
          <w:highlight w:val="none"/>
        </w:rPr>
      </w:pPr>
    </w:p>
    <w:p w14:paraId="00FB619B">
      <w:pPr>
        <w:pStyle w:val="2"/>
        <w:spacing w:line="276" w:lineRule="auto"/>
        <w:rPr>
          <w:color w:val="auto"/>
          <w:highlight w:val="none"/>
        </w:rPr>
      </w:pPr>
    </w:p>
    <w:p w14:paraId="62BB4F8E">
      <w:pPr>
        <w:spacing w:before="78" w:line="219" w:lineRule="auto"/>
        <w:ind w:left="4842"/>
        <w:rPr>
          <w:rFonts w:ascii="宋体" w:hAnsi="宋体" w:eastAsia="宋体" w:cs="宋体"/>
          <w:color w:val="auto"/>
          <w:sz w:val="24"/>
          <w:szCs w:val="24"/>
          <w:highlight w:val="none"/>
        </w:rPr>
        <w:sectPr>
          <w:footerReference r:id="rId34" w:type="default"/>
          <w:pgSz w:w="11906" w:h="16839"/>
          <w:pgMar w:top="1440" w:right="1800" w:bottom="1440" w:left="1800" w:header="0" w:footer="973" w:gutter="0"/>
          <w:pgNumType w:fmt="decimal"/>
          <w:cols w:space="720" w:num="1"/>
        </w:sect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7F120AA7">
      <w:pPr>
        <w:pStyle w:val="2"/>
        <w:spacing w:line="261" w:lineRule="auto"/>
        <w:rPr>
          <w:color w:val="auto"/>
          <w:highlight w:val="none"/>
        </w:rPr>
      </w:pPr>
    </w:p>
    <w:p w14:paraId="25E5FE17">
      <w:pPr>
        <w:spacing w:before="101" w:line="224" w:lineRule="auto"/>
        <w:jc w:val="center"/>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投标承诺书（三）</w:t>
      </w:r>
    </w:p>
    <w:p w14:paraId="54EE61D4">
      <w:pPr>
        <w:pStyle w:val="2"/>
        <w:rPr>
          <w:color w:val="auto"/>
          <w:highlight w:val="none"/>
        </w:rPr>
      </w:pPr>
    </w:p>
    <w:p w14:paraId="588D80B4">
      <w:pPr>
        <w:pStyle w:val="2"/>
        <w:rPr>
          <w:color w:val="auto"/>
          <w:highlight w:val="none"/>
        </w:rPr>
      </w:pPr>
    </w:p>
    <w:p w14:paraId="1555B216">
      <w:pPr>
        <w:pStyle w:val="2"/>
        <w:rPr>
          <w:color w:val="auto"/>
          <w:highlight w:val="none"/>
        </w:rPr>
      </w:pPr>
    </w:p>
    <w:p w14:paraId="6AAF3ECC">
      <w:pPr>
        <w:spacing w:before="78" w:line="390" w:lineRule="auto"/>
        <w:ind w:left="491" w:right="1549" w:firstLine="101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具备履行合同所必需的设备和专业技术能力的书面声明</w:t>
      </w:r>
      <w:r>
        <w:rPr>
          <w:rFonts w:ascii="宋体" w:hAnsi="宋体" w:eastAsia="宋体" w:cs="宋体"/>
          <w:color w:val="auto"/>
          <w:spacing w:val="17"/>
          <w:sz w:val="24"/>
          <w:szCs w:val="24"/>
          <w:highlight w:val="none"/>
        </w:rPr>
        <w:t xml:space="preserve"> </w:t>
      </w:r>
      <w:r>
        <w:rPr>
          <w:rFonts w:ascii="宋体" w:hAnsi="宋体" w:eastAsia="宋体" w:cs="宋体"/>
          <w:b/>
          <w:bCs/>
          <w:color w:val="auto"/>
          <w:spacing w:val="-4"/>
          <w:sz w:val="24"/>
          <w:szCs w:val="24"/>
          <w:highlight w:val="none"/>
        </w:rPr>
        <w:t>致：采购人</w:t>
      </w:r>
    </w:p>
    <w:p w14:paraId="7DC5BFB3">
      <w:pPr>
        <w:spacing w:line="229" w:lineRule="auto"/>
        <w:ind w:left="1" w:firstLine="4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我单位郑重声明：我单位具备履行本项采购合同所必需的设备和专业技术能力，</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为履行本项采购合同我公司具备如下主要设备和主要专业技术能力：</w:t>
      </w:r>
    </w:p>
    <w:p w14:paraId="5303DCCC">
      <w:pPr>
        <w:spacing w:before="183" w:line="347" w:lineRule="auto"/>
        <w:ind w:left="492" w:right="46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主要设备有：</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 xml:space="preserve"> </w:t>
      </w:r>
      <w:r>
        <w:rPr>
          <w:rFonts w:ascii="宋体" w:hAnsi="宋体" w:eastAsia="宋体" w:cs="宋体"/>
          <w:color w:val="auto"/>
          <w:spacing w:val="-5"/>
          <w:sz w:val="24"/>
          <w:szCs w:val="24"/>
          <w:highlight w:val="none"/>
        </w:rPr>
        <w:t>主要专业技术能力有：</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w:t>
      </w:r>
      <w:r>
        <w:rPr>
          <w:rFonts w:ascii="宋体" w:hAnsi="宋体" w:eastAsia="宋体" w:cs="宋体"/>
          <w:color w:val="auto"/>
          <w:sz w:val="24"/>
          <w:szCs w:val="24"/>
          <w:highlight w:val="none"/>
          <w:u w:val="single" w:color="auto"/>
        </w:rPr>
        <w:t xml:space="preserve">   </w:t>
      </w:r>
    </w:p>
    <w:p w14:paraId="0192E7B3">
      <w:pPr>
        <w:spacing w:before="110" w:line="219" w:lineRule="auto"/>
        <w:ind w:left="48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44B5B9B4">
      <w:pPr>
        <w:pStyle w:val="2"/>
        <w:spacing w:line="284" w:lineRule="auto"/>
        <w:rPr>
          <w:color w:val="auto"/>
          <w:highlight w:val="none"/>
        </w:rPr>
      </w:pPr>
    </w:p>
    <w:p w14:paraId="5DA7503D">
      <w:pPr>
        <w:pStyle w:val="2"/>
        <w:spacing w:line="285" w:lineRule="auto"/>
        <w:rPr>
          <w:color w:val="auto"/>
          <w:highlight w:val="none"/>
        </w:rPr>
      </w:pPr>
    </w:p>
    <w:p w14:paraId="545952C4">
      <w:pPr>
        <w:spacing w:before="79" w:line="219" w:lineRule="auto"/>
        <w:ind w:left="47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z w:val="24"/>
          <w:szCs w:val="24"/>
          <w:highlight w:val="none"/>
        </w:rPr>
        <w:t>）：</w:t>
      </w:r>
    </w:p>
    <w:p w14:paraId="0D319306">
      <w:pPr>
        <w:pStyle w:val="2"/>
        <w:spacing w:line="415" w:lineRule="auto"/>
        <w:rPr>
          <w:color w:val="auto"/>
          <w:highlight w:val="none"/>
        </w:rPr>
      </w:pPr>
    </w:p>
    <w:p w14:paraId="21C93F65">
      <w:pPr>
        <w:spacing w:before="78" w:line="219" w:lineRule="auto"/>
        <w:ind w:left="508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7EF25C1B">
      <w:pPr>
        <w:pStyle w:val="2"/>
        <w:spacing w:line="275" w:lineRule="auto"/>
        <w:rPr>
          <w:color w:val="auto"/>
          <w:highlight w:val="none"/>
        </w:rPr>
      </w:pPr>
    </w:p>
    <w:p w14:paraId="6DB34401">
      <w:pPr>
        <w:pStyle w:val="2"/>
        <w:spacing w:line="275" w:lineRule="auto"/>
        <w:rPr>
          <w:color w:val="auto"/>
          <w:highlight w:val="none"/>
        </w:rPr>
      </w:pPr>
    </w:p>
    <w:p w14:paraId="36941518">
      <w:pPr>
        <w:pStyle w:val="2"/>
        <w:spacing w:line="276" w:lineRule="auto"/>
        <w:rPr>
          <w:color w:val="auto"/>
          <w:highlight w:val="none"/>
        </w:rPr>
      </w:pPr>
    </w:p>
    <w:p w14:paraId="65E09598">
      <w:pPr>
        <w:pStyle w:val="2"/>
        <w:spacing w:line="276" w:lineRule="auto"/>
        <w:rPr>
          <w:color w:val="auto"/>
          <w:highlight w:val="none"/>
        </w:rPr>
      </w:pPr>
    </w:p>
    <w:p w14:paraId="7B13F85D">
      <w:pPr>
        <w:pStyle w:val="2"/>
        <w:spacing w:line="276" w:lineRule="auto"/>
        <w:rPr>
          <w:color w:val="auto"/>
          <w:highlight w:val="none"/>
        </w:rPr>
      </w:pPr>
    </w:p>
    <w:p w14:paraId="2EB12D5D">
      <w:pPr>
        <w:pStyle w:val="2"/>
        <w:spacing w:line="276" w:lineRule="auto"/>
        <w:rPr>
          <w:color w:val="auto"/>
          <w:highlight w:val="none"/>
        </w:rPr>
      </w:pPr>
    </w:p>
    <w:p w14:paraId="5B1F29D6">
      <w:pPr>
        <w:spacing w:before="79" w:line="219" w:lineRule="auto"/>
        <w:ind w:left="840"/>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参加本次采购活动前</w:t>
      </w:r>
      <w:r>
        <w:rPr>
          <w:rFonts w:ascii="宋体" w:hAnsi="宋体" w:eastAsia="宋体" w:cs="宋体"/>
          <w:color w:val="auto"/>
          <w:spacing w:val="-2"/>
          <w:sz w:val="24"/>
          <w:szCs w:val="24"/>
          <w:highlight w:val="none"/>
        </w:rPr>
        <w:t xml:space="preserve"> </w:t>
      </w:r>
      <w:r>
        <w:rPr>
          <w:rFonts w:ascii="Times New Roman" w:hAnsi="Times New Roman" w:eastAsia="Times New Roman" w:cs="Times New Roman"/>
          <w:b/>
          <w:bCs/>
          <w:color w:val="auto"/>
          <w:spacing w:val="-2"/>
          <w:sz w:val="24"/>
          <w:szCs w:val="24"/>
          <w:highlight w:val="none"/>
        </w:rPr>
        <w:t xml:space="preserve">3  </w:t>
      </w:r>
      <w:r>
        <w:rPr>
          <w:rFonts w:ascii="宋体" w:hAnsi="宋体" w:eastAsia="宋体" w:cs="宋体"/>
          <w:b/>
          <w:bCs/>
          <w:color w:val="auto"/>
          <w:spacing w:val="-2"/>
          <w:sz w:val="24"/>
          <w:szCs w:val="24"/>
          <w:highlight w:val="none"/>
        </w:rPr>
        <w:t>年内在经营活动中没有重大违法记录承诺书</w:t>
      </w:r>
    </w:p>
    <w:p w14:paraId="58EA8E17">
      <w:pPr>
        <w:spacing w:before="263"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我单位郑重承诺：</w:t>
      </w:r>
    </w:p>
    <w:p w14:paraId="467387CB">
      <w:pPr>
        <w:spacing w:before="184" w:line="229" w:lineRule="auto"/>
        <w:ind w:left="3" w:right="47" w:firstLine="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1、参加本次采购活动前 3 年内，我单位在经营活动中</w:t>
      </w:r>
      <w:r>
        <w:rPr>
          <w:rFonts w:ascii="宋体" w:hAnsi="宋体" w:eastAsia="宋体" w:cs="宋体"/>
          <w:color w:val="auto"/>
          <w:spacing w:val="-4"/>
          <w:sz w:val="24"/>
          <w:szCs w:val="24"/>
          <w:highlight w:val="none"/>
        </w:rPr>
        <w:t>没有因违法经营受到刑事</w:t>
      </w:r>
      <w:r>
        <w:rPr>
          <w:rFonts w:ascii="宋体" w:hAnsi="宋体" w:eastAsia="宋体" w:cs="宋体"/>
          <w:color w:val="auto"/>
          <w:spacing w:val="-1"/>
          <w:sz w:val="24"/>
          <w:szCs w:val="24"/>
          <w:highlight w:val="none"/>
        </w:rPr>
        <w:t>处罚或者责令停产停业、吊销许可证或者执照、较大数额罚款等行政处罚。</w:t>
      </w:r>
    </w:p>
    <w:p w14:paraId="156A21E6">
      <w:pPr>
        <w:spacing w:before="184" w:line="229" w:lineRule="auto"/>
        <w:ind w:right="86"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2、近三年政府采购合同履约过程中及其他经营活动履约过程中无因围标串标、</w:t>
      </w:r>
      <w:r>
        <w:rPr>
          <w:rFonts w:ascii="宋体" w:hAnsi="宋体" w:eastAsia="宋体" w:cs="宋体"/>
          <w:color w:val="auto"/>
          <w:sz w:val="24"/>
          <w:szCs w:val="24"/>
          <w:highlight w:val="none"/>
        </w:rPr>
        <w:t>偷税漏税、制售假冒伪劣商品等行为被有关行</w:t>
      </w:r>
      <w:r>
        <w:rPr>
          <w:rFonts w:ascii="宋体" w:hAnsi="宋体" w:eastAsia="宋体" w:cs="宋体"/>
          <w:color w:val="auto"/>
          <w:spacing w:val="-1"/>
          <w:sz w:val="24"/>
          <w:szCs w:val="24"/>
          <w:highlight w:val="none"/>
        </w:rPr>
        <w:t>政部门处罚（处理）记录。</w:t>
      </w:r>
    </w:p>
    <w:p w14:paraId="43AEA2C2">
      <w:pPr>
        <w:spacing w:before="260" w:line="219" w:lineRule="auto"/>
        <w:ind w:left="48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0D30B86B">
      <w:pPr>
        <w:pStyle w:val="2"/>
        <w:spacing w:line="284" w:lineRule="auto"/>
        <w:rPr>
          <w:color w:val="auto"/>
          <w:highlight w:val="none"/>
        </w:rPr>
      </w:pPr>
    </w:p>
    <w:p w14:paraId="4F1ACFD2">
      <w:pPr>
        <w:pStyle w:val="2"/>
        <w:spacing w:line="285" w:lineRule="auto"/>
        <w:rPr>
          <w:color w:val="auto"/>
          <w:highlight w:val="none"/>
        </w:rPr>
      </w:pPr>
    </w:p>
    <w:p w14:paraId="112402CD">
      <w:pPr>
        <w:spacing w:before="79" w:line="219" w:lineRule="auto"/>
        <w:ind w:left="47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z w:val="24"/>
          <w:szCs w:val="24"/>
          <w:highlight w:val="none"/>
        </w:rPr>
        <w:t>）：</w:t>
      </w:r>
    </w:p>
    <w:p w14:paraId="3902B001">
      <w:pPr>
        <w:pStyle w:val="2"/>
        <w:spacing w:line="415" w:lineRule="auto"/>
        <w:rPr>
          <w:color w:val="auto"/>
          <w:highlight w:val="none"/>
        </w:rPr>
      </w:pPr>
    </w:p>
    <w:p w14:paraId="764862A7">
      <w:pPr>
        <w:spacing w:before="79" w:line="219" w:lineRule="auto"/>
        <w:ind w:left="5080"/>
        <w:rPr>
          <w:rFonts w:ascii="宋体" w:hAnsi="宋体" w:eastAsia="宋体" w:cs="宋体"/>
          <w:color w:val="auto"/>
          <w:sz w:val="24"/>
          <w:szCs w:val="24"/>
          <w:highlight w:val="none"/>
        </w:rPr>
        <w:sectPr>
          <w:footerReference r:id="rId35" w:type="default"/>
          <w:pgSz w:w="11906" w:h="16839"/>
          <w:pgMar w:top="1440" w:right="1800" w:bottom="1440" w:left="1800" w:header="0" w:footer="973" w:gutter="0"/>
          <w:pgNumType w:fmt="decimal"/>
          <w:cols w:space="720" w:num="1"/>
        </w:sect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00FD535E">
      <w:pPr>
        <w:pStyle w:val="2"/>
        <w:spacing w:line="270" w:lineRule="auto"/>
        <w:rPr>
          <w:color w:val="auto"/>
          <w:highlight w:val="none"/>
        </w:rPr>
      </w:pPr>
    </w:p>
    <w:p w14:paraId="4DBE517E">
      <w:pPr>
        <w:spacing w:before="101" w:line="224" w:lineRule="auto"/>
        <w:ind w:left="279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法定代表人身份证明书</w:t>
      </w:r>
    </w:p>
    <w:p w14:paraId="69D18D7D">
      <w:pPr>
        <w:spacing w:line="240" w:lineRule="auto"/>
        <w:ind w:right="0" w:firstLine="0"/>
        <w:jc w:val="both"/>
        <w:rPr>
          <w:rFonts w:ascii="宋体" w:hAnsi="宋体" w:eastAsia="宋体" w:cs="宋体"/>
          <w:color w:val="auto"/>
          <w:spacing w:val="2"/>
          <w:sz w:val="24"/>
          <w:szCs w:val="24"/>
          <w:highlight w:val="none"/>
        </w:rPr>
      </w:pPr>
      <w:r>
        <w:rPr>
          <w:rFonts w:ascii="宋体" w:hAnsi="宋体" w:eastAsia="宋体" w:cs="宋体"/>
          <w:color w:val="auto"/>
          <w:spacing w:val="-15"/>
          <w:sz w:val="24"/>
          <w:szCs w:val="24"/>
          <w:highlight w:val="none"/>
        </w:rPr>
        <w:t>单位名称：</w:t>
      </w:r>
      <w:r>
        <w:rPr>
          <w:rFonts w:ascii="宋体" w:hAnsi="宋体" w:eastAsia="宋体" w:cs="宋体"/>
          <w:color w:val="auto"/>
          <w:spacing w:val="2"/>
          <w:sz w:val="24"/>
          <w:szCs w:val="24"/>
          <w:highlight w:val="none"/>
        </w:rPr>
        <w:t xml:space="preserve"> </w:t>
      </w:r>
    </w:p>
    <w:p w14:paraId="6BBCD1ED">
      <w:pPr>
        <w:spacing w:line="240" w:lineRule="auto"/>
        <w:ind w:right="0" w:firstLine="0"/>
        <w:jc w:val="both"/>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单位性质：</w:t>
      </w:r>
      <w:r>
        <w:rPr>
          <w:rFonts w:ascii="宋体" w:hAnsi="宋体" w:eastAsia="宋体" w:cs="宋体"/>
          <w:color w:val="auto"/>
          <w:sz w:val="24"/>
          <w:szCs w:val="24"/>
          <w:highlight w:val="none"/>
        </w:rPr>
        <w:t xml:space="preserve"> </w:t>
      </w:r>
    </w:p>
    <w:p w14:paraId="4CA6C6C7">
      <w:pPr>
        <w:spacing w:line="240" w:lineRule="auto"/>
        <w:ind w:right="0" w:firstLine="0"/>
        <w:jc w:val="both"/>
        <w:rPr>
          <w:rFonts w:ascii="宋体" w:hAnsi="宋体" w:eastAsia="宋体" w:cs="宋体"/>
          <w:color w:val="auto"/>
          <w:sz w:val="24"/>
          <w:szCs w:val="24"/>
          <w:highlight w:val="none"/>
        </w:rPr>
      </w:pPr>
      <w:r>
        <w:rPr>
          <w:rFonts w:ascii="宋体" w:hAnsi="宋体" w:eastAsia="宋体" w:cs="宋体"/>
          <w:color w:val="auto"/>
          <w:spacing w:val="-2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27"/>
          <w:sz w:val="24"/>
          <w:szCs w:val="24"/>
          <w:highlight w:val="none"/>
        </w:rPr>
        <w:t>址：</w:t>
      </w:r>
    </w:p>
    <w:p w14:paraId="5AE014CE">
      <w:pPr>
        <w:spacing w:before="22" w:line="219" w:lineRule="auto"/>
        <w:ind w:left="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成立时间：</w:t>
      </w:r>
      <w:r>
        <w:rPr>
          <w:rFonts w:ascii="宋体" w:hAnsi="宋体" w:eastAsia="宋体" w:cs="宋体"/>
          <w:color w:val="auto"/>
          <w:spacing w:val="1"/>
          <w:sz w:val="24"/>
          <w:szCs w:val="24"/>
          <w:highlight w:val="none"/>
        </w:rPr>
        <w:t xml:space="preserve">           </w:t>
      </w:r>
      <w:r>
        <w:rPr>
          <w:rFonts w:ascii="宋体" w:hAnsi="宋体" w:eastAsia="宋体" w:cs="宋体"/>
          <w:color w:val="auto"/>
          <w:spacing w:val="-5"/>
          <w:sz w:val="24"/>
          <w:szCs w:val="24"/>
          <w:highlight w:val="none"/>
        </w:rPr>
        <w:t>年</w:t>
      </w:r>
      <w:r>
        <w:rPr>
          <w:rFonts w:ascii="宋体" w:hAnsi="宋体" w:eastAsia="宋体" w:cs="宋体"/>
          <w:color w:val="auto"/>
          <w:spacing w:val="2"/>
          <w:sz w:val="24"/>
          <w:szCs w:val="24"/>
          <w:highlight w:val="none"/>
        </w:rPr>
        <w:t xml:space="preserve">       </w:t>
      </w:r>
      <w:r>
        <w:rPr>
          <w:rFonts w:ascii="宋体" w:hAnsi="宋体" w:eastAsia="宋体" w:cs="宋体"/>
          <w:color w:val="auto"/>
          <w:spacing w:val="-5"/>
          <w:sz w:val="24"/>
          <w:szCs w:val="24"/>
          <w:highlight w:val="none"/>
        </w:rPr>
        <w:t>月</w:t>
      </w:r>
      <w:r>
        <w:rPr>
          <w:rFonts w:ascii="宋体" w:hAnsi="宋体" w:eastAsia="宋体" w:cs="宋体"/>
          <w:color w:val="auto"/>
          <w:spacing w:val="7"/>
          <w:sz w:val="24"/>
          <w:szCs w:val="24"/>
          <w:highlight w:val="none"/>
        </w:rPr>
        <w:t xml:space="preserve">       </w:t>
      </w:r>
      <w:r>
        <w:rPr>
          <w:rFonts w:ascii="宋体" w:hAnsi="宋体" w:eastAsia="宋体" w:cs="宋体"/>
          <w:color w:val="auto"/>
          <w:spacing w:val="-5"/>
          <w:sz w:val="24"/>
          <w:szCs w:val="24"/>
          <w:highlight w:val="none"/>
        </w:rPr>
        <w:t>日</w:t>
      </w:r>
    </w:p>
    <w:p w14:paraId="30275483">
      <w:pPr>
        <w:spacing w:before="182"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p>
    <w:p w14:paraId="27B0C68D">
      <w:pPr>
        <w:pStyle w:val="2"/>
        <w:spacing w:line="283" w:lineRule="auto"/>
        <w:rPr>
          <w:color w:val="auto"/>
          <w:highlight w:val="none"/>
        </w:rPr>
      </w:pPr>
    </w:p>
    <w:p w14:paraId="0B2249F2">
      <w:pPr>
        <w:pStyle w:val="2"/>
        <w:spacing w:line="284" w:lineRule="auto"/>
        <w:rPr>
          <w:color w:val="auto"/>
          <w:highlight w:val="none"/>
        </w:rPr>
      </w:pPr>
    </w:p>
    <w:p w14:paraId="7C9853B1">
      <w:pPr>
        <w:spacing w:before="79" w:line="347" w:lineRule="auto"/>
        <w:ind w:firstLine="7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姓名：性别：年龄：职务：系（投标人名称）的法定代表人。为参加本项目，</w:t>
      </w:r>
      <w:r>
        <w:rPr>
          <w:rFonts w:ascii="宋体" w:hAnsi="宋体" w:eastAsia="宋体" w:cs="宋体"/>
          <w:color w:val="auto"/>
          <w:sz w:val="24"/>
          <w:szCs w:val="24"/>
          <w:highlight w:val="none"/>
        </w:rPr>
        <w:t xml:space="preserve"> 签署上述的响应文件、进行合同谈判、签署合同和处</w:t>
      </w:r>
      <w:r>
        <w:rPr>
          <w:rFonts w:ascii="宋体" w:hAnsi="宋体" w:eastAsia="宋体" w:cs="宋体"/>
          <w:color w:val="auto"/>
          <w:spacing w:val="-1"/>
          <w:sz w:val="24"/>
          <w:szCs w:val="24"/>
          <w:highlight w:val="none"/>
        </w:rPr>
        <w:t>理与之有关的一切事务。</w:t>
      </w:r>
    </w:p>
    <w:p w14:paraId="7F76806D">
      <w:pPr>
        <w:spacing w:before="35"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14:paraId="6D4AE14A">
      <w:pPr>
        <w:spacing w:before="183" w:line="219"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附：法定代表人身份证明</w:t>
      </w:r>
    </w:p>
    <w:p w14:paraId="5A2D7E7E">
      <w:pPr>
        <w:pStyle w:val="2"/>
        <w:spacing w:before="53" w:line="2865" w:lineRule="exact"/>
        <w:ind w:firstLine="78"/>
        <w:rPr>
          <w:color w:val="auto"/>
          <w:highlight w:val="none"/>
        </w:rPr>
      </w:pPr>
      <w:r>
        <w:rPr>
          <w:color w:val="auto"/>
          <w:highlight w:val="none"/>
        </w:rPr>
        <w:pict>
          <v:group id="_x0000_s1040" o:spid="_x0000_s1040" o:spt="203" style="position:absolute;left:0pt;margin-left:224.7pt;margin-top:2.65pt;height:143.3pt;width:215.4pt;z-index:251660288;mso-width-relative:page;mso-height-relative:page;" coordsize="4307,2866">
            <o:lock v:ext="edit"/>
            <v:shape id="_x0000_s1041" o:spid="_x0000_s1041" o:spt="75" type="#_x0000_t75" style="position:absolute;left:0;top:0;height:2866;width:4307;" filled="f" stroked="f" coordsize="21600,21600">
              <v:path/>
              <v:fill on="f" focussize="0,0"/>
              <v:stroke on="f"/>
              <v:imagedata r:id="rId52" o:title=""/>
              <o:lock v:ext="edit" aspectratio="t"/>
            </v:shape>
            <v:shape id="_x0000_s1042" o:spid="_x0000_s1042" o:spt="202" type="#_x0000_t202" style="position:absolute;left:-20;top:-20;height:2957;width:4347;" filled="f" stroked="f" coordsize="21600,21600">
              <v:path/>
              <v:fill on="f" focussize="0,0"/>
              <v:stroke on="f"/>
              <v:imagedata o:title=""/>
              <o:lock v:ext="edit" aspectratio="f"/>
              <v:textbox inset="0mm,0mm,0mm,0mm">
                <w:txbxContent>
                  <w:p w14:paraId="5933053C">
                    <w:pPr>
                      <w:pStyle w:val="2"/>
                      <w:spacing w:line="279" w:lineRule="auto"/>
                    </w:pPr>
                  </w:p>
                  <w:p w14:paraId="4157A483">
                    <w:pPr>
                      <w:pStyle w:val="2"/>
                      <w:spacing w:line="279" w:lineRule="auto"/>
                    </w:pPr>
                  </w:p>
                  <w:p w14:paraId="63F01D46">
                    <w:pPr>
                      <w:pStyle w:val="2"/>
                      <w:spacing w:line="279" w:lineRule="auto"/>
                    </w:pPr>
                  </w:p>
                  <w:p w14:paraId="7FB7E804">
                    <w:pPr>
                      <w:pStyle w:val="2"/>
                      <w:spacing w:line="280" w:lineRule="auto"/>
                    </w:pPr>
                  </w:p>
                  <w:p w14:paraId="403B8E0B">
                    <w:pPr>
                      <w:pStyle w:val="2"/>
                      <w:spacing w:line="280" w:lineRule="auto"/>
                    </w:pPr>
                  </w:p>
                  <w:p w14:paraId="155F7587">
                    <w:pPr>
                      <w:pStyle w:val="2"/>
                      <w:spacing w:line="280" w:lineRule="auto"/>
                    </w:pPr>
                  </w:p>
                  <w:p w14:paraId="6826B9B2">
                    <w:pPr>
                      <w:spacing w:before="91" w:line="220" w:lineRule="auto"/>
                      <w:ind w:left="787"/>
                      <w:rPr>
                        <w:rFonts w:ascii="宋体" w:hAnsi="宋体" w:eastAsia="宋体" w:cs="宋体"/>
                        <w:sz w:val="28"/>
                        <w:szCs w:val="28"/>
                      </w:rPr>
                    </w:pPr>
                    <w:r>
                      <w:rPr>
                        <w:rFonts w:ascii="宋体" w:hAnsi="宋体" w:eastAsia="宋体" w:cs="宋体"/>
                        <w:spacing w:val="-2"/>
                        <w:sz w:val="28"/>
                        <w:szCs w:val="28"/>
                      </w:rPr>
                      <w:t>法定代表人身份证反面</w:t>
                    </w:r>
                  </w:p>
                </w:txbxContent>
              </v:textbox>
            </v:shape>
          </v:group>
        </w:pict>
      </w:r>
      <w:r>
        <w:rPr>
          <w:color w:val="auto"/>
          <w:position w:val="-57"/>
          <w:highlight w:val="none"/>
        </w:rPr>
        <w:pict>
          <v:group id="_x0000_s1043" o:spid="_x0000_s1043" o:spt="203" style="height:143.3pt;width:215.4pt;" coordsize="4307,2866">
            <o:lock v:ext="edit"/>
            <v:shape id="_x0000_s1044" o:spid="_x0000_s1044" o:spt="75" type="#_x0000_t75" style="position:absolute;left:0;top:0;height:2866;width:4307;" filled="f" stroked="f" coordsize="21600,21600">
              <v:path/>
              <v:fill on="f" focussize="0,0"/>
              <v:stroke on="f"/>
              <v:imagedata r:id="rId53" o:title=""/>
              <o:lock v:ext="edit" aspectratio="t"/>
            </v:shape>
            <v:shape id="_x0000_s1045" o:spid="_x0000_s1045" o:spt="202" type="#_x0000_t202" style="position:absolute;left:-20;top:-20;height:2906;width:4347;" filled="f" stroked="f" coordsize="21600,21600">
              <v:path/>
              <v:fill on="f" focussize="0,0"/>
              <v:stroke on="f"/>
              <v:imagedata o:title=""/>
              <o:lock v:ext="edit" aspectratio="f"/>
              <v:textbox inset="0mm,0mm,0mm,0mm">
                <w:txbxContent>
                  <w:p w14:paraId="75288360">
                    <w:pPr>
                      <w:spacing w:line="279" w:lineRule="auto"/>
                      <w:rPr>
                        <w:rFonts w:ascii="Arial"/>
                        <w:sz w:val="21"/>
                      </w:rPr>
                    </w:pPr>
                  </w:p>
                  <w:p w14:paraId="5BAF1CD6">
                    <w:pPr>
                      <w:spacing w:line="279" w:lineRule="auto"/>
                      <w:rPr>
                        <w:rFonts w:ascii="Arial"/>
                        <w:sz w:val="21"/>
                      </w:rPr>
                    </w:pPr>
                  </w:p>
                  <w:p w14:paraId="54727100">
                    <w:pPr>
                      <w:spacing w:line="279" w:lineRule="auto"/>
                      <w:rPr>
                        <w:rFonts w:ascii="Arial"/>
                        <w:sz w:val="21"/>
                      </w:rPr>
                    </w:pPr>
                  </w:p>
                  <w:p w14:paraId="12D920B1">
                    <w:pPr>
                      <w:spacing w:line="280" w:lineRule="auto"/>
                      <w:rPr>
                        <w:rFonts w:ascii="Arial"/>
                        <w:sz w:val="21"/>
                      </w:rPr>
                    </w:pPr>
                  </w:p>
                  <w:p w14:paraId="5CD3A232">
                    <w:pPr>
                      <w:spacing w:line="280" w:lineRule="auto"/>
                      <w:rPr>
                        <w:rFonts w:ascii="Arial"/>
                        <w:sz w:val="21"/>
                      </w:rPr>
                    </w:pPr>
                  </w:p>
                  <w:p w14:paraId="6D9BC821">
                    <w:pPr>
                      <w:spacing w:line="280" w:lineRule="auto"/>
                      <w:rPr>
                        <w:rFonts w:ascii="Arial"/>
                        <w:sz w:val="21"/>
                      </w:rPr>
                    </w:pPr>
                  </w:p>
                  <w:p w14:paraId="3348FEE1">
                    <w:pPr>
                      <w:spacing w:before="91" w:line="220" w:lineRule="auto"/>
                      <w:ind w:left="787"/>
                      <w:rPr>
                        <w:rFonts w:ascii="宋体" w:hAnsi="宋体" w:eastAsia="宋体" w:cs="宋体"/>
                        <w:sz w:val="28"/>
                        <w:szCs w:val="28"/>
                      </w:rPr>
                    </w:pPr>
                    <w:r>
                      <w:rPr>
                        <w:rFonts w:ascii="宋体" w:hAnsi="宋体" w:eastAsia="宋体" w:cs="宋体"/>
                        <w:spacing w:val="-2"/>
                        <w:sz w:val="28"/>
                        <w:szCs w:val="28"/>
                      </w:rPr>
                      <w:t>法定代表人身份证正面</w:t>
                    </w:r>
                  </w:p>
                </w:txbxContent>
              </v:textbox>
            </v:shape>
            <w10:wrap type="none"/>
            <w10:anchorlock/>
          </v:group>
        </w:pict>
      </w:r>
    </w:p>
    <w:p w14:paraId="7053C239">
      <w:pPr>
        <w:pStyle w:val="2"/>
        <w:spacing w:line="247" w:lineRule="auto"/>
        <w:rPr>
          <w:color w:val="auto"/>
          <w:highlight w:val="none"/>
        </w:rPr>
      </w:pPr>
    </w:p>
    <w:p w14:paraId="734F1847">
      <w:pPr>
        <w:pStyle w:val="2"/>
        <w:spacing w:line="247" w:lineRule="auto"/>
        <w:rPr>
          <w:color w:val="auto"/>
          <w:highlight w:val="none"/>
        </w:rPr>
      </w:pPr>
    </w:p>
    <w:p w14:paraId="14203975">
      <w:pPr>
        <w:pStyle w:val="2"/>
        <w:spacing w:line="247" w:lineRule="auto"/>
        <w:rPr>
          <w:color w:val="auto"/>
          <w:highlight w:val="none"/>
        </w:rPr>
      </w:pPr>
    </w:p>
    <w:p w14:paraId="2E394A96">
      <w:pPr>
        <w:pStyle w:val="2"/>
        <w:spacing w:line="247" w:lineRule="auto"/>
        <w:rPr>
          <w:color w:val="auto"/>
          <w:highlight w:val="none"/>
        </w:rPr>
      </w:pPr>
    </w:p>
    <w:p w14:paraId="3EFFE314">
      <w:pPr>
        <w:pStyle w:val="2"/>
        <w:spacing w:line="247" w:lineRule="auto"/>
        <w:rPr>
          <w:color w:val="auto"/>
          <w:highlight w:val="none"/>
        </w:rPr>
      </w:pPr>
    </w:p>
    <w:p w14:paraId="6CBF3A5C">
      <w:pPr>
        <w:spacing w:before="78" w:line="219" w:lineRule="auto"/>
        <w:ind w:left="36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投标人（盖章</w:t>
      </w:r>
      <w:r>
        <w:rPr>
          <w:rFonts w:ascii="宋体" w:hAnsi="宋体" w:eastAsia="宋体" w:cs="宋体"/>
          <w:color w:val="auto"/>
          <w:spacing w:val="2"/>
          <w:sz w:val="24"/>
          <w:szCs w:val="24"/>
          <w:highlight w:val="none"/>
        </w:rPr>
        <w:t>）：</w:t>
      </w:r>
    </w:p>
    <w:p w14:paraId="61F87A7F">
      <w:pPr>
        <w:pStyle w:val="2"/>
        <w:spacing w:line="258" w:lineRule="auto"/>
        <w:rPr>
          <w:color w:val="auto"/>
          <w:highlight w:val="none"/>
        </w:rPr>
      </w:pPr>
    </w:p>
    <w:p w14:paraId="3C5BFB47">
      <w:pPr>
        <w:pStyle w:val="2"/>
        <w:spacing w:line="258" w:lineRule="auto"/>
        <w:rPr>
          <w:color w:val="auto"/>
          <w:highlight w:val="none"/>
        </w:rPr>
      </w:pPr>
    </w:p>
    <w:p w14:paraId="4ACC3F7B">
      <w:pPr>
        <w:pStyle w:val="2"/>
        <w:spacing w:line="259" w:lineRule="auto"/>
        <w:rPr>
          <w:color w:val="auto"/>
          <w:highlight w:val="none"/>
        </w:rPr>
      </w:pPr>
    </w:p>
    <w:p w14:paraId="42AA012B">
      <w:pPr>
        <w:pStyle w:val="2"/>
        <w:spacing w:line="259" w:lineRule="auto"/>
        <w:rPr>
          <w:color w:val="auto"/>
          <w:highlight w:val="none"/>
        </w:rPr>
      </w:pPr>
    </w:p>
    <w:p w14:paraId="3A7899A0">
      <w:pPr>
        <w:spacing w:before="79" w:line="219" w:lineRule="auto"/>
        <w:ind w:left="36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z w:val="24"/>
          <w:szCs w:val="24"/>
          <w:highlight w:val="none"/>
        </w:rPr>
        <w:t>）：</w:t>
      </w:r>
    </w:p>
    <w:p w14:paraId="22355B36">
      <w:pPr>
        <w:pStyle w:val="2"/>
        <w:spacing w:line="258" w:lineRule="auto"/>
        <w:rPr>
          <w:color w:val="auto"/>
          <w:highlight w:val="none"/>
        </w:rPr>
      </w:pPr>
    </w:p>
    <w:p w14:paraId="3E20EBBD">
      <w:pPr>
        <w:pStyle w:val="2"/>
        <w:spacing w:line="259" w:lineRule="auto"/>
        <w:rPr>
          <w:color w:val="auto"/>
          <w:highlight w:val="none"/>
        </w:rPr>
      </w:pPr>
    </w:p>
    <w:p w14:paraId="6B728F21">
      <w:pPr>
        <w:pStyle w:val="2"/>
        <w:spacing w:line="259" w:lineRule="auto"/>
        <w:rPr>
          <w:color w:val="auto"/>
          <w:highlight w:val="none"/>
        </w:rPr>
      </w:pPr>
    </w:p>
    <w:p w14:paraId="147042A7">
      <w:pPr>
        <w:pStyle w:val="2"/>
        <w:spacing w:line="259" w:lineRule="auto"/>
        <w:rPr>
          <w:color w:val="auto"/>
          <w:highlight w:val="none"/>
        </w:rPr>
      </w:pPr>
    </w:p>
    <w:p w14:paraId="7EDD37D7">
      <w:pPr>
        <w:spacing w:before="79" w:line="219" w:lineRule="auto"/>
        <w:ind w:left="364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2E6B498C">
      <w:pPr>
        <w:spacing w:line="219" w:lineRule="auto"/>
        <w:rPr>
          <w:rFonts w:ascii="宋体" w:hAnsi="宋体" w:eastAsia="宋体" w:cs="宋体"/>
          <w:color w:val="auto"/>
          <w:sz w:val="24"/>
          <w:szCs w:val="24"/>
          <w:highlight w:val="none"/>
        </w:rPr>
        <w:sectPr>
          <w:footerReference r:id="rId36" w:type="default"/>
          <w:pgSz w:w="11906" w:h="16839"/>
          <w:pgMar w:top="1440" w:right="1800" w:bottom="1440" w:left="1800" w:header="0" w:footer="973" w:gutter="0"/>
          <w:pgNumType w:fmt="decimal"/>
          <w:cols w:space="720" w:num="1"/>
        </w:sectPr>
      </w:pPr>
    </w:p>
    <w:p w14:paraId="5038079C">
      <w:pPr>
        <w:spacing w:before="101" w:line="224"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授权委托书</w:t>
      </w:r>
    </w:p>
    <w:p w14:paraId="2D99C0CB">
      <w:pPr>
        <w:spacing w:before="131" w:line="355" w:lineRule="auto"/>
        <w:ind w:right="188"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本授权委托书声明：注册于</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（注册地址）的</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（投标人</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名称）的在下面签字的</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（法定代表姓名、职务</w:t>
      </w:r>
      <w:r>
        <w:rPr>
          <w:rFonts w:ascii="宋体" w:hAnsi="宋体" w:eastAsia="宋体" w:cs="宋体"/>
          <w:color w:val="auto"/>
          <w:spacing w:val="-6"/>
          <w:sz w:val="24"/>
          <w:szCs w:val="24"/>
          <w:highlight w:val="none"/>
        </w:rPr>
        <w:t>），</w:t>
      </w:r>
      <w:r>
        <w:rPr>
          <w:rFonts w:ascii="宋体" w:hAnsi="宋体" w:eastAsia="宋体" w:cs="宋体"/>
          <w:color w:val="auto"/>
          <w:spacing w:val="-2"/>
          <w:sz w:val="24"/>
          <w:szCs w:val="24"/>
          <w:highlight w:val="none"/>
        </w:rPr>
        <w:t>代表我单</w:t>
      </w:r>
      <w:r>
        <w:rPr>
          <w:rFonts w:ascii="宋体" w:hAnsi="宋体" w:eastAsia="宋体" w:cs="宋体"/>
          <w:color w:val="auto"/>
          <w:sz w:val="24"/>
          <w:szCs w:val="24"/>
          <w:highlight w:val="none"/>
        </w:rPr>
        <w:t xml:space="preserve"> 位授权在下面签字的 </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（被授权</w:t>
      </w:r>
      <w:r>
        <w:rPr>
          <w:rFonts w:ascii="宋体" w:hAnsi="宋体" w:eastAsia="宋体" w:cs="宋体"/>
          <w:color w:val="auto"/>
          <w:spacing w:val="-1"/>
          <w:sz w:val="24"/>
          <w:szCs w:val="24"/>
          <w:highlight w:val="none"/>
        </w:rPr>
        <w:t>人的姓名、职务）为我公</w:t>
      </w:r>
      <w:r>
        <w:rPr>
          <w:rFonts w:ascii="宋体" w:hAnsi="宋体" w:eastAsia="宋体" w:cs="宋体"/>
          <w:color w:val="auto"/>
          <w:sz w:val="24"/>
          <w:szCs w:val="24"/>
          <w:highlight w:val="none"/>
        </w:rPr>
        <w:t xml:space="preserve"> 司的委托代理人。委托代理人根据授权，就</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（招标项目名称、项</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目编号）招标工程的投标活动。代理人在参加整个工程招标投标活动、合同谈判过程</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中所签署的一切文件和处理与之有关的一切事务，我均予以承认，其法律后果由我公司承担。</w:t>
      </w:r>
    </w:p>
    <w:p w14:paraId="4F57DB2F">
      <w:pPr>
        <w:spacing w:before="36" w:line="219" w:lineRule="auto"/>
        <w:ind w:left="95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代理人无转委托权，特此委托！</w:t>
      </w:r>
    </w:p>
    <w:p w14:paraId="6BCE03E4">
      <w:pPr>
        <w:spacing w:before="179" w:line="347" w:lineRule="auto"/>
        <w:ind w:left="479" w:right="2254"/>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授权日期：</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pacing w:val="-11"/>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pacing w:val="40"/>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日至</w:t>
      </w:r>
      <w:r>
        <w:rPr>
          <w:rFonts w:ascii="宋体" w:hAnsi="宋体" w:eastAsia="宋体" w:cs="宋体"/>
          <w:color w:val="auto"/>
          <w:spacing w:val="2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pacing w:val="40"/>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pacing w:val="40"/>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代理人：性别： 年龄：  身份证号码：部门：职务：</w:t>
      </w:r>
    </w:p>
    <w:p w14:paraId="53F9D580">
      <w:pPr>
        <w:spacing w:before="31" w:line="219" w:lineRule="auto"/>
        <w:ind w:left="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附：法定代表人及授权委托代理人身份证明。</w:t>
      </w:r>
    </w:p>
    <w:p w14:paraId="6FF002FA">
      <w:pPr>
        <w:pStyle w:val="2"/>
        <w:spacing w:before="144" w:line="2542" w:lineRule="exact"/>
        <w:ind w:firstLine="92"/>
        <w:rPr>
          <w:color w:val="auto"/>
          <w:highlight w:val="none"/>
        </w:rPr>
      </w:pPr>
      <w:r>
        <w:rPr>
          <w:color w:val="auto"/>
          <w:highlight w:val="none"/>
        </w:rPr>
        <w:pict>
          <v:group id="_x0000_s1046" o:spid="_x0000_s1046" o:spt="203" style="position:absolute;left:0pt;margin-left:232.85pt;margin-top:7.85pt;height:127.15pt;width:215.4pt;z-index:251661312;mso-width-relative:page;mso-height-relative:page;" coordsize="4307,2543">
            <o:lock v:ext="edit"/>
            <v:shape id="_x0000_s1047" o:spid="_x0000_s1047" o:spt="75" type="#_x0000_t75" style="position:absolute;left:0;top:0;height:2543;width:4307;" filled="f" stroked="f" coordsize="21600,21600">
              <v:path/>
              <v:fill on="f" focussize="0,0"/>
              <v:stroke on="f"/>
              <v:imagedata r:id="rId54" o:title=""/>
              <o:lock v:ext="edit" aspectratio="t"/>
            </v:shape>
            <v:shape id="_x0000_s1048" o:spid="_x0000_s1048" o:spt="202" type="#_x0000_t202" style="position:absolute;left:-20;top:-20;height:2635;width:4347;" filled="f" stroked="f" coordsize="21600,21600">
              <v:path/>
              <v:fill on="f" focussize="0,0"/>
              <v:stroke on="f"/>
              <v:imagedata o:title=""/>
              <o:lock v:ext="edit" aspectratio="f"/>
              <v:textbox inset="0mm,0mm,0mm,0mm">
                <w:txbxContent>
                  <w:p w14:paraId="08750DBA">
                    <w:pPr>
                      <w:pStyle w:val="2"/>
                      <w:spacing w:line="241" w:lineRule="auto"/>
                    </w:pPr>
                  </w:p>
                  <w:p w14:paraId="4F43098E">
                    <w:pPr>
                      <w:pStyle w:val="2"/>
                      <w:spacing w:line="241" w:lineRule="auto"/>
                    </w:pPr>
                  </w:p>
                  <w:p w14:paraId="59A57C6B">
                    <w:pPr>
                      <w:pStyle w:val="2"/>
                      <w:spacing w:line="242" w:lineRule="auto"/>
                    </w:pPr>
                  </w:p>
                  <w:p w14:paraId="3CAA1E55">
                    <w:pPr>
                      <w:pStyle w:val="2"/>
                      <w:spacing w:line="242" w:lineRule="auto"/>
                    </w:pPr>
                  </w:p>
                  <w:p w14:paraId="11231981">
                    <w:pPr>
                      <w:pStyle w:val="2"/>
                      <w:spacing w:line="242" w:lineRule="auto"/>
                    </w:pPr>
                  </w:p>
                  <w:p w14:paraId="06600BE2">
                    <w:pPr>
                      <w:spacing w:before="91" w:line="220" w:lineRule="auto"/>
                      <w:ind w:left="784"/>
                      <w:rPr>
                        <w:rFonts w:ascii="宋体" w:hAnsi="宋体" w:eastAsia="宋体" w:cs="宋体"/>
                        <w:sz w:val="28"/>
                        <w:szCs w:val="28"/>
                      </w:rPr>
                    </w:pPr>
                    <w:r>
                      <w:rPr>
                        <w:rFonts w:ascii="宋体" w:hAnsi="宋体" w:eastAsia="宋体" w:cs="宋体"/>
                        <w:spacing w:val="-1"/>
                        <w:sz w:val="28"/>
                        <w:szCs w:val="28"/>
                      </w:rPr>
                      <w:t>法定代表人身份证反面</w:t>
                    </w:r>
                  </w:p>
                </w:txbxContent>
              </v:textbox>
            </v:shape>
          </v:group>
        </w:pict>
      </w:r>
      <w:r>
        <w:rPr>
          <w:color w:val="auto"/>
          <w:position w:val="-50"/>
          <w:highlight w:val="none"/>
        </w:rPr>
        <w:pict>
          <v:group id="_x0000_s1049" o:spid="_x0000_s1049" o:spt="203" style="height:127.15pt;width:215.4pt;" coordsize="4307,2543">
            <o:lock v:ext="edit"/>
            <v:shape id="_x0000_s1050" o:spid="_x0000_s1050" o:spt="75" type="#_x0000_t75" style="position:absolute;left:0;top:0;height:2543;width:4307;" filled="f" stroked="f" coordsize="21600,21600">
              <v:path/>
              <v:fill on="f" focussize="0,0"/>
              <v:stroke on="f"/>
              <v:imagedata r:id="rId55" o:title=""/>
              <o:lock v:ext="edit" aspectratio="t"/>
            </v:shape>
            <v:shape id="_x0000_s1051" o:spid="_x0000_s1051" o:spt="202" type="#_x0000_t202" style="position:absolute;left:-20;top:-20;height:2582;width:4347;" filled="f" stroked="f" coordsize="21600,21600">
              <v:path/>
              <v:fill on="f" focussize="0,0"/>
              <v:stroke on="f"/>
              <v:imagedata o:title=""/>
              <o:lock v:ext="edit" aspectratio="f"/>
              <v:textbox inset="0mm,0mm,0mm,0mm">
                <w:txbxContent>
                  <w:p w14:paraId="34772483">
                    <w:pPr>
                      <w:spacing w:line="241" w:lineRule="auto"/>
                      <w:rPr>
                        <w:rFonts w:ascii="Arial"/>
                        <w:sz w:val="21"/>
                      </w:rPr>
                    </w:pPr>
                  </w:p>
                  <w:p w14:paraId="65799320">
                    <w:pPr>
                      <w:spacing w:line="241" w:lineRule="auto"/>
                      <w:rPr>
                        <w:rFonts w:ascii="Arial"/>
                        <w:sz w:val="21"/>
                      </w:rPr>
                    </w:pPr>
                  </w:p>
                  <w:p w14:paraId="0953B3EA">
                    <w:pPr>
                      <w:spacing w:line="241" w:lineRule="auto"/>
                      <w:rPr>
                        <w:rFonts w:ascii="Arial"/>
                        <w:sz w:val="21"/>
                      </w:rPr>
                    </w:pPr>
                  </w:p>
                  <w:p w14:paraId="1AD34F65">
                    <w:pPr>
                      <w:spacing w:line="242" w:lineRule="auto"/>
                      <w:rPr>
                        <w:rFonts w:ascii="Arial"/>
                        <w:sz w:val="21"/>
                      </w:rPr>
                    </w:pPr>
                  </w:p>
                  <w:p w14:paraId="47C3464E">
                    <w:pPr>
                      <w:spacing w:line="242" w:lineRule="auto"/>
                      <w:rPr>
                        <w:rFonts w:ascii="Arial"/>
                        <w:sz w:val="21"/>
                      </w:rPr>
                    </w:pPr>
                  </w:p>
                  <w:p w14:paraId="735184D3">
                    <w:pPr>
                      <w:spacing w:before="91" w:line="220" w:lineRule="auto"/>
                      <w:ind w:left="785"/>
                      <w:rPr>
                        <w:rFonts w:ascii="宋体" w:hAnsi="宋体" w:eastAsia="宋体" w:cs="宋体"/>
                        <w:sz w:val="28"/>
                        <w:szCs w:val="28"/>
                      </w:rPr>
                    </w:pPr>
                    <w:r>
                      <w:rPr>
                        <w:rFonts w:ascii="宋体" w:hAnsi="宋体" w:eastAsia="宋体" w:cs="宋体"/>
                        <w:spacing w:val="-1"/>
                        <w:sz w:val="28"/>
                        <w:szCs w:val="28"/>
                      </w:rPr>
                      <w:t>法定代表人身份证正面</w:t>
                    </w:r>
                  </w:p>
                </w:txbxContent>
              </v:textbox>
            </v:shape>
            <w10:wrap type="none"/>
            <w10:anchorlock/>
          </v:group>
        </w:pict>
      </w:r>
    </w:p>
    <w:p w14:paraId="17CC650E">
      <w:pPr>
        <w:pStyle w:val="2"/>
        <w:spacing w:before="239" w:line="2542" w:lineRule="exact"/>
        <w:ind w:firstLine="81"/>
        <w:rPr>
          <w:color w:val="auto"/>
          <w:highlight w:val="none"/>
        </w:rPr>
      </w:pPr>
      <w:r>
        <w:rPr>
          <w:color w:val="auto"/>
          <w:highlight w:val="none"/>
        </w:rPr>
        <w:pict>
          <v:group id="_x0000_s1052" o:spid="_x0000_s1052" o:spt="203" style="position:absolute;left:0pt;margin-left:232.35pt;margin-top:13.55pt;height:127.1pt;width:215.4pt;z-index:251662336;mso-width-relative:page;mso-height-relative:page;" coordsize="4307,2541">
            <o:lock v:ext="edit"/>
            <v:shape id="_x0000_s1053" o:spid="_x0000_s1053" o:spt="75" type="#_x0000_t75" style="position:absolute;left:0;top:0;height:2541;width:4307;" filled="f" stroked="f" coordsize="21600,21600">
              <v:path/>
              <v:fill on="f" focussize="0,0"/>
              <v:stroke on="f"/>
              <v:imagedata r:id="rId56" o:title=""/>
              <o:lock v:ext="edit" aspectratio="t"/>
            </v:shape>
            <v:shape id="_x0000_s1054" o:spid="_x0000_s1054" o:spt="202" type="#_x0000_t202" style="position:absolute;left:-20;top:-20;height:2635;width:4347;" filled="f" stroked="f" coordsize="21600,21600">
              <v:path/>
              <v:fill on="f" focussize="0,0"/>
              <v:stroke on="f"/>
              <v:imagedata o:title=""/>
              <o:lock v:ext="edit" aspectratio="f"/>
              <v:textbox inset="0mm,0mm,0mm,0mm">
                <w:txbxContent>
                  <w:p w14:paraId="3B3B37A3">
                    <w:pPr>
                      <w:pStyle w:val="2"/>
                      <w:spacing w:line="241" w:lineRule="auto"/>
                    </w:pPr>
                  </w:p>
                  <w:p w14:paraId="49A9B7D6">
                    <w:pPr>
                      <w:pStyle w:val="2"/>
                      <w:spacing w:line="241" w:lineRule="auto"/>
                    </w:pPr>
                  </w:p>
                  <w:p w14:paraId="65B6288E">
                    <w:pPr>
                      <w:pStyle w:val="2"/>
                      <w:spacing w:line="241" w:lineRule="auto"/>
                    </w:pPr>
                  </w:p>
                  <w:p w14:paraId="3966EF1B">
                    <w:pPr>
                      <w:pStyle w:val="2"/>
                      <w:spacing w:line="242" w:lineRule="auto"/>
                    </w:pPr>
                  </w:p>
                  <w:p w14:paraId="7393B5B9">
                    <w:pPr>
                      <w:pStyle w:val="2"/>
                      <w:spacing w:line="242" w:lineRule="auto"/>
                    </w:pPr>
                  </w:p>
                  <w:p w14:paraId="52F1E02F">
                    <w:pPr>
                      <w:spacing w:before="91" w:line="220" w:lineRule="auto"/>
                      <w:ind w:left="783"/>
                      <w:rPr>
                        <w:rFonts w:ascii="宋体" w:hAnsi="宋体" w:eastAsia="宋体" w:cs="宋体"/>
                        <w:sz w:val="28"/>
                        <w:szCs w:val="28"/>
                      </w:rPr>
                    </w:pPr>
                    <w:r>
                      <w:rPr>
                        <w:rFonts w:ascii="宋体" w:hAnsi="宋体" w:eastAsia="宋体" w:cs="宋体"/>
                        <w:spacing w:val="-1"/>
                        <w:sz w:val="28"/>
                        <w:szCs w:val="28"/>
                      </w:rPr>
                      <w:t>委托代理人身份证反面</w:t>
                    </w:r>
                  </w:p>
                </w:txbxContent>
              </v:textbox>
            </v:shape>
          </v:group>
        </w:pict>
      </w:r>
      <w:r>
        <w:rPr>
          <w:color w:val="auto"/>
          <w:position w:val="-50"/>
          <w:highlight w:val="none"/>
        </w:rPr>
        <w:pict>
          <v:group id="_x0000_s1055" o:spid="_x0000_s1055" o:spt="203" style="height:127.15pt;width:215.4pt;" coordsize="4307,2543">
            <o:lock v:ext="edit"/>
            <v:shape id="_x0000_s1056" o:spid="_x0000_s1056" o:spt="75" type="#_x0000_t75" style="position:absolute;left:0;top:0;height:2543;width:4307;" filled="f" stroked="f" coordsize="21600,21600">
              <v:path/>
              <v:fill on="f" focussize="0,0"/>
              <v:stroke on="f"/>
              <v:imagedata r:id="rId57" o:title=""/>
              <o:lock v:ext="edit" aspectratio="t"/>
            </v:shape>
            <v:shape id="_x0000_s1057" o:spid="_x0000_s1057" o:spt="202" type="#_x0000_t202" style="position:absolute;left:-20;top:-20;height:2582;width:4347;" filled="f" stroked="f" coordsize="21600,21600">
              <v:path/>
              <v:fill on="f" focussize="0,0"/>
              <v:stroke on="f"/>
              <v:imagedata o:title=""/>
              <o:lock v:ext="edit" aspectratio="f"/>
              <v:textbox inset="0mm,0mm,0mm,0mm">
                <w:txbxContent>
                  <w:p w14:paraId="09B60E36">
                    <w:pPr>
                      <w:spacing w:line="241" w:lineRule="auto"/>
                      <w:rPr>
                        <w:rFonts w:ascii="Arial"/>
                        <w:sz w:val="21"/>
                      </w:rPr>
                    </w:pPr>
                  </w:p>
                  <w:p w14:paraId="33CC9EB9">
                    <w:pPr>
                      <w:spacing w:line="241" w:lineRule="auto"/>
                      <w:rPr>
                        <w:rFonts w:ascii="Arial"/>
                        <w:sz w:val="21"/>
                      </w:rPr>
                    </w:pPr>
                  </w:p>
                  <w:p w14:paraId="521F5C8F">
                    <w:pPr>
                      <w:spacing w:line="241" w:lineRule="auto"/>
                      <w:rPr>
                        <w:rFonts w:ascii="Arial"/>
                        <w:sz w:val="21"/>
                      </w:rPr>
                    </w:pPr>
                  </w:p>
                  <w:p w14:paraId="362A80A6">
                    <w:pPr>
                      <w:spacing w:line="242" w:lineRule="auto"/>
                      <w:rPr>
                        <w:rFonts w:ascii="Arial"/>
                        <w:sz w:val="21"/>
                      </w:rPr>
                    </w:pPr>
                  </w:p>
                  <w:p w14:paraId="62D550FC">
                    <w:pPr>
                      <w:spacing w:line="242" w:lineRule="auto"/>
                      <w:rPr>
                        <w:rFonts w:ascii="Arial"/>
                        <w:sz w:val="21"/>
                      </w:rPr>
                    </w:pPr>
                  </w:p>
                  <w:p w14:paraId="5868EE71">
                    <w:pPr>
                      <w:spacing w:before="91" w:line="220" w:lineRule="auto"/>
                      <w:ind w:left="784"/>
                      <w:rPr>
                        <w:rFonts w:ascii="宋体" w:hAnsi="宋体" w:eastAsia="宋体" w:cs="宋体"/>
                        <w:sz w:val="28"/>
                        <w:szCs w:val="28"/>
                      </w:rPr>
                    </w:pPr>
                    <w:r>
                      <w:rPr>
                        <w:rFonts w:ascii="宋体" w:hAnsi="宋体" w:eastAsia="宋体" w:cs="宋体"/>
                        <w:spacing w:val="-1"/>
                        <w:sz w:val="28"/>
                        <w:szCs w:val="28"/>
                      </w:rPr>
                      <w:t>委托代理人身份证正面</w:t>
                    </w:r>
                  </w:p>
                </w:txbxContent>
              </v:textbox>
            </v:shape>
            <w10:wrap type="none"/>
            <w10:anchorlock/>
          </v:group>
        </w:pict>
      </w:r>
    </w:p>
    <w:p w14:paraId="34870926">
      <w:pPr>
        <w:pStyle w:val="2"/>
        <w:spacing w:line="471" w:lineRule="auto"/>
        <w:rPr>
          <w:color w:val="auto"/>
          <w:highlight w:val="none"/>
        </w:rPr>
      </w:pPr>
    </w:p>
    <w:p w14:paraId="0794E8EF">
      <w:pPr>
        <w:spacing w:before="79" w:line="219" w:lineRule="auto"/>
        <w:ind w:left="36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投标人（盖章</w:t>
      </w:r>
      <w:r>
        <w:rPr>
          <w:rFonts w:ascii="宋体" w:hAnsi="宋体" w:eastAsia="宋体" w:cs="宋体"/>
          <w:color w:val="auto"/>
          <w:spacing w:val="2"/>
          <w:sz w:val="24"/>
          <w:szCs w:val="24"/>
          <w:highlight w:val="none"/>
        </w:rPr>
        <w:t>）：</w:t>
      </w:r>
    </w:p>
    <w:p w14:paraId="083DB3BD">
      <w:pPr>
        <w:spacing w:line="240" w:lineRule="auto"/>
        <w:ind w:left="0" w:right="0" w:firstLine="0"/>
        <w:jc w:val="center"/>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pacing w:val="-31"/>
          <w:sz w:val="24"/>
          <w:szCs w:val="24"/>
          <w:highlight w:val="none"/>
        </w:rPr>
        <w:t>）：</w:t>
      </w:r>
    </w:p>
    <w:p w14:paraId="74B8DF2C">
      <w:pPr>
        <w:spacing w:line="240" w:lineRule="auto"/>
        <w:ind w:left="0" w:right="0" w:firstLine="0"/>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委托日期：</w:t>
      </w:r>
    </w:p>
    <w:p w14:paraId="0BF10F43">
      <w:pPr>
        <w:spacing w:line="434" w:lineRule="auto"/>
        <w:jc w:val="center"/>
        <w:rPr>
          <w:rFonts w:ascii="宋体" w:hAnsi="宋体" w:eastAsia="宋体" w:cs="宋体"/>
          <w:color w:val="auto"/>
          <w:sz w:val="24"/>
          <w:szCs w:val="24"/>
          <w:highlight w:val="none"/>
        </w:rPr>
        <w:sectPr>
          <w:footerReference r:id="rId37" w:type="default"/>
          <w:pgSz w:w="11906" w:h="16839"/>
          <w:pgMar w:top="1440" w:right="1800" w:bottom="1440" w:left="1800" w:header="0" w:footer="973" w:gutter="0"/>
          <w:pgNumType w:fmt="decimal"/>
          <w:cols w:space="720" w:num="1"/>
        </w:sectPr>
      </w:pPr>
    </w:p>
    <w:p w14:paraId="66D617B3">
      <w:pPr>
        <w:pStyle w:val="2"/>
        <w:spacing w:line="248" w:lineRule="auto"/>
        <w:rPr>
          <w:color w:val="auto"/>
          <w:highlight w:val="none"/>
        </w:rPr>
      </w:pPr>
    </w:p>
    <w:p w14:paraId="0B9E1683">
      <w:pPr>
        <w:pStyle w:val="2"/>
        <w:spacing w:line="248" w:lineRule="auto"/>
        <w:rPr>
          <w:color w:val="auto"/>
          <w:highlight w:val="none"/>
        </w:rPr>
      </w:pPr>
    </w:p>
    <w:p w14:paraId="642F287A">
      <w:pPr>
        <w:pStyle w:val="2"/>
        <w:spacing w:line="248" w:lineRule="auto"/>
        <w:rPr>
          <w:color w:val="auto"/>
          <w:highlight w:val="none"/>
        </w:rPr>
      </w:pPr>
    </w:p>
    <w:p w14:paraId="678CDE83">
      <w:pPr>
        <w:pStyle w:val="2"/>
        <w:spacing w:line="249" w:lineRule="auto"/>
        <w:rPr>
          <w:color w:val="auto"/>
          <w:highlight w:val="none"/>
        </w:rPr>
      </w:pPr>
    </w:p>
    <w:p w14:paraId="5859A58A">
      <w:pPr>
        <w:pStyle w:val="2"/>
        <w:spacing w:line="249" w:lineRule="auto"/>
        <w:rPr>
          <w:color w:val="auto"/>
          <w:highlight w:val="none"/>
        </w:rPr>
      </w:pPr>
    </w:p>
    <w:p w14:paraId="7D51D20E">
      <w:pPr>
        <w:spacing w:before="101" w:line="225" w:lineRule="auto"/>
        <w:ind w:left="3583"/>
        <w:outlineLvl w:val="1"/>
        <w:rPr>
          <w:rFonts w:ascii="宋体" w:hAnsi="宋体" w:eastAsia="宋体" w:cs="宋体"/>
          <w:color w:val="auto"/>
          <w:sz w:val="31"/>
          <w:szCs w:val="31"/>
          <w:highlight w:val="none"/>
        </w:rPr>
      </w:pPr>
      <w:bookmarkStart w:id="32" w:name="_Toc17755"/>
      <w:r>
        <w:rPr>
          <w:rFonts w:ascii="宋体" w:hAnsi="宋体" w:eastAsia="宋体" w:cs="宋体"/>
          <w:b/>
          <w:bCs/>
          <w:color w:val="auto"/>
          <w:spacing w:val="4"/>
          <w:sz w:val="31"/>
          <w:szCs w:val="31"/>
          <w:highlight w:val="none"/>
        </w:rPr>
        <w:t>开标一览表</w:t>
      </w:r>
      <w:bookmarkEnd w:id="32"/>
    </w:p>
    <w:p w14:paraId="34F89909">
      <w:pPr>
        <w:spacing w:line="240" w:lineRule="auto"/>
        <w:ind w:left="0" w:right="0"/>
        <w:rPr>
          <w:rFonts w:ascii="宋体" w:hAnsi="宋体" w:eastAsia="宋体" w:cs="宋体"/>
          <w:color w:val="auto"/>
          <w:spacing w:val="2"/>
          <w:sz w:val="24"/>
          <w:szCs w:val="24"/>
          <w:highlight w:val="none"/>
        </w:rPr>
      </w:pPr>
      <w:r>
        <w:rPr>
          <w:rFonts w:ascii="宋体" w:hAnsi="宋体" w:eastAsia="宋体" w:cs="宋体"/>
          <w:b/>
          <w:bCs/>
          <w:color w:val="auto"/>
          <w:spacing w:val="-17"/>
          <w:sz w:val="24"/>
          <w:szCs w:val="24"/>
          <w:highlight w:val="none"/>
        </w:rPr>
        <w:t>项目名称：</w:t>
      </w:r>
      <w:r>
        <w:rPr>
          <w:rFonts w:ascii="宋体" w:hAnsi="宋体" w:eastAsia="宋体" w:cs="宋体"/>
          <w:color w:val="auto"/>
          <w:spacing w:val="2"/>
          <w:sz w:val="24"/>
          <w:szCs w:val="24"/>
          <w:highlight w:val="none"/>
        </w:rPr>
        <w:t xml:space="preserve"> </w:t>
      </w:r>
    </w:p>
    <w:p w14:paraId="19F5041E">
      <w:pPr>
        <w:spacing w:line="240" w:lineRule="auto"/>
        <w:ind w:left="0" w:right="0"/>
        <w:rPr>
          <w:rFonts w:ascii="宋体" w:hAnsi="宋体" w:eastAsia="宋体" w:cs="宋体"/>
          <w:color w:val="auto"/>
          <w:sz w:val="24"/>
          <w:szCs w:val="24"/>
          <w:highlight w:val="none"/>
        </w:rPr>
      </w:pPr>
      <w:r>
        <w:rPr>
          <w:rFonts w:ascii="宋体" w:hAnsi="宋体" w:eastAsia="宋体" w:cs="宋体"/>
          <w:b/>
          <w:bCs/>
          <w:color w:val="auto"/>
          <w:spacing w:val="-17"/>
          <w:sz w:val="24"/>
          <w:szCs w:val="24"/>
          <w:highlight w:val="none"/>
        </w:rPr>
        <w:t>项目编号：</w:t>
      </w:r>
    </w:p>
    <w:tbl>
      <w:tblPr>
        <w:tblStyle w:val="13"/>
        <w:tblW w:w="8738"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8"/>
        <w:gridCol w:w="2527"/>
        <w:gridCol w:w="4003"/>
        <w:gridCol w:w="1310"/>
      </w:tblGrid>
      <w:tr w14:paraId="026B5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898" w:type="dxa"/>
            <w:vAlign w:val="top"/>
          </w:tcPr>
          <w:p w14:paraId="3FFD6E1C">
            <w:pPr>
              <w:spacing w:line="361" w:lineRule="auto"/>
              <w:rPr>
                <w:rFonts w:ascii="Arial"/>
                <w:color w:val="auto"/>
                <w:sz w:val="21"/>
                <w:highlight w:val="none"/>
              </w:rPr>
            </w:pPr>
          </w:p>
          <w:p w14:paraId="1EFDF3BD">
            <w:pPr>
              <w:pStyle w:val="14"/>
              <w:spacing w:before="78" w:line="221" w:lineRule="auto"/>
              <w:ind w:left="214"/>
              <w:rPr>
                <w:color w:val="auto"/>
                <w:highlight w:val="none"/>
              </w:rPr>
            </w:pPr>
            <w:r>
              <w:rPr>
                <w:b/>
                <w:bCs/>
                <w:color w:val="auto"/>
                <w:spacing w:val="-7"/>
                <w:highlight w:val="none"/>
              </w:rPr>
              <w:t>序号</w:t>
            </w:r>
          </w:p>
        </w:tc>
        <w:tc>
          <w:tcPr>
            <w:tcW w:w="6530" w:type="dxa"/>
            <w:gridSpan w:val="2"/>
            <w:vAlign w:val="top"/>
          </w:tcPr>
          <w:p w14:paraId="131BC3E9">
            <w:pPr>
              <w:spacing w:line="362" w:lineRule="auto"/>
              <w:rPr>
                <w:rFonts w:ascii="Arial"/>
                <w:color w:val="auto"/>
                <w:sz w:val="21"/>
                <w:highlight w:val="none"/>
              </w:rPr>
            </w:pPr>
          </w:p>
          <w:p w14:paraId="24759BB0">
            <w:pPr>
              <w:pStyle w:val="14"/>
              <w:spacing w:before="78" w:line="219" w:lineRule="auto"/>
              <w:ind w:left="3059"/>
              <w:rPr>
                <w:color w:val="auto"/>
                <w:highlight w:val="none"/>
              </w:rPr>
            </w:pPr>
            <w:r>
              <w:rPr>
                <w:b/>
                <w:bCs/>
                <w:color w:val="auto"/>
                <w:spacing w:val="-22"/>
                <w:highlight w:val="none"/>
              </w:rPr>
              <w:t>内容</w:t>
            </w:r>
          </w:p>
        </w:tc>
        <w:tc>
          <w:tcPr>
            <w:tcW w:w="1310" w:type="dxa"/>
            <w:vAlign w:val="top"/>
          </w:tcPr>
          <w:p w14:paraId="7D5E9CAB">
            <w:pPr>
              <w:spacing w:line="361" w:lineRule="auto"/>
              <w:rPr>
                <w:rFonts w:ascii="Arial"/>
                <w:color w:val="auto"/>
                <w:sz w:val="21"/>
                <w:highlight w:val="none"/>
              </w:rPr>
            </w:pPr>
          </w:p>
          <w:p w14:paraId="0D69D02F">
            <w:pPr>
              <w:pStyle w:val="14"/>
              <w:spacing w:before="78" w:line="221" w:lineRule="auto"/>
              <w:ind w:left="424"/>
              <w:rPr>
                <w:color w:val="auto"/>
                <w:highlight w:val="none"/>
              </w:rPr>
            </w:pPr>
            <w:r>
              <w:rPr>
                <w:b/>
                <w:bCs/>
                <w:color w:val="auto"/>
                <w:spacing w:val="-9"/>
                <w:highlight w:val="none"/>
              </w:rPr>
              <w:t>备注</w:t>
            </w:r>
          </w:p>
        </w:tc>
      </w:tr>
      <w:tr w14:paraId="496D3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898" w:type="dxa"/>
            <w:vAlign w:val="top"/>
          </w:tcPr>
          <w:p w14:paraId="4B64680A">
            <w:pPr>
              <w:spacing w:line="300" w:lineRule="auto"/>
              <w:rPr>
                <w:rFonts w:ascii="Arial"/>
                <w:color w:val="auto"/>
                <w:sz w:val="21"/>
                <w:highlight w:val="none"/>
              </w:rPr>
            </w:pPr>
          </w:p>
          <w:p w14:paraId="1A30169A">
            <w:pPr>
              <w:spacing w:line="300" w:lineRule="auto"/>
              <w:rPr>
                <w:rFonts w:ascii="Arial"/>
                <w:color w:val="auto"/>
                <w:sz w:val="21"/>
                <w:highlight w:val="none"/>
              </w:rPr>
            </w:pPr>
          </w:p>
          <w:p w14:paraId="4B3D71F9">
            <w:pPr>
              <w:pStyle w:val="14"/>
              <w:spacing w:before="78" w:line="184" w:lineRule="auto"/>
              <w:ind w:left="413"/>
              <w:rPr>
                <w:color w:val="auto"/>
                <w:highlight w:val="none"/>
              </w:rPr>
            </w:pPr>
            <w:r>
              <w:rPr>
                <w:color w:val="auto"/>
                <w:highlight w:val="none"/>
              </w:rPr>
              <w:t>1</w:t>
            </w:r>
          </w:p>
        </w:tc>
        <w:tc>
          <w:tcPr>
            <w:tcW w:w="2527" w:type="dxa"/>
            <w:vAlign w:val="top"/>
          </w:tcPr>
          <w:p w14:paraId="5FA3CA5B">
            <w:pPr>
              <w:spacing w:line="281" w:lineRule="auto"/>
              <w:rPr>
                <w:rFonts w:ascii="Arial"/>
                <w:color w:val="auto"/>
                <w:sz w:val="21"/>
                <w:highlight w:val="none"/>
              </w:rPr>
            </w:pPr>
          </w:p>
          <w:p w14:paraId="091D1A60">
            <w:pPr>
              <w:spacing w:line="282" w:lineRule="auto"/>
              <w:rPr>
                <w:rFonts w:ascii="Arial"/>
                <w:color w:val="auto"/>
                <w:sz w:val="21"/>
                <w:highlight w:val="none"/>
              </w:rPr>
            </w:pPr>
          </w:p>
          <w:p w14:paraId="02378BF8">
            <w:pPr>
              <w:pStyle w:val="14"/>
              <w:spacing w:before="78" w:line="218" w:lineRule="auto"/>
              <w:ind w:left="114"/>
              <w:rPr>
                <w:color w:val="auto"/>
                <w:highlight w:val="none"/>
              </w:rPr>
            </w:pPr>
            <w:r>
              <w:rPr>
                <w:color w:val="auto"/>
                <w:spacing w:val="-4"/>
                <w:highlight w:val="none"/>
              </w:rPr>
              <w:t>投标报价</w:t>
            </w:r>
          </w:p>
        </w:tc>
        <w:tc>
          <w:tcPr>
            <w:tcW w:w="4003" w:type="dxa"/>
            <w:vAlign w:val="top"/>
          </w:tcPr>
          <w:p w14:paraId="280A022C">
            <w:pPr>
              <w:pStyle w:val="14"/>
              <w:spacing w:before="256" w:line="220" w:lineRule="auto"/>
              <w:ind w:left="117"/>
              <w:rPr>
                <w:color w:val="auto"/>
                <w:highlight w:val="none"/>
              </w:rPr>
            </w:pPr>
            <w:r>
              <w:rPr>
                <w:color w:val="auto"/>
                <w:spacing w:val="-4"/>
                <w:highlight w:val="none"/>
              </w:rPr>
              <w:t>大写：</w:t>
            </w:r>
            <w:r>
              <w:rPr>
                <w:color w:val="auto"/>
                <w:spacing w:val="1"/>
                <w:highlight w:val="none"/>
              </w:rPr>
              <w:t xml:space="preserve">           </w:t>
            </w:r>
            <w:r>
              <w:rPr>
                <w:color w:val="auto"/>
                <w:spacing w:val="-4"/>
                <w:highlight w:val="none"/>
              </w:rPr>
              <w:t>元</w:t>
            </w:r>
          </w:p>
          <w:p w14:paraId="2E860941">
            <w:pPr>
              <w:spacing w:line="334" w:lineRule="auto"/>
              <w:rPr>
                <w:rFonts w:ascii="Arial"/>
                <w:color w:val="auto"/>
                <w:sz w:val="21"/>
                <w:highlight w:val="none"/>
              </w:rPr>
            </w:pPr>
          </w:p>
          <w:p w14:paraId="74364490">
            <w:pPr>
              <w:pStyle w:val="14"/>
              <w:spacing w:before="78" w:line="220" w:lineRule="auto"/>
              <w:ind w:left="121"/>
              <w:rPr>
                <w:color w:val="auto"/>
                <w:highlight w:val="none"/>
              </w:rPr>
            </w:pPr>
            <w:r>
              <w:rPr>
                <w:color w:val="auto"/>
                <w:spacing w:val="-4"/>
                <w:highlight w:val="none"/>
              </w:rPr>
              <w:t>小写：</w:t>
            </w:r>
            <w:r>
              <w:rPr>
                <w:color w:val="auto"/>
                <w:spacing w:val="1"/>
                <w:highlight w:val="none"/>
              </w:rPr>
              <w:t xml:space="preserve">           </w:t>
            </w:r>
            <w:r>
              <w:rPr>
                <w:color w:val="auto"/>
                <w:spacing w:val="-4"/>
                <w:highlight w:val="none"/>
              </w:rPr>
              <w:t>元</w:t>
            </w:r>
          </w:p>
        </w:tc>
        <w:tc>
          <w:tcPr>
            <w:tcW w:w="1310" w:type="dxa"/>
            <w:vAlign w:val="top"/>
          </w:tcPr>
          <w:p w14:paraId="1AF3616E">
            <w:pPr>
              <w:rPr>
                <w:rFonts w:ascii="Arial"/>
                <w:color w:val="auto"/>
                <w:sz w:val="21"/>
                <w:highlight w:val="none"/>
              </w:rPr>
            </w:pPr>
          </w:p>
        </w:tc>
      </w:tr>
      <w:tr w14:paraId="39C03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98" w:type="dxa"/>
            <w:vAlign w:val="top"/>
          </w:tcPr>
          <w:p w14:paraId="023AF3F9">
            <w:pPr>
              <w:pStyle w:val="14"/>
              <w:spacing w:before="241" w:line="183" w:lineRule="auto"/>
              <w:ind w:left="398"/>
              <w:rPr>
                <w:color w:val="auto"/>
                <w:highlight w:val="none"/>
              </w:rPr>
            </w:pPr>
            <w:r>
              <w:rPr>
                <w:color w:val="auto"/>
                <w:highlight w:val="none"/>
              </w:rPr>
              <w:t>2</w:t>
            </w:r>
          </w:p>
        </w:tc>
        <w:tc>
          <w:tcPr>
            <w:tcW w:w="2527" w:type="dxa"/>
            <w:vAlign w:val="top"/>
          </w:tcPr>
          <w:p w14:paraId="18BE8DAA">
            <w:pPr>
              <w:pStyle w:val="14"/>
              <w:spacing w:before="203" w:line="220" w:lineRule="auto"/>
              <w:ind w:left="114"/>
              <w:rPr>
                <w:color w:val="auto"/>
                <w:highlight w:val="none"/>
              </w:rPr>
            </w:pPr>
            <w:r>
              <w:rPr>
                <w:color w:val="auto"/>
                <w:spacing w:val="-7"/>
                <w:highlight w:val="none"/>
              </w:rPr>
              <w:t>工期</w:t>
            </w:r>
          </w:p>
        </w:tc>
        <w:tc>
          <w:tcPr>
            <w:tcW w:w="4003" w:type="dxa"/>
            <w:vAlign w:val="top"/>
          </w:tcPr>
          <w:p w14:paraId="749E7460">
            <w:pPr>
              <w:rPr>
                <w:rFonts w:ascii="Arial"/>
                <w:color w:val="auto"/>
                <w:sz w:val="21"/>
                <w:highlight w:val="none"/>
              </w:rPr>
            </w:pPr>
          </w:p>
        </w:tc>
        <w:tc>
          <w:tcPr>
            <w:tcW w:w="1310" w:type="dxa"/>
            <w:vAlign w:val="top"/>
          </w:tcPr>
          <w:p w14:paraId="582ABBC6">
            <w:pPr>
              <w:rPr>
                <w:rFonts w:ascii="Arial"/>
                <w:color w:val="auto"/>
                <w:sz w:val="21"/>
                <w:highlight w:val="none"/>
              </w:rPr>
            </w:pPr>
          </w:p>
        </w:tc>
      </w:tr>
      <w:tr w14:paraId="4FD00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98" w:type="dxa"/>
            <w:vAlign w:val="top"/>
          </w:tcPr>
          <w:p w14:paraId="3AC28A7C">
            <w:pPr>
              <w:pStyle w:val="14"/>
              <w:spacing w:before="304" w:line="183" w:lineRule="auto"/>
              <w:ind w:left="400"/>
              <w:rPr>
                <w:color w:val="auto"/>
                <w:highlight w:val="none"/>
              </w:rPr>
            </w:pPr>
            <w:r>
              <w:rPr>
                <w:color w:val="auto"/>
                <w:highlight w:val="none"/>
              </w:rPr>
              <w:t>3</w:t>
            </w:r>
          </w:p>
        </w:tc>
        <w:tc>
          <w:tcPr>
            <w:tcW w:w="2527" w:type="dxa"/>
            <w:vAlign w:val="top"/>
          </w:tcPr>
          <w:p w14:paraId="665E5C8B">
            <w:pPr>
              <w:pStyle w:val="14"/>
              <w:spacing w:before="267" w:line="219" w:lineRule="auto"/>
              <w:ind w:left="112"/>
              <w:rPr>
                <w:color w:val="auto"/>
                <w:highlight w:val="none"/>
              </w:rPr>
            </w:pPr>
            <w:r>
              <w:rPr>
                <w:color w:val="auto"/>
                <w:spacing w:val="-3"/>
                <w:highlight w:val="none"/>
              </w:rPr>
              <w:t>质量等级</w:t>
            </w:r>
          </w:p>
        </w:tc>
        <w:tc>
          <w:tcPr>
            <w:tcW w:w="4003" w:type="dxa"/>
            <w:vAlign w:val="top"/>
          </w:tcPr>
          <w:p w14:paraId="0437E474">
            <w:pPr>
              <w:rPr>
                <w:rFonts w:ascii="Arial"/>
                <w:color w:val="auto"/>
                <w:sz w:val="21"/>
                <w:highlight w:val="none"/>
              </w:rPr>
            </w:pPr>
          </w:p>
        </w:tc>
        <w:tc>
          <w:tcPr>
            <w:tcW w:w="1310" w:type="dxa"/>
            <w:vAlign w:val="top"/>
          </w:tcPr>
          <w:p w14:paraId="587CFABA">
            <w:pPr>
              <w:rPr>
                <w:rFonts w:ascii="Arial"/>
                <w:color w:val="auto"/>
                <w:sz w:val="21"/>
                <w:highlight w:val="none"/>
              </w:rPr>
            </w:pPr>
          </w:p>
        </w:tc>
      </w:tr>
    </w:tbl>
    <w:p w14:paraId="31933945">
      <w:pPr>
        <w:pStyle w:val="2"/>
        <w:spacing w:line="452" w:lineRule="auto"/>
        <w:rPr>
          <w:color w:val="auto"/>
          <w:highlight w:val="none"/>
        </w:rPr>
      </w:pPr>
    </w:p>
    <w:p w14:paraId="222AD8A5">
      <w:pPr>
        <w:spacing w:before="78" w:line="218" w:lineRule="auto"/>
        <w:ind w:left="1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兹声明：</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以上投标报价在投标有效期内一直有效。</w:t>
      </w:r>
    </w:p>
    <w:p w14:paraId="13FC6279">
      <w:pPr>
        <w:spacing w:before="47" w:line="220" w:lineRule="auto"/>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注：1.表中大小写不一致时，以大写为准。</w:t>
      </w:r>
    </w:p>
    <w:p w14:paraId="54D07505">
      <w:pPr>
        <w:spacing w:before="24" w:line="237" w:lineRule="auto"/>
        <w:ind w:firstLine="483"/>
        <w:jc w:val="both"/>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2.投标报价为完成本次采购项目的全部费用。（投标人的投标报价包括磋商范</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3"/>
          <w:sz w:val="24"/>
          <w:szCs w:val="24"/>
          <w:highlight w:val="none"/>
        </w:rPr>
        <w:t>围所述的全部工作内容的价格体现以及完成该工程的成本、管理费、利</w:t>
      </w:r>
      <w:r>
        <w:rPr>
          <w:rFonts w:ascii="宋体" w:hAnsi="宋体" w:eastAsia="宋体" w:cs="宋体"/>
          <w:b/>
          <w:bCs/>
          <w:color w:val="auto"/>
          <w:spacing w:val="-4"/>
          <w:sz w:val="24"/>
          <w:szCs w:val="24"/>
          <w:highlight w:val="none"/>
        </w:rPr>
        <w:t>润、风险费、</w:t>
      </w:r>
      <w:r>
        <w:rPr>
          <w:rFonts w:ascii="宋体" w:hAnsi="宋体" w:eastAsia="宋体" w:cs="宋体"/>
          <w:color w:val="auto"/>
          <w:sz w:val="24"/>
          <w:szCs w:val="24"/>
          <w:highlight w:val="none"/>
        </w:rPr>
        <w:t xml:space="preserve"> </w:t>
      </w:r>
      <w:r>
        <w:rPr>
          <w:rFonts w:ascii="宋体" w:hAnsi="宋体" w:eastAsia="宋体" w:cs="宋体"/>
          <w:b/>
          <w:bCs/>
          <w:color w:val="auto"/>
          <w:spacing w:val="1"/>
          <w:sz w:val="24"/>
          <w:szCs w:val="24"/>
          <w:highlight w:val="none"/>
        </w:rPr>
        <w:t>技术措施费、机械进出场费、政策性文件规定规费、税金，各级建设主管部门颁发</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1"/>
          <w:sz w:val="24"/>
          <w:szCs w:val="24"/>
          <w:highlight w:val="none"/>
        </w:rPr>
        <w:t>的现行有关建设工程施工验收规范、技术标准、质量规程、规范及标准，以及新疆</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1"/>
          <w:sz w:val="24"/>
          <w:szCs w:val="24"/>
          <w:highlight w:val="none"/>
        </w:rPr>
        <w:t>维吾尔自治区规定应由投标人支付的其它应缴纳的全部费用。投标人用于本合同工</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1"/>
          <w:sz w:val="24"/>
          <w:szCs w:val="24"/>
          <w:highlight w:val="none"/>
        </w:rPr>
        <w:t>程的各类施工装备的提供、运输、拆卸、拼装等的费用以及材料二次搬运驳运费用</w:t>
      </w:r>
      <w:r>
        <w:rPr>
          <w:rFonts w:ascii="宋体" w:hAnsi="宋体" w:eastAsia="宋体" w:cs="宋体"/>
          <w:color w:val="auto"/>
          <w:spacing w:val="5"/>
          <w:sz w:val="24"/>
          <w:szCs w:val="24"/>
          <w:highlight w:val="none"/>
        </w:rPr>
        <w:t xml:space="preserve">  </w:t>
      </w:r>
      <w:r>
        <w:rPr>
          <w:rFonts w:ascii="宋体" w:hAnsi="宋体" w:eastAsia="宋体" w:cs="宋体"/>
          <w:b/>
          <w:bCs/>
          <w:color w:val="auto"/>
          <w:spacing w:val="-3"/>
          <w:sz w:val="24"/>
          <w:szCs w:val="24"/>
          <w:highlight w:val="none"/>
        </w:rPr>
        <w:t>均已包括在投标人的投标报价中。）</w:t>
      </w:r>
    </w:p>
    <w:p w14:paraId="3239B795">
      <w:pPr>
        <w:spacing w:before="29" w:line="230" w:lineRule="auto"/>
        <w:ind w:right="80" w:firstLine="48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3.本表中“投标报价</w:t>
      </w:r>
      <w:r>
        <w:rPr>
          <w:rFonts w:ascii="宋体" w:hAnsi="宋体" w:eastAsia="宋体" w:cs="宋体"/>
          <w:color w:val="auto"/>
          <w:spacing w:val="-86"/>
          <w:sz w:val="24"/>
          <w:szCs w:val="24"/>
          <w:highlight w:val="none"/>
        </w:rPr>
        <w:t xml:space="preserve"> </w:t>
      </w:r>
      <w:r>
        <w:rPr>
          <w:rFonts w:ascii="宋体" w:hAnsi="宋体" w:eastAsia="宋体" w:cs="宋体"/>
          <w:b/>
          <w:bCs/>
          <w:color w:val="auto"/>
          <w:spacing w:val="-4"/>
          <w:sz w:val="24"/>
          <w:szCs w:val="24"/>
          <w:highlight w:val="none"/>
        </w:rPr>
        <w:t>”必须与《投标承诺书（一）》中的</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“总报价</w:t>
      </w:r>
      <w:r>
        <w:rPr>
          <w:rFonts w:ascii="宋体" w:hAnsi="宋体" w:eastAsia="宋体" w:cs="宋体"/>
          <w:color w:val="auto"/>
          <w:spacing w:val="-85"/>
          <w:sz w:val="24"/>
          <w:szCs w:val="24"/>
          <w:highlight w:val="none"/>
        </w:rPr>
        <w:t xml:space="preserve"> </w:t>
      </w:r>
      <w:r>
        <w:rPr>
          <w:rFonts w:ascii="宋体" w:hAnsi="宋体" w:eastAsia="宋体" w:cs="宋体"/>
          <w:b/>
          <w:bCs/>
          <w:color w:val="auto"/>
          <w:spacing w:val="-4"/>
          <w:sz w:val="24"/>
          <w:szCs w:val="24"/>
          <w:highlight w:val="none"/>
        </w:rPr>
        <w:t>”均保</w:t>
      </w:r>
      <w:r>
        <w:rPr>
          <w:rFonts w:ascii="宋体" w:hAnsi="宋体" w:eastAsia="宋体" w:cs="宋体"/>
          <w:b/>
          <w:bCs/>
          <w:color w:val="auto"/>
          <w:spacing w:val="-5"/>
          <w:sz w:val="24"/>
          <w:szCs w:val="24"/>
          <w:highlight w:val="none"/>
        </w:rPr>
        <w:t>持一</w:t>
      </w:r>
      <w:r>
        <w:rPr>
          <w:rFonts w:ascii="宋体" w:hAnsi="宋体" w:eastAsia="宋体" w:cs="宋体"/>
          <w:color w:val="auto"/>
          <w:sz w:val="24"/>
          <w:szCs w:val="24"/>
          <w:highlight w:val="none"/>
        </w:rPr>
        <w:t xml:space="preserve"> </w:t>
      </w:r>
      <w:r>
        <w:rPr>
          <w:rFonts w:ascii="宋体" w:hAnsi="宋体" w:eastAsia="宋体" w:cs="宋体"/>
          <w:b/>
          <w:bCs/>
          <w:color w:val="auto"/>
          <w:spacing w:val="-3"/>
          <w:sz w:val="24"/>
          <w:szCs w:val="24"/>
          <w:highlight w:val="none"/>
        </w:rPr>
        <w:t>致，如不一致，以《开标一览表》为准。</w:t>
      </w:r>
    </w:p>
    <w:p w14:paraId="37D939DA">
      <w:pPr>
        <w:pStyle w:val="2"/>
        <w:spacing w:line="334" w:lineRule="auto"/>
        <w:rPr>
          <w:color w:val="auto"/>
          <w:highlight w:val="none"/>
        </w:rPr>
      </w:pPr>
    </w:p>
    <w:p w14:paraId="3BB5C220">
      <w:pPr>
        <w:spacing w:before="78" w:line="219" w:lineRule="auto"/>
        <w:ind w:left="480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w:t>
      </w:r>
      <w:r>
        <w:rPr>
          <w:rFonts w:ascii="宋体" w:hAnsi="宋体" w:eastAsia="宋体" w:cs="宋体"/>
          <w:color w:val="auto"/>
          <w:spacing w:val="-16"/>
          <w:sz w:val="24"/>
          <w:szCs w:val="24"/>
          <w:highlight w:val="none"/>
        </w:rPr>
        <w:t>：（</w:t>
      </w:r>
      <w:r>
        <w:rPr>
          <w:rFonts w:ascii="宋体" w:hAnsi="宋体" w:eastAsia="宋体" w:cs="宋体"/>
          <w:color w:val="auto"/>
          <w:spacing w:val="3"/>
          <w:sz w:val="24"/>
          <w:szCs w:val="24"/>
          <w:highlight w:val="none"/>
        </w:rPr>
        <w:t>盖章）</w:t>
      </w:r>
    </w:p>
    <w:p w14:paraId="222BADF5">
      <w:pPr>
        <w:pStyle w:val="2"/>
        <w:spacing w:line="284" w:lineRule="auto"/>
        <w:rPr>
          <w:color w:val="auto"/>
          <w:highlight w:val="none"/>
        </w:rPr>
      </w:pPr>
    </w:p>
    <w:p w14:paraId="07C55B41">
      <w:pPr>
        <w:pStyle w:val="2"/>
        <w:spacing w:line="285" w:lineRule="auto"/>
        <w:rPr>
          <w:color w:val="auto"/>
          <w:highlight w:val="none"/>
        </w:rPr>
      </w:pPr>
    </w:p>
    <w:p w14:paraId="4B634BBE">
      <w:pPr>
        <w:spacing w:before="79" w:line="219" w:lineRule="auto"/>
        <w:ind w:left="480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z w:val="24"/>
          <w:szCs w:val="24"/>
          <w:highlight w:val="none"/>
        </w:rPr>
        <w:t>）：</w:t>
      </w:r>
    </w:p>
    <w:p w14:paraId="6640D84E">
      <w:pPr>
        <w:pStyle w:val="2"/>
        <w:spacing w:line="241" w:lineRule="auto"/>
        <w:rPr>
          <w:color w:val="auto"/>
          <w:highlight w:val="none"/>
        </w:rPr>
      </w:pPr>
    </w:p>
    <w:p w14:paraId="60672413">
      <w:pPr>
        <w:pStyle w:val="2"/>
        <w:spacing w:line="242" w:lineRule="auto"/>
        <w:rPr>
          <w:color w:val="auto"/>
          <w:highlight w:val="none"/>
        </w:rPr>
      </w:pPr>
    </w:p>
    <w:p w14:paraId="2E75E3BC">
      <w:pPr>
        <w:pStyle w:val="2"/>
        <w:spacing w:line="242" w:lineRule="auto"/>
        <w:rPr>
          <w:color w:val="auto"/>
          <w:highlight w:val="none"/>
        </w:rPr>
      </w:pPr>
    </w:p>
    <w:p w14:paraId="6E4DD24A">
      <w:pPr>
        <w:spacing w:before="79" w:line="219" w:lineRule="auto"/>
        <w:ind w:left="4842"/>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7FCBBEBF">
      <w:pPr>
        <w:spacing w:line="219" w:lineRule="auto"/>
        <w:rPr>
          <w:rFonts w:ascii="宋体" w:hAnsi="宋体" w:eastAsia="宋体" w:cs="宋体"/>
          <w:color w:val="auto"/>
          <w:sz w:val="24"/>
          <w:szCs w:val="24"/>
          <w:highlight w:val="none"/>
        </w:rPr>
        <w:sectPr>
          <w:footerReference r:id="rId38" w:type="default"/>
          <w:pgSz w:w="11906" w:h="16839"/>
          <w:pgMar w:top="1440" w:right="1800" w:bottom="1440" w:left="1800" w:header="0" w:footer="973" w:gutter="0"/>
          <w:pgNumType w:fmt="decimal"/>
          <w:cols w:space="720" w:num="1"/>
        </w:sectPr>
      </w:pPr>
    </w:p>
    <w:p w14:paraId="327E94A2">
      <w:pPr>
        <w:pStyle w:val="2"/>
        <w:spacing w:line="269" w:lineRule="auto"/>
        <w:rPr>
          <w:color w:val="auto"/>
          <w:highlight w:val="none"/>
        </w:rPr>
      </w:pPr>
    </w:p>
    <w:p w14:paraId="27FAFFC7">
      <w:pPr>
        <w:pStyle w:val="2"/>
        <w:spacing w:line="269" w:lineRule="auto"/>
        <w:rPr>
          <w:color w:val="auto"/>
          <w:highlight w:val="none"/>
        </w:rPr>
      </w:pPr>
    </w:p>
    <w:p w14:paraId="70942325">
      <w:pPr>
        <w:pStyle w:val="2"/>
        <w:spacing w:line="269" w:lineRule="auto"/>
        <w:rPr>
          <w:color w:val="auto"/>
          <w:highlight w:val="none"/>
        </w:rPr>
      </w:pPr>
    </w:p>
    <w:p w14:paraId="67B9962A">
      <w:pPr>
        <w:pStyle w:val="2"/>
        <w:spacing w:line="270" w:lineRule="auto"/>
        <w:rPr>
          <w:color w:val="auto"/>
          <w:highlight w:val="none"/>
        </w:rPr>
      </w:pPr>
    </w:p>
    <w:p w14:paraId="58002233">
      <w:pPr>
        <w:pStyle w:val="2"/>
        <w:spacing w:line="270" w:lineRule="auto"/>
        <w:rPr>
          <w:color w:val="auto"/>
          <w:highlight w:val="none"/>
        </w:rPr>
      </w:pPr>
    </w:p>
    <w:p w14:paraId="69AC1E69">
      <w:pPr>
        <w:spacing w:before="101" w:line="225" w:lineRule="auto"/>
        <w:ind w:left="3597"/>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投标保证金</w:t>
      </w:r>
    </w:p>
    <w:p w14:paraId="454089F3">
      <w:pPr>
        <w:spacing w:before="204" w:line="219" w:lineRule="auto"/>
        <w:rPr>
          <w:rFonts w:ascii="宋体" w:hAnsi="宋体" w:eastAsia="宋体" w:cs="宋体"/>
          <w:color w:val="auto"/>
          <w:sz w:val="24"/>
          <w:szCs w:val="24"/>
          <w:highlight w:val="none"/>
        </w:rPr>
        <w:sectPr>
          <w:footerReference r:id="rId39" w:type="default"/>
          <w:pgSz w:w="11906" w:h="16839"/>
          <w:pgMar w:top="1440" w:right="1800" w:bottom="1440" w:left="1800" w:header="0" w:footer="973" w:gutter="0"/>
          <w:pgNumType w:fmt="decimal"/>
          <w:cols w:space="720" w:num="1"/>
        </w:sectPr>
      </w:pPr>
      <w:r>
        <w:rPr>
          <w:rFonts w:ascii="宋体" w:hAnsi="宋体" w:eastAsia="宋体" w:cs="宋体"/>
          <w:color w:val="auto"/>
          <w:spacing w:val="-1"/>
          <w:sz w:val="24"/>
          <w:szCs w:val="24"/>
          <w:highlight w:val="none"/>
        </w:rPr>
        <w:t>针对本项目缴纳的投标保证金凭证复印件（加盖公章）。</w:t>
      </w:r>
    </w:p>
    <w:p w14:paraId="02380B98">
      <w:pPr>
        <w:pStyle w:val="2"/>
        <w:spacing w:line="270" w:lineRule="auto"/>
        <w:rPr>
          <w:color w:val="auto"/>
          <w:highlight w:val="none"/>
        </w:rPr>
      </w:pPr>
    </w:p>
    <w:p w14:paraId="762B8725">
      <w:pPr>
        <w:spacing w:before="101" w:line="224" w:lineRule="auto"/>
        <w:ind w:left="2715"/>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投标人概况（格式自拟）</w:t>
      </w:r>
    </w:p>
    <w:p w14:paraId="365FE647">
      <w:pPr>
        <w:spacing w:line="93" w:lineRule="exact"/>
        <w:rPr>
          <w:color w:val="auto"/>
          <w:highlight w:val="none"/>
        </w:rPr>
      </w:pPr>
    </w:p>
    <w:tbl>
      <w:tblPr>
        <w:tblStyle w:val="13"/>
        <w:tblW w:w="8650"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1035"/>
        <w:gridCol w:w="881"/>
        <w:gridCol w:w="992"/>
        <w:gridCol w:w="283"/>
        <w:gridCol w:w="195"/>
        <w:gridCol w:w="1245"/>
        <w:gridCol w:w="260"/>
        <w:gridCol w:w="709"/>
        <w:gridCol w:w="1420"/>
      </w:tblGrid>
      <w:tr w14:paraId="45C8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4BB4DB4C">
            <w:pPr>
              <w:pStyle w:val="14"/>
              <w:spacing w:before="169" w:line="219" w:lineRule="auto"/>
              <w:ind w:left="221"/>
              <w:rPr>
                <w:color w:val="auto"/>
                <w:highlight w:val="none"/>
              </w:rPr>
            </w:pPr>
            <w:r>
              <w:rPr>
                <w:color w:val="auto"/>
                <w:spacing w:val="-2"/>
                <w:highlight w:val="none"/>
              </w:rPr>
              <w:t>供应商名称</w:t>
            </w:r>
          </w:p>
        </w:tc>
        <w:tc>
          <w:tcPr>
            <w:tcW w:w="7020" w:type="dxa"/>
            <w:gridSpan w:val="9"/>
            <w:vAlign w:val="top"/>
          </w:tcPr>
          <w:p w14:paraId="41CC127B">
            <w:pPr>
              <w:rPr>
                <w:rFonts w:ascii="Arial"/>
                <w:color w:val="auto"/>
                <w:sz w:val="21"/>
                <w:highlight w:val="none"/>
              </w:rPr>
            </w:pPr>
          </w:p>
        </w:tc>
      </w:tr>
      <w:tr w14:paraId="5A017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8D869D3">
            <w:pPr>
              <w:pStyle w:val="14"/>
              <w:spacing w:before="164" w:line="221" w:lineRule="auto"/>
              <w:ind w:left="341"/>
              <w:rPr>
                <w:color w:val="auto"/>
                <w:highlight w:val="none"/>
              </w:rPr>
            </w:pPr>
            <w:r>
              <w:rPr>
                <w:color w:val="auto"/>
                <w:spacing w:val="-3"/>
                <w:highlight w:val="none"/>
              </w:rPr>
              <w:t>注册地址</w:t>
            </w:r>
          </w:p>
        </w:tc>
        <w:tc>
          <w:tcPr>
            <w:tcW w:w="3386" w:type="dxa"/>
            <w:gridSpan w:val="5"/>
            <w:vAlign w:val="top"/>
          </w:tcPr>
          <w:p w14:paraId="31D1EC67">
            <w:pPr>
              <w:rPr>
                <w:rFonts w:ascii="Arial"/>
                <w:color w:val="auto"/>
                <w:sz w:val="21"/>
                <w:highlight w:val="none"/>
              </w:rPr>
            </w:pPr>
          </w:p>
        </w:tc>
        <w:tc>
          <w:tcPr>
            <w:tcW w:w="1245" w:type="dxa"/>
            <w:vAlign w:val="top"/>
          </w:tcPr>
          <w:p w14:paraId="765EA087">
            <w:pPr>
              <w:pStyle w:val="14"/>
              <w:spacing w:before="165" w:line="219" w:lineRule="auto"/>
              <w:ind w:left="167"/>
              <w:rPr>
                <w:color w:val="auto"/>
                <w:highlight w:val="none"/>
              </w:rPr>
            </w:pPr>
            <w:r>
              <w:rPr>
                <w:color w:val="auto"/>
                <w:spacing w:val="-7"/>
                <w:highlight w:val="none"/>
              </w:rPr>
              <w:t>邮政编码</w:t>
            </w:r>
          </w:p>
        </w:tc>
        <w:tc>
          <w:tcPr>
            <w:tcW w:w="2389" w:type="dxa"/>
            <w:gridSpan w:val="3"/>
            <w:vAlign w:val="top"/>
          </w:tcPr>
          <w:p w14:paraId="0057CAA5">
            <w:pPr>
              <w:rPr>
                <w:rFonts w:ascii="Arial"/>
                <w:color w:val="auto"/>
                <w:sz w:val="21"/>
                <w:highlight w:val="none"/>
              </w:rPr>
            </w:pPr>
          </w:p>
        </w:tc>
      </w:tr>
      <w:tr w14:paraId="3EB14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558CD24C">
            <w:pPr>
              <w:spacing w:line="373" w:lineRule="auto"/>
              <w:rPr>
                <w:rFonts w:ascii="Arial"/>
                <w:color w:val="auto"/>
                <w:sz w:val="21"/>
                <w:highlight w:val="none"/>
              </w:rPr>
            </w:pPr>
          </w:p>
          <w:p w14:paraId="32EAC9A6">
            <w:pPr>
              <w:pStyle w:val="14"/>
              <w:spacing w:before="78" w:line="221" w:lineRule="auto"/>
              <w:ind w:left="342"/>
              <w:rPr>
                <w:color w:val="auto"/>
                <w:highlight w:val="none"/>
              </w:rPr>
            </w:pPr>
            <w:r>
              <w:rPr>
                <w:color w:val="auto"/>
                <w:spacing w:val="-3"/>
                <w:highlight w:val="none"/>
              </w:rPr>
              <w:t>联系方式</w:t>
            </w:r>
          </w:p>
        </w:tc>
        <w:tc>
          <w:tcPr>
            <w:tcW w:w="1035" w:type="dxa"/>
            <w:vAlign w:val="top"/>
          </w:tcPr>
          <w:p w14:paraId="3B41C52D">
            <w:pPr>
              <w:pStyle w:val="14"/>
              <w:spacing w:before="164" w:line="221" w:lineRule="auto"/>
              <w:ind w:left="164"/>
              <w:rPr>
                <w:color w:val="auto"/>
                <w:highlight w:val="none"/>
              </w:rPr>
            </w:pPr>
            <w:r>
              <w:rPr>
                <w:color w:val="auto"/>
                <w:spacing w:val="-4"/>
                <w:highlight w:val="none"/>
              </w:rPr>
              <w:t>联系人</w:t>
            </w:r>
          </w:p>
        </w:tc>
        <w:tc>
          <w:tcPr>
            <w:tcW w:w="2351" w:type="dxa"/>
            <w:gridSpan w:val="4"/>
            <w:vAlign w:val="top"/>
          </w:tcPr>
          <w:p w14:paraId="625D6F05">
            <w:pPr>
              <w:rPr>
                <w:rFonts w:ascii="Arial"/>
                <w:color w:val="auto"/>
                <w:sz w:val="21"/>
                <w:highlight w:val="none"/>
              </w:rPr>
            </w:pPr>
          </w:p>
        </w:tc>
        <w:tc>
          <w:tcPr>
            <w:tcW w:w="1245" w:type="dxa"/>
            <w:vAlign w:val="top"/>
          </w:tcPr>
          <w:p w14:paraId="6CA58CFF">
            <w:pPr>
              <w:pStyle w:val="14"/>
              <w:spacing w:before="164" w:line="221" w:lineRule="auto"/>
              <w:ind w:left="298"/>
              <w:rPr>
                <w:color w:val="auto"/>
                <w:highlight w:val="none"/>
              </w:rPr>
            </w:pPr>
            <w:r>
              <w:rPr>
                <w:color w:val="auto"/>
                <w:spacing w:val="-19"/>
                <w:highlight w:val="none"/>
              </w:rPr>
              <w:t>电</w:t>
            </w:r>
            <w:r>
              <w:rPr>
                <w:color w:val="auto"/>
                <w:spacing w:val="4"/>
                <w:highlight w:val="none"/>
              </w:rPr>
              <w:t xml:space="preserve">  </w:t>
            </w:r>
            <w:r>
              <w:rPr>
                <w:color w:val="auto"/>
                <w:spacing w:val="-19"/>
                <w:highlight w:val="none"/>
              </w:rPr>
              <w:t>话</w:t>
            </w:r>
          </w:p>
        </w:tc>
        <w:tc>
          <w:tcPr>
            <w:tcW w:w="2389" w:type="dxa"/>
            <w:gridSpan w:val="3"/>
            <w:vAlign w:val="top"/>
          </w:tcPr>
          <w:p w14:paraId="44213EE6">
            <w:pPr>
              <w:rPr>
                <w:rFonts w:ascii="Arial"/>
                <w:color w:val="auto"/>
                <w:sz w:val="21"/>
                <w:highlight w:val="none"/>
              </w:rPr>
            </w:pPr>
          </w:p>
        </w:tc>
      </w:tr>
      <w:tr w14:paraId="6B823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continue"/>
            <w:tcBorders>
              <w:top w:val="nil"/>
            </w:tcBorders>
            <w:vAlign w:val="top"/>
          </w:tcPr>
          <w:p w14:paraId="1479FA5C">
            <w:pPr>
              <w:rPr>
                <w:rFonts w:ascii="Arial"/>
                <w:color w:val="auto"/>
                <w:sz w:val="21"/>
                <w:highlight w:val="none"/>
              </w:rPr>
            </w:pPr>
          </w:p>
        </w:tc>
        <w:tc>
          <w:tcPr>
            <w:tcW w:w="1035" w:type="dxa"/>
            <w:vAlign w:val="top"/>
          </w:tcPr>
          <w:p w14:paraId="6D7BD13E">
            <w:pPr>
              <w:pStyle w:val="14"/>
              <w:spacing w:before="164" w:line="219" w:lineRule="auto"/>
              <w:ind w:left="162"/>
              <w:rPr>
                <w:color w:val="auto"/>
                <w:highlight w:val="none"/>
              </w:rPr>
            </w:pPr>
            <w:r>
              <w:rPr>
                <w:color w:val="auto"/>
                <w:spacing w:val="-4"/>
                <w:highlight w:val="none"/>
              </w:rPr>
              <w:t>传</w:t>
            </w:r>
            <w:r>
              <w:rPr>
                <w:color w:val="auto"/>
                <w:spacing w:val="6"/>
                <w:highlight w:val="none"/>
              </w:rPr>
              <w:t xml:space="preserve">  </w:t>
            </w:r>
            <w:r>
              <w:rPr>
                <w:color w:val="auto"/>
                <w:spacing w:val="-4"/>
                <w:highlight w:val="none"/>
              </w:rPr>
              <w:t>真</w:t>
            </w:r>
          </w:p>
        </w:tc>
        <w:tc>
          <w:tcPr>
            <w:tcW w:w="2351" w:type="dxa"/>
            <w:gridSpan w:val="4"/>
            <w:vAlign w:val="top"/>
          </w:tcPr>
          <w:p w14:paraId="4B0DA1E0">
            <w:pPr>
              <w:rPr>
                <w:rFonts w:ascii="Arial"/>
                <w:color w:val="auto"/>
                <w:sz w:val="21"/>
                <w:highlight w:val="none"/>
              </w:rPr>
            </w:pPr>
          </w:p>
        </w:tc>
        <w:tc>
          <w:tcPr>
            <w:tcW w:w="1245" w:type="dxa"/>
            <w:vAlign w:val="top"/>
          </w:tcPr>
          <w:p w14:paraId="3BBAD8FD">
            <w:pPr>
              <w:pStyle w:val="14"/>
              <w:spacing w:before="165" w:line="224" w:lineRule="auto"/>
              <w:ind w:left="288"/>
              <w:rPr>
                <w:color w:val="auto"/>
                <w:highlight w:val="none"/>
              </w:rPr>
            </w:pPr>
            <w:r>
              <w:rPr>
                <w:color w:val="auto"/>
                <w:spacing w:val="-15"/>
                <w:highlight w:val="none"/>
              </w:rPr>
              <w:t>网</w:t>
            </w:r>
            <w:r>
              <w:rPr>
                <w:color w:val="auto"/>
                <w:spacing w:val="5"/>
                <w:highlight w:val="none"/>
              </w:rPr>
              <w:t xml:space="preserve">  </w:t>
            </w:r>
            <w:r>
              <w:rPr>
                <w:color w:val="auto"/>
                <w:spacing w:val="-15"/>
                <w:highlight w:val="none"/>
              </w:rPr>
              <w:t>址</w:t>
            </w:r>
          </w:p>
        </w:tc>
        <w:tc>
          <w:tcPr>
            <w:tcW w:w="2389" w:type="dxa"/>
            <w:gridSpan w:val="3"/>
            <w:vAlign w:val="top"/>
          </w:tcPr>
          <w:p w14:paraId="375582AD">
            <w:pPr>
              <w:rPr>
                <w:rFonts w:ascii="Arial"/>
                <w:color w:val="auto"/>
                <w:sz w:val="21"/>
                <w:highlight w:val="none"/>
              </w:rPr>
            </w:pPr>
          </w:p>
        </w:tc>
      </w:tr>
      <w:tr w14:paraId="6447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4E1182E">
            <w:pPr>
              <w:pStyle w:val="14"/>
              <w:spacing w:before="165" w:line="220" w:lineRule="auto"/>
              <w:ind w:left="344"/>
              <w:rPr>
                <w:color w:val="auto"/>
                <w:highlight w:val="none"/>
              </w:rPr>
            </w:pPr>
            <w:r>
              <w:rPr>
                <w:color w:val="auto"/>
                <w:spacing w:val="-4"/>
                <w:highlight w:val="none"/>
              </w:rPr>
              <w:t>组织结构</w:t>
            </w:r>
          </w:p>
        </w:tc>
        <w:tc>
          <w:tcPr>
            <w:tcW w:w="7020" w:type="dxa"/>
            <w:gridSpan w:val="9"/>
            <w:vAlign w:val="top"/>
          </w:tcPr>
          <w:p w14:paraId="70D4974D">
            <w:pPr>
              <w:rPr>
                <w:rFonts w:ascii="Arial"/>
                <w:color w:val="auto"/>
                <w:sz w:val="21"/>
                <w:highlight w:val="none"/>
              </w:rPr>
            </w:pPr>
          </w:p>
        </w:tc>
      </w:tr>
      <w:tr w14:paraId="030A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00C4827">
            <w:pPr>
              <w:pStyle w:val="14"/>
              <w:spacing w:before="167" w:line="219" w:lineRule="auto"/>
              <w:ind w:left="222"/>
              <w:rPr>
                <w:color w:val="auto"/>
                <w:highlight w:val="none"/>
              </w:rPr>
            </w:pPr>
            <w:r>
              <w:rPr>
                <w:color w:val="auto"/>
                <w:spacing w:val="-3"/>
                <w:highlight w:val="none"/>
              </w:rPr>
              <w:t>法定代表人</w:t>
            </w:r>
          </w:p>
        </w:tc>
        <w:tc>
          <w:tcPr>
            <w:tcW w:w="1035" w:type="dxa"/>
            <w:vAlign w:val="top"/>
          </w:tcPr>
          <w:p w14:paraId="798B71C4">
            <w:pPr>
              <w:pStyle w:val="14"/>
              <w:spacing w:before="167" w:line="219" w:lineRule="auto"/>
              <w:ind w:left="283"/>
              <w:rPr>
                <w:color w:val="auto"/>
                <w:highlight w:val="none"/>
              </w:rPr>
            </w:pPr>
            <w:r>
              <w:rPr>
                <w:color w:val="auto"/>
                <w:spacing w:val="-5"/>
                <w:highlight w:val="none"/>
              </w:rPr>
              <w:t>姓名</w:t>
            </w:r>
          </w:p>
        </w:tc>
        <w:tc>
          <w:tcPr>
            <w:tcW w:w="881" w:type="dxa"/>
            <w:vAlign w:val="top"/>
          </w:tcPr>
          <w:p w14:paraId="2AE35C59">
            <w:pPr>
              <w:rPr>
                <w:rFonts w:ascii="Arial"/>
                <w:color w:val="auto"/>
                <w:sz w:val="21"/>
                <w:highlight w:val="none"/>
              </w:rPr>
            </w:pPr>
          </w:p>
        </w:tc>
        <w:tc>
          <w:tcPr>
            <w:tcW w:w="1275" w:type="dxa"/>
            <w:gridSpan w:val="2"/>
            <w:vAlign w:val="top"/>
          </w:tcPr>
          <w:p w14:paraId="29A0B0B3">
            <w:pPr>
              <w:pStyle w:val="14"/>
              <w:spacing w:before="167" w:line="219" w:lineRule="auto"/>
              <w:ind w:left="166"/>
              <w:rPr>
                <w:color w:val="auto"/>
                <w:highlight w:val="none"/>
              </w:rPr>
            </w:pPr>
            <w:r>
              <w:rPr>
                <w:color w:val="auto"/>
                <w:spacing w:val="-3"/>
                <w:highlight w:val="none"/>
              </w:rPr>
              <w:t>技术职称</w:t>
            </w:r>
          </w:p>
        </w:tc>
        <w:tc>
          <w:tcPr>
            <w:tcW w:w="1700" w:type="dxa"/>
            <w:gridSpan w:val="3"/>
            <w:vAlign w:val="top"/>
          </w:tcPr>
          <w:p w14:paraId="478C8600">
            <w:pPr>
              <w:rPr>
                <w:rFonts w:ascii="Arial"/>
                <w:color w:val="auto"/>
                <w:sz w:val="21"/>
                <w:highlight w:val="none"/>
              </w:rPr>
            </w:pPr>
          </w:p>
        </w:tc>
        <w:tc>
          <w:tcPr>
            <w:tcW w:w="709" w:type="dxa"/>
            <w:vAlign w:val="top"/>
          </w:tcPr>
          <w:p w14:paraId="4C632554">
            <w:pPr>
              <w:pStyle w:val="14"/>
              <w:spacing w:before="168" w:line="221" w:lineRule="auto"/>
              <w:ind w:left="151"/>
              <w:rPr>
                <w:color w:val="auto"/>
                <w:highlight w:val="none"/>
              </w:rPr>
            </w:pPr>
            <w:r>
              <w:rPr>
                <w:color w:val="auto"/>
                <w:spacing w:val="-19"/>
                <w:highlight w:val="none"/>
              </w:rPr>
              <w:t>电话</w:t>
            </w:r>
          </w:p>
        </w:tc>
        <w:tc>
          <w:tcPr>
            <w:tcW w:w="1420" w:type="dxa"/>
            <w:vAlign w:val="top"/>
          </w:tcPr>
          <w:p w14:paraId="15103608">
            <w:pPr>
              <w:rPr>
                <w:rFonts w:ascii="Arial"/>
                <w:color w:val="auto"/>
                <w:sz w:val="21"/>
                <w:highlight w:val="none"/>
              </w:rPr>
            </w:pPr>
          </w:p>
        </w:tc>
      </w:tr>
      <w:tr w14:paraId="0C45F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34BB247">
            <w:pPr>
              <w:pStyle w:val="14"/>
              <w:spacing w:before="166" w:line="219" w:lineRule="auto"/>
              <w:ind w:left="222"/>
              <w:rPr>
                <w:color w:val="auto"/>
                <w:highlight w:val="none"/>
              </w:rPr>
            </w:pPr>
            <w:r>
              <w:rPr>
                <w:color w:val="auto"/>
                <w:spacing w:val="-3"/>
                <w:highlight w:val="none"/>
              </w:rPr>
              <w:t>技术负责人</w:t>
            </w:r>
          </w:p>
        </w:tc>
        <w:tc>
          <w:tcPr>
            <w:tcW w:w="1035" w:type="dxa"/>
            <w:vAlign w:val="top"/>
          </w:tcPr>
          <w:p w14:paraId="3406A4BA">
            <w:pPr>
              <w:pStyle w:val="14"/>
              <w:spacing w:before="166" w:line="219" w:lineRule="auto"/>
              <w:ind w:left="283"/>
              <w:rPr>
                <w:color w:val="auto"/>
                <w:highlight w:val="none"/>
              </w:rPr>
            </w:pPr>
            <w:r>
              <w:rPr>
                <w:color w:val="auto"/>
                <w:spacing w:val="-5"/>
                <w:highlight w:val="none"/>
              </w:rPr>
              <w:t>姓名</w:t>
            </w:r>
          </w:p>
        </w:tc>
        <w:tc>
          <w:tcPr>
            <w:tcW w:w="881" w:type="dxa"/>
            <w:vAlign w:val="top"/>
          </w:tcPr>
          <w:p w14:paraId="4CD91F11">
            <w:pPr>
              <w:rPr>
                <w:rFonts w:ascii="Arial"/>
                <w:color w:val="auto"/>
                <w:sz w:val="21"/>
                <w:highlight w:val="none"/>
              </w:rPr>
            </w:pPr>
          </w:p>
        </w:tc>
        <w:tc>
          <w:tcPr>
            <w:tcW w:w="1275" w:type="dxa"/>
            <w:gridSpan w:val="2"/>
            <w:vAlign w:val="top"/>
          </w:tcPr>
          <w:p w14:paraId="51FA38D6">
            <w:pPr>
              <w:pStyle w:val="14"/>
              <w:spacing w:before="166" w:line="219" w:lineRule="auto"/>
              <w:ind w:left="166"/>
              <w:rPr>
                <w:color w:val="auto"/>
                <w:highlight w:val="none"/>
              </w:rPr>
            </w:pPr>
            <w:r>
              <w:rPr>
                <w:color w:val="auto"/>
                <w:spacing w:val="-3"/>
                <w:highlight w:val="none"/>
              </w:rPr>
              <w:t>技术职称</w:t>
            </w:r>
          </w:p>
        </w:tc>
        <w:tc>
          <w:tcPr>
            <w:tcW w:w="1700" w:type="dxa"/>
            <w:gridSpan w:val="3"/>
            <w:vAlign w:val="top"/>
          </w:tcPr>
          <w:p w14:paraId="1317F483">
            <w:pPr>
              <w:rPr>
                <w:rFonts w:ascii="Arial"/>
                <w:color w:val="auto"/>
                <w:sz w:val="21"/>
                <w:highlight w:val="none"/>
              </w:rPr>
            </w:pPr>
          </w:p>
        </w:tc>
        <w:tc>
          <w:tcPr>
            <w:tcW w:w="709" w:type="dxa"/>
            <w:vAlign w:val="top"/>
          </w:tcPr>
          <w:p w14:paraId="27E98983">
            <w:pPr>
              <w:pStyle w:val="14"/>
              <w:spacing w:before="167" w:line="221" w:lineRule="auto"/>
              <w:ind w:left="151"/>
              <w:rPr>
                <w:color w:val="auto"/>
                <w:highlight w:val="none"/>
              </w:rPr>
            </w:pPr>
            <w:r>
              <w:rPr>
                <w:color w:val="auto"/>
                <w:spacing w:val="-19"/>
                <w:highlight w:val="none"/>
              </w:rPr>
              <w:t>电话</w:t>
            </w:r>
          </w:p>
        </w:tc>
        <w:tc>
          <w:tcPr>
            <w:tcW w:w="1420" w:type="dxa"/>
            <w:vAlign w:val="top"/>
          </w:tcPr>
          <w:p w14:paraId="3A3F2913">
            <w:pPr>
              <w:rPr>
                <w:rFonts w:ascii="Arial"/>
                <w:color w:val="auto"/>
                <w:sz w:val="21"/>
                <w:highlight w:val="none"/>
              </w:rPr>
            </w:pPr>
          </w:p>
        </w:tc>
      </w:tr>
      <w:tr w14:paraId="4B82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F3D4538">
            <w:pPr>
              <w:pStyle w:val="14"/>
              <w:spacing w:before="167" w:line="221" w:lineRule="auto"/>
              <w:ind w:left="343"/>
              <w:rPr>
                <w:color w:val="auto"/>
                <w:highlight w:val="none"/>
              </w:rPr>
            </w:pPr>
            <w:r>
              <w:rPr>
                <w:color w:val="auto"/>
                <w:spacing w:val="-3"/>
                <w:highlight w:val="none"/>
              </w:rPr>
              <w:t>成立时间</w:t>
            </w:r>
          </w:p>
        </w:tc>
        <w:tc>
          <w:tcPr>
            <w:tcW w:w="1916" w:type="dxa"/>
            <w:gridSpan w:val="2"/>
            <w:vAlign w:val="top"/>
          </w:tcPr>
          <w:p w14:paraId="183E54F7">
            <w:pPr>
              <w:rPr>
                <w:rFonts w:ascii="Arial"/>
                <w:color w:val="auto"/>
                <w:sz w:val="21"/>
                <w:highlight w:val="none"/>
              </w:rPr>
            </w:pPr>
          </w:p>
        </w:tc>
        <w:tc>
          <w:tcPr>
            <w:tcW w:w="5104" w:type="dxa"/>
            <w:gridSpan w:val="7"/>
            <w:vAlign w:val="top"/>
          </w:tcPr>
          <w:p w14:paraId="1FC21B5D">
            <w:pPr>
              <w:pStyle w:val="14"/>
              <w:spacing w:before="168" w:line="219" w:lineRule="auto"/>
              <w:ind w:left="1847"/>
              <w:rPr>
                <w:color w:val="auto"/>
                <w:highlight w:val="none"/>
              </w:rPr>
            </w:pPr>
            <w:r>
              <w:rPr>
                <w:color w:val="auto"/>
                <w:spacing w:val="-4"/>
                <w:highlight w:val="none"/>
              </w:rPr>
              <w:t>员工总人数：</w:t>
            </w:r>
          </w:p>
        </w:tc>
      </w:tr>
      <w:tr w14:paraId="7DD02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30" w:type="dxa"/>
            <w:vAlign w:val="top"/>
          </w:tcPr>
          <w:p w14:paraId="24EB53C7">
            <w:pPr>
              <w:pStyle w:val="14"/>
              <w:spacing w:before="40" w:line="222" w:lineRule="auto"/>
              <w:ind w:left="705" w:right="212" w:hanging="480"/>
              <w:rPr>
                <w:color w:val="auto"/>
                <w:highlight w:val="none"/>
              </w:rPr>
            </w:pPr>
            <w:r>
              <w:rPr>
                <w:color w:val="auto"/>
                <w:spacing w:val="-3"/>
                <w:highlight w:val="none"/>
              </w:rPr>
              <w:t>企业资质等</w:t>
            </w:r>
            <w:r>
              <w:rPr>
                <w:color w:val="auto"/>
                <w:highlight w:val="none"/>
              </w:rPr>
              <w:t xml:space="preserve"> 级</w:t>
            </w:r>
          </w:p>
        </w:tc>
        <w:tc>
          <w:tcPr>
            <w:tcW w:w="1916" w:type="dxa"/>
            <w:gridSpan w:val="2"/>
            <w:vAlign w:val="top"/>
          </w:tcPr>
          <w:p w14:paraId="0267A79A">
            <w:pPr>
              <w:rPr>
                <w:rFonts w:ascii="Arial"/>
                <w:color w:val="auto"/>
                <w:sz w:val="21"/>
                <w:highlight w:val="none"/>
              </w:rPr>
            </w:pPr>
          </w:p>
        </w:tc>
        <w:tc>
          <w:tcPr>
            <w:tcW w:w="992" w:type="dxa"/>
            <w:vMerge w:val="restart"/>
            <w:tcBorders>
              <w:bottom w:val="nil"/>
            </w:tcBorders>
            <w:vAlign w:val="top"/>
          </w:tcPr>
          <w:p w14:paraId="1EA83D83">
            <w:pPr>
              <w:spacing w:line="252" w:lineRule="auto"/>
              <w:rPr>
                <w:rFonts w:ascii="Arial"/>
                <w:color w:val="auto"/>
                <w:sz w:val="21"/>
                <w:highlight w:val="none"/>
              </w:rPr>
            </w:pPr>
          </w:p>
          <w:p w14:paraId="1FE6EC94">
            <w:pPr>
              <w:spacing w:line="253" w:lineRule="auto"/>
              <w:rPr>
                <w:rFonts w:ascii="Arial"/>
                <w:color w:val="auto"/>
                <w:sz w:val="21"/>
                <w:highlight w:val="none"/>
              </w:rPr>
            </w:pPr>
          </w:p>
          <w:p w14:paraId="7218DB21">
            <w:pPr>
              <w:spacing w:line="253" w:lineRule="auto"/>
              <w:rPr>
                <w:rFonts w:ascii="Arial"/>
                <w:color w:val="auto"/>
                <w:sz w:val="21"/>
                <w:highlight w:val="none"/>
              </w:rPr>
            </w:pPr>
          </w:p>
          <w:p w14:paraId="2D8E4E6D">
            <w:pPr>
              <w:spacing w:line="253" w:lineRule="auto"/>
              <w:rPr>
                <w:rFonts w:ascii="Arial"/>
                <w:color w:val="auto"/>
                <w:sz w:val="21"/>
                <w:highlight w:val="none"/>
              </w:rPr>
            </w:pPr>
          </w:p>
          <w:p w14:paraId="7DCC35A8">
            <w:pPr>
              <w:spacing w:line="253" w:lineRule="auto"/>
              <w:rPr>
                <w:rFonts w:ascii="Arial"/>
                <w:color w:val="auto"/>
                <w:sz w:val="21"/>
                <w:highlight w:val="none"/>
              </w:rPr>
            </w:pPr>
          </w:p>
          <w:p w14:paraId="265C5A03">
            <w:pPr>
              <w:pStyle w:val="14"/>
              <w:spacing w:before="78" w:line="220" w:lineRule="auto"/>
              <w:ind w:left="264"/>
              <w:rPr>
                <w:color w:val="auto"/>
                <w:highlight w:val="none"/>
              </w:rPr>
            </w:pPr>
            <w:r>
              <w:rPr>
                <w:color w:val="auto"/>
                <w:spacing w:val="-6"/>
                <w:highlight w:val="none"/>
              </w:rPr>
              <w:t>其中</w:t>
            </w:r>
          </w:p>
        </w:tc>
        <w:tc>
          <w:tcPr>
            <w:tcW w:w="1983" w:type="dxa"/>
            <w:gridSpan w:val="4"/>
            <w:vAlign w:val="top"/>
          </w:tcPr>
          <w:p w14:paraId="6EF44F27">
            <w:pPr>
              <w:pStyle w:val="14"/>
              <w:spacing w:before="196" w:line="219" w:lineRule="auto"/>
              <w:ind w:left="403"/>
              <w:rPr>
                <w:color w:val="auto"/>
                <w:highlight w:val="none"/>
              </w:rPr>
            </w:pPr>
            <w:r>
              <w:rPr>
                <w:color w:val="auto"/>
                <w:spacing w:val="-3"/>
                <w:highlight w:val="none"/>
              </w:rPr>
              <w:t>项目负责人</w:t>
            </w:r>
          </w:p>
        </w:tc>
        <w:tc>
          <w:tcPr>
            <w:tcW w:w="2129" w:type="dxa"/>
            <w:gridSpan w:val="2"/>
            <w:vAlign w:val="top"/>
          </w:tcPr>
          <w:p w14:paraId="67849967">
            <w:pPr>
              <w:rPr>
                <w:rFonts w:ascii="Arial"/>
                <w:color w:val="auto"/>
                <w:sz w:val="21"/>
                <w:highlight w:val="none"/>
              </w:rPr>
            </w:pPr>
          </w:p>
        </w:tc>
      </w:tr>
      <w:tr w14:paraId="52455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FF17D55">
            <w:pPr>
              <w:pStyle w:val="14"/>
              <w:spacing w:before="167" w:line="219" w:lineRule="auto"/>
              <w:ind w:left="229"/>
              <w:rPr>
                <w:color w:val="auto"/>
                <w:highlight w:val="none"/>
              </w:rPr>
            </w:pPr>
            <w:r>
              <w:rPr>
                <w:color w:val="auto"/>
                <w:spacing w:val="-4"/>
                <w:highlight w:val="none"/>
              </w:rPr>
              <w:t>营业执照号</w:t>
            </w:r>
          </w:p>
        </w:tc>
        <w:tc>
          <w:tcPr>
            <w:tcW w:w="1916" w:type="dxa"/>
            <w:gridSpan w:val="2"/>
            <w:vAlign w:val="top"/>
          </w:tcPr>
          <w:p w14:paraId="763286BD">
            <w:pPr>
              <w:rPr>
                <w:rFonts w:ascii="Arial"/>
                <w:color w:val="auto"/>
                <w:sz w:val="21"/>
                <w:highlight w:val="none"/>
              </w:rPr>
            </w:pPr>
          </w:p>
        </w:tc>
        <w:tc>
          <w:tcPr>
            <w:tcW w:w="992" w:type="dxa"/>
            <w:vMerge w:val="continue"/>
            <w:tcBorders>
              <w:top w:val="nil"/>
              <w:bottom w:val="nil"/>
            </w:tcBorders>
            <w:vAlign w:val="top"/>
          </w:tcPr>
          <w:p w14:paraId="612FC3E9">
            <w:pPr>
              <w:rPr>
                <w:rFonts w:ascii="Arial"/>
                <w:color w:val="auto"/>
                <w:sz w:val="21"/>
                <w:highlight w:val="none"/>
              </w:rPr>
            </w:pPr>
          </w:p>
        </w:tc>
        <w:tc>
          <w:tcPr>
            <w:tcW w:w="1983" w:type="dxa"/>
            <w:gridSpan w:val="4"/>
            <w:vAlign w:val="top"/>
          </w:tcPr>
          <w:p w14:paraId="67DD4006">
            <w:pPr>
              <w:pStyle w:val="14"/>
              <w:spacing w:before="167" w:line="219" w:lineRule="auto"/>
              <w:ind w:left="286"/>
              <w:rPr>
                <w:color w:val="auto"/>
                <w:highlight w:val="none"/>
              </w:rPr>
            </w:pPr>
            <w:r>
              <w:rPr>
                <w:color w:val="auto"/>
                <w:spacing w:val="-3"/>
                <w:highlight w:val="none"/>
              </w:rPr>
              <w:t>高级职称人员</w:t>
            </w:r>
          </w:p>
        </w:tc>
        <w:tc>
          <w:tcPr>
            <w:tcW w:w="2129" w:type="dxa"/>
            <w:gridSpan w:val="2"/>
            <w:vAlign w:val="top"/>
          </w:tcPr>
          <w:p w14:paraId="2F5D5796">
            <w:pPr>
              <w:rPr>
                <w:rFonts w:ascii="Arial"/>
                <w:color w:val="auto"/>
                <w:sz w:val="21"/>
                <w:highlight w:val="none"/>
              </w:rPr>
            </w:pPr>
          </w:p>
        </w:tc>
      </w:tr>
      <w:tr w14:paraId="05242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8FBE72F">
            <w:pPr>
              <w:pStyle w:val="14"/>
              <w:spacing w:before="168" w:line="221" w:lineRule="auto"/>
              <w:ind w:left="341"/>
              <w:rPr>
                <w:color w:val="auto"/>
                <w:highlight w:val="none"/>
              </w:rPr>
            </w:pPr>
            <w:r>
              <w:rPr>
                <w:color w:val="auto"/>
                <w:spacing w:val="-3"/>
                <w:highlight w:val="none"/>
              </w:rPr>
              <w:t>注册资金</w:t>
            </w:r>
          </w:p>
        </w:tc>
        <w:tc>
          <w:tcPr>
            <w:tcW w:w="1916" w:type="dxa"/>
            <w:gridSpan w:val="2"/>
            <w:vAlign w:val="top"/>
          </w:tcPr>
          <w:p w14:paraId="66D0DDC7">
            <w:pPr>
              <w:rPr>
                <w:rFonts w:ascii="Arial"/>
                <w:color w:val="auto"/>
                <w:sz w:val="21"/>
                <w:highlight w:val="none"/>
              </w:rPr>
            </w:pPr>
          </w:p>
        </w:tc>
        <w:tc>
          <w:tcPr>
            <w:tcW w:w="992" w:type="dxa"/>
            <w:vMerge w:val="continue"/>
            <w:tcBorders>
              <w:top w:val="nil"/>
              <w:bottom w:val="nil"/>
            </w:tcBorders>
            <w:vAlign w:val="top"/>
          </w:tcPr>
          <w:p w14:paraId="04519EF6">
            <w:pPr>
              <w:rPr>
                <w:rFonts w:ascii="Arial"/>
                <w:color w:val="auto"/>
                <w:sz w:val="21"/>
                <w:highlight w:val="none"/>
              </w:rPr>
            </w:pPr>
          </w:p>
        </w:tc>
        <w:tc>
          <w:tcPr>
            <w:tcW w:w="1983" w:type="dxa"/>
            <w:gridSpan w:val="4"/>
            <w:vAlign w:val="top"/>
          </w:tcPr>
          <w:p w14:paraId="05C2FF0E">
            <w:pPr>
              <w:pStyle w:val="14"/>
              <w:spacing w:before="168" w:line="220" w:lineRule="auto"/>
              <w:ind w:left="302"/>
              <w:rPr>
                <w:color w:val="auto"/>
                <w:highlight w:val="none"/>
              </w:rPr>
            </w:pPr>
            <w:r>
              <w:rPr>
                <w:color w:val="auto"/>
                <w:spacing w:val="-6"/>
                <w:highlight w:val="none"/>
              </w:rPr>
              <w:t>中级职称人员</w:t>
            </w:r>
          </w:p>
        </w:tc>
        <w:tc>
          <w:tcPr>
            <w:tcW w:w="2129" w:type="dxa"/>
            <w:gridSpan w:val="2"/>
            <w:vAlign w:val="top"/>
          </w:tcPr>
          <w:p w14:paraId="73C675D0">
            <w:pPr>
              <w:rPr>
                <w:rFonts w:ascii="Arial"/>
                <w:color w:val="auto"/>
                <w:sz w:val="21"/>
                <w:highlight w:val="none"/>
              </w:rPr>
            </w:pPr>
          </w:p>
        </w:tc>
      </w:tr>
      <w:tr w14:paraId="700E1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81493B9">
            <w:pPr>
              <w:pStyle w:val="14"/>
              <w:spacing w:before="167" w:line="220" w:lineRule="auto"/>
              <w:ind w:left="342"/>
              <w:rPr>
                <w:color w:val="auto"/>
                <w:highlight w:val="none"/>
              </w:rPr>
            </w:pPr>
            <w:r>
              <w:rPr>
                <w:color w:val="auto"/>
                <w:spacing w:val="-3"/>
                <w:highlight w:val="none"/>
              </w:rPr>
              <w:t>开户银行</w:t>
            </w:r>
          </w:p>
        </w:tc>
        <w:tc>
          <w:tcPr>
            <w:tcW w:w="1916" w:type="dxa"/>
            <w:gridSpan w:val="2"/>
            <w:vAlign w:val="top"/>
          </w:tcPr>
          <w:p w14:paraId="5DE39AB2">
            <w:pPr>
              <w:rPr>
                <w:rFonts w:ascii="Arial"/>
                <w:color w:val="auto"/>
                <w:sz w:val="21"/>
                <w:highlight w:val="none"/>
              </w:rPr>
            </w:pPr>
          </w:p>
        </w:tc>
        <w:tc>
          <w:tcPr>
            <w:tcW w:w="992" w:type="dxa"/>
            <w:vMerge w:val="continue"/>
            <w:tcBorders>
              <w:top w:val="nil"/>
              <w:bottom w:val="nil"/>
            </w:tcBorders>
            <w:vAlign w:val="top"/>
          </w:tcPr>
          <w:p w14:paraId="72168273">
            <w:pPr>
              <w:rPr>
                <w:rFonts w:ascii="Arial"/>
                <w:color w:val="auto"/>
                <w:sz w:val="21"/>
                <w:highlight w:val="none"/>
              </w:rPr>
            </w:pPr>
          </w:p>
        </w:tc>
        <w:tc>
          <w:tcPr>
            <w:tcW w:w="1983" w:type="dxa"/>
            <w:gridSpan w:val="4"/>
            <w:vAlign w:val="top"/>
          </w:tcPr>
          <w:p w14:paraId="295FB106">
            <w:pPr>
              <w:pStyle w:val="14"/>
              <w:spacing w:before="167" w:line="221" w:lineRule="auto"/>
              <w:ind w:left="279"/>
              <w:rPr>
                <w:color w:val="auto"/>
                <w:highlight w:val="none"/>
              </w:rPr>
            </w:pPr>
            <w:r>
              <w:rPr>
                <w:color w:val="auto"/>
                <w:spacing w:val="-2"/>
                <w:highlight w:val="none"/>
              </w:rPr>
              <w:t>初级职称人员</w:t>
            </w:r>
          </w:p>
        </w:tc>
        <w:tc>
          <w:tcPr>
            <w:tcW w:w="2129" w:type="dxa"/>
            <w:gridSpan w:val="2"/>
            <w:vAlign w:val="top"/>
          </w:tcPr>
          <w:p w14:paraId="756EFDC8">
            <w:pPr>
              <w:rPr>
                <w:rFonts w:ascii="Arial"/>
                <w:color w:val="auto"/>
                <w:sz w:val="21"/>
                <w:highlight w:val="none"/>
              </w:rPr>
            </w:pPr>
          </w:p>
        </w:tc>
      </w:tr>
      <w:tr w14:paraId="61B8C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C3941CE">
            <w:pPr>
              <w:pStyle w:val="14"/>
              <w:spacing w:before="166" w:line="221" w:lineRule="auto"/>
              <w:ind w:left="585"/>
              <w:rPr>
                <w:color w:val="auto"/>
                <w:highlight w:val="none"/>
              </w:rPr>
            </w:pPr>
            <w:r>
              <w:rPr>
                <w:color w:val="auto"/>
                <w:spacing w:val="-7"/>
                <w:highlight w:val="none"/>
              </w:rPr>
              <w:t>账号</w:t>
            </w:r>
          </w:p>
        </w:tc>
        <w:tc>
          <w:tcPr>
            <w:tcW w:w="1916" w:type="dxa"/>
            <w:gridSpan w:val="2"/>
            <w:vAlign w:val="top"/>
          </w:tcPr>
          <w:p w14:paraId="3B37BBBA">
            <w:pPr>
              <w:rPr>
                <w:rFonts w:ascii="Arial"/>
                <w:color w:val="auto"/>
                <w:sz w:val="21"/>
                <w:highlight w:val="none"/>
              </w:rPr>
            </w:pPr>
          </w:p>
        </w:tc>
        <w:tc>
          <w:tcPr>
            <w:tcW w:w="992" w:type="dxa"/>
            <w:vMerge w:val="continue"/>
            <w:tcBorders>
              <w:top w:val="nil"/>
            </w:tcBorders>
            <w:vAlign w:val="top"/>
          </w:tcPr>
          <w:p w14:paraId="68F789E5">
            <w:pPr>
              <w:rPr>
                <w:rFonts w:ascii="Arial"/>
                <w:color w:val="auto"/>
                <w:sz w:val="21"/>
                <w:highlight w:val="none"/>
              </w:rPr>
            </w:pPr>
          </w:p>
        </w:tc>
        <w:tc>
          <w:tcPr>
            <w:tcW w:w="1983" w:type="dxa"/>
            <w:gridSpan w:val="4"/>
            <w:vAlign w:val="top"/>
          </w:tcPr>
          <w:p w14:paraId="03C8CE82">
            <w:pPr>
              <w:pStyle w:val="14"/>
              <w:spacing w:before="166" w:line="221" w:lineRule="auto"/>
              <w:ind w:left="640"/>
              <w:rPr>
                <w:color w:val="auto"/>
                <w:highlight w:val="none"/>
              </w:rPr>
            </w:pPr>
            <w:r>
              <w:rPr>
                <w:color w:val="auto"/>
                <w:spacing w:val="-6"/>
                <w:highlight w:val="none"/>
              </w:rPr>
              <w:t>技</w:t>
            </w:r>
            <w:r>
              <w:rPr>
                <w:color w:val="auto"/>
                <w:spacing w:val="6"/>
                <w:highlight w:val="none"/>
              </w:rPr>
              <w:t xml:space="preserve">  </w:t>
            </w:r>
            <w:r>
              <w:rPr>
                <w:color w:val="auto"/>
                <w:spacing w:val="-6"/>
                <w:highlight w:val="none"/>
              </w:rPr>
              <w:t>工</w:t>
            </w:r>
          </w:p>
        </w:tc>
        <w:tc>
          <w:tcPr>
            <w:tcW w:w="2129" w:type="dxa"/>
            <w:gridSpan w:val="2"/>
            <w:vAlign w:val="top"/>
          </w:tcPr>
          <w:p w14:paraId="30D416EB">
            <w:pPr>
              <w:rPr>
                <w:rFonts w:ascii="Arial"/>
                <w:color w:val="auto"/>
                <w:sz w:val="21"/>
                <w:highlight w:val="none"/>
              </w:rPr>
            </w:pPr>
          </w:p>
        </w:tc>
      </w:tr>
      <w:tr w14:paraId="205AC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1630" w:type="dxa"/>
            <w:vAlign w:val="top"/>
          </w:tcPr>
          <w:p w14:paraId="25952C0C">
            <w:pPr>
              <w:spacing w:line="319" w:lineRule="auto"/>
              <w:rPr>
                <w:rFonts w:ascii="Arial"/>
                <w:color w:val="auto"/>
                <w:sz w:val="21"/>
                <w:highlight w:val="none"/>
              </w:rPr>
            </w:pPr>
          </w:p>
          <w:p w14:paraId="15A854D2">
            <w:pPr>
              <w:spacing w:line="319" w:lineRule="auto"/>
              <w:rPr>
                <w:rFonts w:ascii="Arial"/>
                <w:color w:val="auto"/>
                <w:sz w:val="21"/>
                <w:highlight w:val="none"/>
              </w:rPr>
            </w:pPr>
          </w:p>
          <w:p w14:paraId="0A691D66">
            <w:pPr>
              <w:spacing w:line="320" w:lineRule="auto"/>
              <w:rPr>
                <w:rFonts w:ascii="Arial"/>
                <w:color w:val="auto"/>
                <w:sz w:val="21"/>
                <w:highlight w:val="none"/>
              </w:rPr>
            </w:pPr>
          </w:p>
          <w:p w14:paraId="334C2734">
            <w:pPr>
              <w:pStyle w:val="14"/>
              <w:spacing w:before="78" w:line="220" w:lineRule="auto"/>
              <w:ind w:left="343"/>
              <w:rPr>
                <w:color w:val="auto"/>
                <w:highlight w:val="none"/>
              </w:rPr>
            </w:pPr>
            <w:r>
              <w:rPr>
                <w:color w:val="auto"/>
                <w:spacing w:val="-3"/>
                <w:highlight w:val="none"/>
              </w:rPr>
              <w:t>经营范围</w:t>
            </w:r>
          </w:p>
        </w:tc>
        <w:tc>
          <w:tcPr>
            <w:tcW w:w="7020" w:type="dxa"/>
            <w:gridSpan w:val="9"/>
            <w:vAlign w:val="top"/>
          </w:tcPr>
          <w:p w14:paraId="2BA725C0">
            <w:pPr>
              <w:rPr>
                <w:rFonts w:ascii="Arial"/>
                <w:color w:val="auto"/>
                <w:sz w:val="21"/>
                <w:highlight w:val="none"/>
              </w:rPr>
            </w:pPr>
          </w:p>
        </w:tc>
      </w:tr>
      <w:tr w14:paraId="7BC90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1EED84F3">
            <w:pPr>
              <w:pStyle w:val="14"/>
              <w:spacing w:before="169" w:line="221" w:lineRule="auto"/>
              <w:ind w:left="584"/>
              <w:rPr>
                <w:color w:val="auto"/>
                <w:highlight w:val="none"/>
              </w:rPr>
            </w:pPr>
            <w:r>
              <w:rPr>
                <w:color w:val="auto"/>
                <w:spacing w:val="-7"/>
                <w:highlight w:val="none"/>
              </w:rPr>
              <w:t>备注</w:t>
            </w:r>
          </w:p>
        </w:tc>
        <w:tc>
          <w:tcPr>
            <w:tcW w:w="7020" w:type="dxa"/>
            <w:gridSpan w:val="9"/>
            <w:vAlign w:val="top"/>
          </w:tcPr>
          <w:p w14:paraId="3E7524E2">
            <w:pPr>
              <w:rPr>
                <w:rFonts w:ascii="Arial"/>
                <w:color w:val="auto"/>
                <w:sz w:val="21"/>
                <w:highlight w:val="none"/>
              </w:rPr>
            </w:pPr>
          </w:p>
        </w:tc>
      </w:tr>
    </w:tbl>
    <w:p w14:paraId="4345928F">
      <w:pPr>
        <w:pStyle w:val="2"/>
        <w:spacing w:line="465" w:lineRule="auto"/>
        <w:rPr>
          <w:color w:val="auto"/>
          <w:highlight w:val="none"/>
        </w:rPr>
      </w:pPr>
    </w:p>
    <w:p w14:paraId="1FA6A9D0">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注：在本表后应附资格审查所需的相关资料，格式自拟。</w:t>
      </w:r>
    </w:p>
    <w:p w14:paraId="3CD4D9E9">
      <w:pPr>
        <w:spacing w:before="92" w:line="227" w:lineRule="auto"/>
        <w:ind w:left="443"/>
        <w:rPr>
          <w:rFonts w:ascii="宋体" w:hAnsi="宋体" w:eastAsia="宋体" w:cs="宋体"/>
          <w:color w:val="auto"/>
          <w:sz w:val="20"/>
          <w:szCs w:val="20"/>
          <w:highlight w:val="none"/>
        </w:rPr>
        <w:sectPr>
          <w:footerReference r:id="rId40" w:type="default"/>
          <w:pgSz w:w="11906" w:h="16839"/>
          <w:pgMar w:top="1440" w:right="1800" w:bottom="1440" w:left="1800" w:header="0" w:footer="973" w:gutter="0"/>
          <w:pgNumType w:fmt="decimal"/>
          <w:cols w:space="720" w:num="1"/>
        </w:sectPr>
      </w:pPr>
      <w:r>
        <w:rPr>
          <w:rFonts w:ascii="宋体" w:hAnsi="宋体" w:eastAsia="宋体" w:cs="宋体"/>
          <w:color w:val="auto"/>
          <w:spacing w:val="9"/>
          <w:sz w:val="20"/>
          <w:szCs w:val="20"/>
          <w:highlight w:val="none"/>
        </w:rPr>
        <w:t>以上扫描件、复印件在投标文件均为加盖公章，必须</w:t>
      </w:r>
      <w:r>
        <w:rPr>
          <w:rFonts w:ascii="宋体" w:hAnsi="宋体" w:eastAsia="宋体" w:cs="宋体"/>
          <w:color w:val="auto"/>
          <w:spacing w:val="8"/>
          <w:sz w:val="20"/>
          <w:szCs w:val="20"/>
          <w:highlight w:val="none"/>
        </w:rPr>
        <w:t>完整、清晰可辨、有效</w:t>
      </w:r>
    </w:p>
    <w:p w14:paraId="3B31EF44">
      <w:pPr>
        <w:spacing w:before="78" w:line="252" w:lineRule="auto"/>
        <w:ind w:left="5" w:firstLine="479"/>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6.投标人如为中小微企业、残疾人福利性单位的须提供声明函及企业注册地县级</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rPr>
        <w:t>以上主管部门出具的认定材料；为监狱企业的须提供由省级以上监狱管理局、戒毒管</w:t>
      </w:r>
      <w:r>
        <w:rPr>
          <w:rFonts w:ascii="宋体" w:hAnsi="宋体" w:eastAsia="宋体" w:cs="宋体"/>
          <w:color w:val="auto"/>
          <w:spacing w:val="4"/>
          <w:sz w:val="24"/>
          <w:szCs w:val="24"/>
          <w:highlight w:val="none"/>
        </w:rPr>
        <w:t xml:space="preserve"> </w:t>
      </w:r>
      <w:r>
        <w:rPr>
          <w:rFonts w:ascii="宋体" w:hAnsi="宋体" w:eastAsia="宋体" w:cs="宋体"/>
          <w:color w:val="auto"/>
          <w:spacing w:val="-1"/>
          <w:sz w:val="24"/>
          <w:szCs w:val="24"/>
          <w:highlight w:val="none"/>
        </w:rPr>
        <w:t>理局（含新疆生产建设兵团）出具的属于监狱企业的证明文件。</w:t>
      </w:r>
    </w:p>
    <w:p w14:paraId="4B067C74">
      <w:pPr>
        <w:spacing w:before="63" w:line="219" w:lineRule="auto"/>
        <w:ind w:left="2717"/>
        <w:rPr>
          <w:rFonts w:ascii="宋体" w:hAnsi="宋体" w:eastAsia="宋体" w:cs="宋体"/>
          <w:color w:val="auto"/>
          <w:sz w:val="30"/>
          <w:szCs w:val="30"/>
          <w:highlight w:val="none"/>
        </w:rPr>
      </w:pPr>
      <w:r>
        <w:rPr>
          <w:rFonts w:ascii="宋体" w:hAnsi="宋体" w:eastAsia="宋体" w:cs="宋体"/>
          <w:b/>
          <w:bCs/>
          <w:color w:val="auto"/>
          <w:spacing w:val="-5"/>
          <w:sz w:val="30"/>
          <w:szCs w:val="30"/>
          <w:highlight w:val="none"/>
        </w:rPr>
        <w:t>（一）中小企业声明函</w:t>
      </w:r>
    </w:p>
    <w:p w14:paraId="454E6081">
      <w:pPr>
        <w:pStyle w:val="2"/>
        <w:spacing w:line="247" w:lineRule="auto"/>
        <w:rPr>
          <w:color w:val="auto"/>
          <w:highlight w:val="none"/>
        </w:rPr>
      </w:pPr>
    </w:p>
    <w:p w14:paraId="2D5431BB">
      <w:pPr>
        <w:pStyle w:val="2"/>
        <w:spacing w:line="248" w:lineRule="auto"/>
        <w:rPr>
          <w:color w:val="auto"/>
          <w:highlight w:val="none"/>
        </w:rPr>
      </w:pPr>
    </w:p>
    <w:p w14:paraId="1D499B05">
      <w:pPr>
        <w:spacing w:before="78" w:line="333" w:lineRule="auto"/>
        <w:ind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本公司（联合体）郑重声明，根据《政府采购促进中小企业发展管理办法》（财</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库 ﹝</w:t>
      </w:r>
      <w:r>
        <w:rPr>
          <w:rFonts w:ascii="Calibri" w:hAnsi="Calibri" w:eastAsia="Calibri" w:cs="Calibri"/>
          <w:color w:val="auto"/>
          <w:spacing w:val="-2"/>
          <w:sz w:val="24"/>
          <w:szCs w:val="24"/>
          <w:highlight w:val="none"/>
        </w:rPr>
        <w:t>2020</w:t>
      </w:r>
      <w:r>
        <w:rPr>
          <w:rFonts w:ascii="宋体" w:hAnsi="宋体" w:eastAsia="宋体" w:cs="宋体"/>
          <w:color w:val="auto"/>
          <w:spacing w:val="-2"/>
          <w:sz w:val="24"/>
          <w:szCs w:val="24"/>
          <w:highlight w:val="none"/>
        </w:rPr>
        <w:t>﹞</w:t>
      </w:r>
      <w:r>
        <w:rPr>
          <w:rFonts w:ascii="Calibri" w:hAnsi="Calibri" w:eastAsia="Calibri" w:cs="Calibri"/>
          <w:color w:val="auto"/>
          <w:spacing w:val="-2"/>
          <w:sz w:val="24"/>
          <w:szCs w:val="24"/>
          <w:highlight w:val="none"/>
        </w:rPr>
        <w:t xml:space="preserve">46  </w:t>
      </w:r>
      <w:r>
        <w:rPr>
          <w:rFonts w:ascii="宋体" w:hAnsi="宋体" w:eastAsia="宋体" w:cs="宋体"/>
          <w:color w:val="auto"/>
          <w:spacing w:val="-2"/>
          <w:sz w:val="24"/>
          <w:szCs w:val="24"/>
          <w:highlight w:val="none"/>
        </w:rPr>
        <w:t>号）的规定，本公司（联合体</w:t>
      </w:r>
      <w:r>
        <w:rPr>
          <w:rFonts w:ascii="宋体" w:hAnsi="宋体" w:eastAsia="宋体" w:cs="宋体"/>
          <w:color w:val="auto"/>
          <w:spacing w:val="-3"/>
          <w:sz w:val="24"/>
          <w:szCs w:val="24"/>
          <w:highlight w:val="none"/>
        </w:rPr>
        <w:t>）参加</w:t>
      </w:r>
      <w:r>
        <w:rPr>
          <w:rFonts w:ascii="宋体" w:hAnsi="宋体" w:eastAsia="宋体" w:cs="宋体"/>
          <w:color w:val="auto"/>
          <w:spacing w:val="-3"/>
          <w:sz w:val="24"/>
          <w:szCs w:val="24"/>
          <w:highlight w:val="none"/>
          <w:u w:val="single" w:color="auto"/>
        </w:rPr>
        <w:t>（单位名称）</w:t>
      </w:r>
      <w:r>
        <w:rPr>
          <w:rFonts w:ascii="宋体" w:hAnsi="宋体" w:eastAsia="宋体" w:cs="宋体"/>
          <w:color w:val="auto"/>
          <w:spacing w:val="-3"/>
          <w:sz w:val="24"/>
          <w:szCs w:val="24"/>
          <w:highlight w:val="none"/>
        </w:rPr>
        <w:t>的</w:t>
      </w:r>
      <w:r>
        <w:rPr>
          <w:rFonts w:ascii="宋体" w:hAnsi="宋体" w:eastAsia="宋体" w:cs="宋体"/>
          <w:color w:val="auto"/>
          <w:spacing w:val="-3"/>
          <w:sz w:val="24"/>
          <w:szCs w:val="24"/>
          <w:highlight w:val="none"/>
          <w:u w:val="single" w:color="auto"/>
        </w:rPr>
        <w:t>（项目名称）</w:t>
      </w:r>
      <w:r>
        <w:rPr>
          <w:rFonts w:ascii="宋体" w:hAnsi="宋体" w:eastAsia="宋体" w:cs="宋体"/>
          <w:color w:val="auto"/>
          <w:spacing w:val="-3"/>
          <w:sz w:val="24"/>
          <w:szCs w:val="24"/>
          <w:highlight w:val="none"/>
        </w:rPr>
        <w:t>采</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购活动，工程的施工单位全部为符合政策要求的中小企业（或者：服务全部由符合政</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策要求的中小企业承接）。相关企业（含联合体中的中小企业、签订分包意向协议的</w:t>
      </w:r>
      <w:r>
        <w:rPr>
          <w:rFonts w:ascii="宋体" w:hAnsi="宋体" w:eastAsia="宋体" w:cs="宋体"/>
          <w:color w:val="auto"/>
          <w:spacing w:val="8"/>
          <w:sz w:val="24"/>
          <w:szCs w:val="24"/>
          <w:highlight w:val="none"/>
        </w:rPr>
        <w:t xml:space="preserve"> </w:t>
      </w:r>
      <w:r>
        <w:rPr>
          <w:rFonts w:ascii="宋体" w:hAnsi="宋体" w:eastAsia="宋体" w:cs="宋体"/>
          <w:color w:val="auto"/>
          <w:spacing w:val="-1"/>
          <w:sz w:val="24"/>
          <w:szCs w:val="24"/>
          <w:highlight w:val="none"/>
        </w:rPr>
        <w:t>中小企业）的具体情况如下：</w:t>
      </w:r>
    </w:p>
    <w:p w14:paraId="5D261F21">
      <w:pPr>
        <w:spacing w:before="35" w:line="329" w:lineRule="auto"/>
        <w:ind w:left="1" w:firstLine="491"/>
        <w:jc w:val="both"/>
        <w:rPr>
          <w:rFonts w:ascii="宋体" w:hAnsi="宋体" w:eastAsia="宋体" w:cs="宋体"/>
          <w:color w:val="auto"/>
          <w:sz w:val="24"/>
          <w:szCs w:val="24"/>
          <w:highlight w:val="none"/>
        </w:rPr>
      </w:pPr>
      <w:r>
        <w:rPr>
          <w:rFonts w:ascii="Calibri" w:hAnsi="Calibri" w:eastAsia="Calibri" w:cs="Calibri"/>
          <w:color w:val="auto"/>
          <w:spacing w:val="-6"/>
          <w:sz w:val="24"/>
          <w:szCs w:val="24"/>
          <w:highlight w:val="none"/>
        </w:rPr>
        <w:t>1.</w:t>
      </w:r>
      <w:r>
        <w:rPr>
          <w:rFonts w:ascii="宋体" w:hAnsi="宋体" w:eastAsia="宋体" w:cs="宋体"/>
          <w:color w:val="auto"/>
          <w:spacing w:val="-6"/>
          <w:sz w:val="24"/>
          <w:szCs w:val="24"/>
          <w:highlight w:val="none"/>
        </w:rPr>
        <w:t>（标的名称</w:t>
      </w:r>
      <w:r>
        <w:rPr>
          <w:rFonts w:ascii="宋体" w:hAnsi="宋体" w:eastAsia="宋体" w:cs="宋体"/>
          <w:color w:val="auto"/>
          <w:spacing w:val="-25"/>
          <w:sz w:val="24"/>
          <w:szCs w:val="24"/>
          <w:highlight w:val="none"/>
        </w:rPr>
        <w:t>），</w:t>
      </w:r>
      <w:r>
        <w:rPr>
          <w:rFonts w:ascii="宋体" w:hAnsi="宋体" w:eastAsia="宋体" w:cs="宋体"/>
          <w:color w:val="auto"/>
          <w:spacing w:val="-6"/>
          <w:sz w:val="24"/>
          <w:szCs w:val="24"/>
          <w:highlight w:val="none"/>
        </w:rPr>
        <w:t>属于（采购文件中明确的所属行业</w:t>
      </w:r>
      <w:r>
        <w:rPr>
          <w:rFonts w:ascii="宋体" w:hAnsi="宋体" w:eastAsia="宋体" w:cs="宋体"/>
          <w:color w:val="auto"/>
          <w:spacing w:val="-25"/>
          <w:sz w:val="24"/>
          <w:szCs w:val="24"/>
          <w:highlight w:val="none"/>
        </w:rPr>
        <w:t>）；</w:t>
      </w:r>
      <w:r>
        <w:rPr>
          <w:rFonts w:ascii="宋体" w:hAnsi="宋体" w:eastAsia="宋体" w:cs="宋体"/>
          <w:color w:val="auto"/>
          <w:spacing w:val="-6"/>
          <w:sz w:val="24"/>
          <w:szCs w:val="24"/>
          <w:highlight w:val="none"/>
        </w:rPr>
        <w:t>承建（承接）企业为</w:t>
      </w:r>
      <w:r>
        <w:rPr>
          <w:rFonts w:ascii="宋体" w:hAnsi="宋体" w:eastAsia="宋体" w:cs="宋体"/>
          <w:color w:val="auto"/>
          <w:spacing w:val="-6"/>
          <w:sz w:val="24"/>
          <w:szCs w:val="24"/>
          <w:highlight w:val="none"/>
          <w:u w:val="single" w:color="auto"/>
        </w:rPr>
        <w:t>（企</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u w:val="single" w:color="auto"/>
        </w:rPr>
        <w:t>业名称</w:t>
      </w:r>
      <w:r>
        <w:rPr>
          <w:rFonts w:ascii="宋体" w:hAnsi="宋体" w:eastAsia="宋体" w:cs="宋体"/>
          <w:color w:val="auto"/>
          <w:spacing w:val="12"/>
          <w:sz w:val="24"/>
          <w:szCs w:val="24"/>
          <w:highlight w:val="none"/>
          <w:u w:val="single" w:color="auto"/>
        </w:rPr>
        <w:t>）</w:t>
      </w:r>
      <w:r>
        <w:rPr>
          <w:rFonts w:ascii="宋体" w:hAnsi="宋体" w:eastAsia="宋体" w:cs="宋体"/>
          <w:color w:val="auto"/>
          <w:spacing w:val="12"/>
          <w:sz w:val="24"/>
          <w:szCs w:val="24"/>
          <w:highlight w:val="none"/>
        </w:rPr>
        <w:t>，</w:t>
      </w:r>
      <w:r>
        <w:rPr>
          <w:rFonts w:ascii="宋体" w:hAnsi="宋体" w:eastAsia="宋体" w:cs="宋体"/>
          <w:color w:val="auto"/>
          <w:spacing w:val="-5"/>
          <w:sz w:val="24"/>
          <w:szCs w:val="24"/>
          <w:highlight w:val="none"/>
        </w:rPr>
        <w:t>从业人员</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5"/>
          <w:sz w:val="24"/>
          <w:szCs w:val="24"/>
          <w:highlight w:val="none"/>
        </w:rPr>
        <w:t>人，营业收入为</w:t>
      </w:r>
      <w:r>
        <w:rPr>
          <w:rFonts w:ascii="宋体" w:hAnsi="宋体" w:eastAsia="宋体" w:cs="宋体"/>
          <w:color w:val="auto"/>
          <w:spacing w:val="30"/>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5"/>
          <w:sz w:val="24"/>
          <w:szCs w:val="24"/>
          <w:highlight w:val="none"/>
        </w:rPr>
        <w:t>万元，资产总额为</w:t>
      </w:r>
      <w:r>
        <w:rPr>
          <w:rFonts w:ascii="宋体" w:hAnsi="宋体" w:eastAsia="宋体" w:cs="宋体"/>
          <w:color w:val="auto"/>
          <w:spacing w:val="20"/>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5"/>
          <w:sz w:val="24"/>
          <w:szCs w:val="24"/>
          <w:highlight w:val="none"/>
        </w:rPr>
        <w:t>万元，属于</w:t>
      </w:r>
      <w:r>
        <w:rPr>
          <w:rFonts w:ascii="宋体" w:hAnsi="宋体" w:eastAsia="宋体" w:cs="宋体"/>
          <w:color w:val="auto"/>
          <w:spacing w:val="-5"/>
          <w:sz w:val="24"/>
          <w:szCs w:val="24"/>
          <w:highlight w:val="none"/>
          <w:u w:val="single" w:color="auto"/>
        </w:rPr>
        <w:t>（中型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企业、小型企业、微型企业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784F749C">
      <w:pPr>
        <w:spacing w:before="37" w:line="329" w:lineRule="auto"/>
        <w:ind w:left="1" w:firstLine="485"/>
        <w:rPr>
          <w:rFonts w:ascii="宋体" w:hAnsi="宋体" w:eastAsia="宋体" w:cs="宋体"/>
          <w:color w:val="auto"/>
          <w:sz w:val="24"/>
          <w:szCs w:val="24"/>
          <w:highlight w:val="none"/>
        </w:rPr>
      </w:pPr>
      <w:r>
        <w:rPr>
          <w:rFonts w:ascii="Calibri" w:hAnsi="Calibri" w:eastAsia="Calibri" w:cs="Calibri"/>
          <w:color w:val="auto"/>
          <w:spacing w:val="-5"/>
          <w:sz w:val="24"/>
          <w:szCs w:val="24"/>
          <w:highlight w:val="none"/>
        </w:rPr>
        <w:t>2</w:t>
      </w:r>
      <w:r>
        <w:rPr>
          <w:rFonts w:ascii="宋体" w:hAnsi="宋体" w:eastAsia="宋体" w:cs="宋体"/>
          <w:color w:val="auto"/>
          <w:spacing w:val="-5"/>
          <w:sz w:val="24"/>
          <w:szCs w:val="24"/>
          <w:highlight w:val="none"/>
        </w:rPr>
        <w:t>（标的名称</w:t>
      </w:r>
      <w:r>
        <w:rPr>
          <w:rFonts w:ascii="宋体" w:hAnsi="宋体" w:eastAsia="宋体" w:cs="宋体"/>
          <w:color w:val="auto"/>
          <w:spacing w:val="-18"/>
          <w:sz w:val="24"/>
          <w:szCs w:val="24"/>
          <w:highlight w:val="none"/>
        </w:rPr>
        <w:t>），</w:t>
      </w:r>
      <w:r>
        <w:rPr>
          <w:rFonts w:ascii="宋体" w:hAnsi="宋体" w:eastAsia="宋体" w:cs="宋体"/>
          <w:color w:val="auto"/>
          <w:spacing w:val="-5"/>
          <w:sz w:val="24"/>
          <w:szCs w:val="24"/>
          <w:highlight w:val="none"/>
        </w:rPr>
        <w:t>属于（采购文件中明确的所属行业</w:t>
      </w:r>
      <w:r>
        <w:rPr>
          <w:rFonts w:ascii="宋体" w:hAnsi="宋体" w:eastAsia="宋体" w:cs="宋体"/>
          <w:color w:val="auto"/>
          <w:spacing w:val="-18"/>
          <w:sz w:val="24"/>
          <w:szCs w:val="24"/>
          <w:highlight w:val="none"/>
        </w:rPr>
        <w:t>）；</w:t>
      </w:r>
      <w:r>
        <w:rPr>
          <w:rFonts w:ascii="宋体" w:hAnsi="宋体" w:eastAsia="宋体" w:cs="宋体"/>
          <w:color w:val="auto"/>
          <w:spacing w:val="-5"/>
          <w:sz w:val="24"/>
          <w:szCs w:val="24"/>
          <w:highlight w:val="none"/>
        </w:rPr>
        <w:t>承建（承接）企业为</w:t>
      </w:r>
      <w:r>
        <w:rPr>
          <w:rFonts w:ascii="宋体" w:hAnsi="宋体" w:eastAsia="宋体" w:cs="宋体"/>
          <w:color w:val="auto"/>
          <w:spacing w:val="-5"/>
          <w:sz w:val="24"/>
          <w:szCs w:val="24"/>
          <w:highlight w:val="none"/>
          <w:u w:val="single" w:color="auto"/>
        </w:rPr>
        <w:t>（企</w:t>
      </w:r>
      <w:r>
        <w:rPr>
          <w:rFonts w:ascii="宋体" w:hAnsi="宋体" w:eastAsia="宋体" w:cs="宋体"/>
          <w:color w:val="auto"/>
          <w:spacing w:val="2"/>
          <w:sz w:val="24"/>
          <w:szCs w:val="24"/>
          <w:highlight w:val="none"/>
        </w:rPr>
        <w:t xml:space="preserve"> </w:t>
      </w:r>
      <w:r>
        <w:rPr>
          <w:rFonts w:ascii="宋体" w:hAnsi="宋体" w:eastAsia="宋体" w:cs="宋体"/>
          <w:color w:val="auto"/>
          <w:spacing w:val="-3"/>
          <w:sz w:val="24"/>
          <w:szCs w:val="24"/>
          <w:highlight w:val="none"/>
          <w:u w:val="single" w:color="auto"/>
        </w:rPr>
        <w:t>业名称</w:t>
      </w:r>
      <w:r>
        <w:rPr>
          <w:rFonts w:ascii="宋体" w:hAnsi="宋体" w:eastAsia="宋体" w:cs="宋体"/>
          <w:color w:val="auto"/>
          <w:spacing w:val="11"/>
          <w:sz w:val="24"/>
          <w:szCs w:val="24"/>
          <w:highlight w:val="none"/>
          <w:u w:val="single" w:color="auto"/>
        </w:rPr>
        <w:t>）</w:t>
      </w:r>
      <w:r>
        <w:rPr>
          <w:rFonts w:ascii="宋体" w:hAnsi="宋体" w:eastAsia="宋体" w:cs="宋体"/>
          <w:color w:val="auto"/>
          <w:spacing w:val="11"/>
          <w:sz w:val="24"/>
          <w:szCs w:val="24"/>
          <w:highlight w:val="none"/>
        </w:rPr>
        <w:t>，</w:t>
      </w:r>
      <w:r>
        <w:rPr>
          <w:rFonts w:ascii="宋体" w:hAnsi="宋体" w:eastAsia="宋体" w:cs="宋体"/>
          <w:color w:val="auto"/>
          <w:spacing w:val="-3"/>
          <w:sz w:val="24"/>
          <w:szCs w:val="24"/>
          <w:highlight w:val="none"/>
        </w:rPr>
        <w:t>从业人员</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3"/>
          <w:sz w:val="24"/>
          <w:szCs w:val="24"/>
          <w:highlight w:val="none"/>
        </w:rPr>
        <w:t>人，营业收入为</w:t>
      </w:r>
      <w:r>
        <w:rPr>
          <w:rFonts w:ascii="宋体" w:hAnsi="宋体" w:eastAsia="宋体" w:cs="宋体"/>
          <w:color w:val="auto"/>
          <w:spacing w:val="14"/>
          <w:sz w:val="24"/>
          <w:szCs w:val="24"/>
          <w:highlight w:val="none"/>
          <w:u w:val="single" w:color="auto"/>
        </w:rPr>
        <w:t xml:space="preserve">    </w:t>
      </w:r>
      <w:r>
        <w:rPr>
          <w:rFonts w:ascii="宋体" w:hAnsi="宋体" w:eastAsia="宋体" w:cs="宋体"/>
          <w:color w:val="auto"/>
          <w:spacing w:val="-101"/>
          <w:sz w:val="24"/>
          <w:szCs w:val="24"/>
          <w:highlight w:val="none"/>
        </w:rPr>
        <w:t xml:space="preserve"> </w:t>
      </w:r>
      <w:r>
        <w:rPr>
          <w:rFonts w:ascii="宋体" w:hAnsi="宋体" w:eastAsia="宋体" w:cs="宋体"/>
          <w:color w:val="auto"/>
          <w:spacing w:val="-3"/>
          <w:sz w:val="24"/>
          <w:szCs w:val="24"/>
          <w:highlight w:val="none"/>
        </w:rPr>
        <w:t>万元，资产总额为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万元，属于</w:t>
      </w:r>
      <w:r>
        <w:rPr>
          <w:rFonts w:ascii="宋体" w:hAnsi="宋体" w:eastAsia="宋体" w:cs="宋体"/>
          <w:color w:val="auto"/>
          <w:spacing w:val="-3"/>
          <w:sz w:val="24"/>
          <w:szCs w:val="24"/>
          <w:highlight w:val="none"/>
          <w:u w:val="single" w:color="auto"/>
        </w:rPr>
        <w:t>（中</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型企业、小型企业、微型企业</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p>
    <w:p w14:paraId="598A1F7B">
      <w:pPr>
        <w:spacing w:before="37" w:line="378" w:lineRule="exact"/>
        <w:ind w:left="497"/>
        <w:rPr>
          <w:rFonts w:ascii="宋体" w:hAnsi="宋体" w:eastAsia="宋体" w:cs="宋体"/>
          <w:color w:val="auto"/>
          <w:sz w:val="24"/>
          <w:szCs w:val="24"/>
          <w:highlight w:val="none"/>
        </w:rPr>
      </w:pPr>
      <w:r>
        <w:rPr>
          <w:rFonts w:ascii="宋体" w:hAnsi="宋体" w:eastAsia="宋体" w:cs="宋体"/>
          <w:color w:val="auto"/>
          <w:spacing w:val="-13"/>
          <w:position w:val="3"/>
          <w:sz w:val="24"/>
          <w:szCs w:val="24"/>
          <w:highlight w:val="none"/>
        </w:rPr>
        <w:t>……</w:t>
      </w:r>
    </w:p>
    <w:p w14:paraId="066C6F66">
      <w:pPr>
        <w:spacing w:before="60" w:line="325" w:lineRule="auto"/>
        <w:ind w:left="1" w:firstLine="50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以上企业，不属于大企业的分支机构，不存在控股股东为大企业的情形，也不存</w:t>
      </w:r>
      <w:r>
        <w:rPr>
          <w:rFonts w:ascii="宋体" w:hAnsi="宋体" w:eastAsia="宋体" w:cs="宋体"/>
          <w:color w:val="auto"/>
          <w:spacing w:val="8"/>
          <w:sz w:val="24"/>
          <w:szCs w:val="24"/>
          <w:highlight w:val="none"/>
        </w:rPr>
        <w:t xml:space="preserve"> </w:t>
      </w:r>
      <w:r>
        <w:rPr>
          <w:rFonts w:ascii="宋体" w:hAnsi="宋体" w:eastAsia="宋体" w:cs="宋体"/>
          <w:color w:val="auto"/>
          <w:spacing w:val="-1"/>
          <w:sz w:val="24"/>
          <w:szCs w:val="24"/>
          <w:highlight w:val="none"/>
        </w:rPr>
        <w:t>在与大企业的负责人为同一人的情形。</w:t>
      </w:r>
    </w:p>
    <w:p w14:paraId="024B3A2B">
      <w:pPr>
        <w:spacing w:before="36" w:line="219" w:lineRule="auto"/>
        <w:ind w:left="483"/>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本企业对上述声明内容的真实性负责。如有虚假，将依法承担相应责任。</w:t>
      </w:r>
    </w:p>
    <w:p w14:paraId="77A253B0">
      <w:pPr>
        <w:pStyle w:val="2"/>
        <w:spacing w:line="260" w:lineRule="auto"/>
        <w:rPr>
          <w:color w:val="auto"/>
          <w:highlight w:val="none"/>
        </w:rPr>
      </w:pPr>
    </w:p>
    <w:p w14:paraId="3CA6C0BD">
      <w:pPr>
        <w:pStyle w:val="2"/>
        <w:spacing w:line="260" w:lineRule="auto"/>
        <w:rPr>
          <w:color w:val="auto"/>
          <w:highlight w:val="none"/>
        </w:rPr>
      </w:pPr>
    </w:p>
    <w:p w14:paraId="79302C34">
      <w:pPr>
        <w:pStyle w:val="2"/>
        <w:spacing w:line="260" w:lineRule="auto"/>
        <w:rPr>
          <w:color w:val="auto"/>
          <w:highlight w:val="none"/>
        </w:rPr>
      </w:pPr>
    </w:p>
    <w:p w14:paraId="6481C979">
      <w:pPr>
        <w:pStyle w:val="2"/>
        <w:spacing w:line="261" w:lineRule="auto"/>
        <w:rPr>
          <w:color w:val="auto"/>
          <w:highlight w:val="none"/>
        </w:rPr>
      </w:pPr>
    </w:p>
    <w:p w14:paraId="18EF31B6">
      <w:pPr>
        <w:pStyle w:val="2"/>
        <w:spacing w:line="261" w:lineRule="auto"/>
        <w:rPr>
          <w:color w:val="auto"/>
          <w:highlight w:val="none"/>
        </w:rPr>
      </w:pPr>
    </w:p>
    <w:p w14:paraId="7346C289">
      <w:pPr>
        <w:pStyle w:val="2"/>
        <w:spacing w:line="261" w:lineRule="auto"/>
        <w:rPr>
          <w:color w:val="auto"/>
          <w:highlight w:val="none"/>
        </w:rPr>
      </w:pPr>
    </w:p>
    <w:p w14:paraId="479EBA49">
      <w:pPr>
        <w:pStyle w:val="2"/>
        <w:spacing w:line="261" w:lineRule="auto"/>
        <w:rPr>
          <w:color w:val="auto"/>
          <w:highlight w:val="none"/>
        </w:rPr>
      </w:pPr>
    </w:p>
    <w:p w14:paraId="5D9BD84F">
      <w:pPr>
        <w:spacing w:line="240" w:lineRule="auto"/>
        <w:ind w:left="0" w:right="0" w:firstLine="0"/>
        <w:jc w:val="right"/>
        <w:rPr>
          <w:rFonts w:ascii="宋体" w:hAnsi="宋体" w:eastAsia="宋体" w:cs="宋体"/>
          <w:color w:val="auto"/>
          <w:spacing w:val="1"/>
          <w:sz w:val="24"/>
          <w:szCs w:val="24"/>
          <w:highlight w:val="none"/>
        </w:rPr>
      </w:pPr>
      <w:r>
        <w:rPr>
          <w:rFonts w:ascii="宋体" w:hAnsi="宋体" w:eastAsia="宋体" w:cs="宋体"/>
          <w:color w:val="auto"/>
          <w:spacing w:val="-2"/>
          <w:sz w:val="24"/>
          <w:szCs w:val="24"/>
          <w:highlight w:val="none"/>
        </w:rPr>
        <w:t>企业名称（盖章</w:t>
      </w:r>
      <w:r>
        <w:rPr>
          <w:rFonts w:ascii="宋体" w:hAnsi="宋体" w:eastAsia="宋体" w:cs="宋体"/>
          <w:color w:val="auto"/>
          <w:spacing w:val="-31"/>
          <w:sz w:val="24"/>
          <w:szCs w:val="24"/>
          <w:highlight w:val="none"/>
        </w:rPr>
        <w:t>）：</w:t>
      </w:r>
      <w:r>
        <w:rPr>
          <w:rFonts w:ascii="宋体" w:hAnsi="宋体" w:eastAsia="宋体" w:cs="宋体"/>
          <w:color w:val="auto"/>
          <w:spacing w:val="1"/>
          <w:sz w:val="24"/>
          <w:szCs w:val="24"/>
          <w:highlight w:val="none"/>
        </w:rPr>
        <w:t xml:space="preserve"> </w:t>
      </w:r>
    </w:p>
    <w:p w14:paraId="08A29DA4">
      <w:pPr>
        <w:spacing w:line="240" w:lineRule="auto"/>
        <w:ind w:left="0" w:right="0" w:firstLine="0"/>
        <w:jc w:val="right"/>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日期：</w:t>
      </w:r>
      <w:r>
        <w:rPr>
          <w:rFonts w:ascii="宋体" w:hAnsi="宋体" w:eastAsia="宋体" w:cs="宋体"/>
          <w:color w:val="auto"/>
          <w:sz w:val="24"/>
          <w:szCs w:val="24"/>
          <w:highlight w:val="none"/>
          <w:u w:val="single" w:color="auto"/>
        </w:rPr>
        <w:t xml:space="preserve">           </w:t>
      </w:r>
    </w:p>
    <w:p w14:paraId="6FB0FA65">
      <w:pPr>
        <w:pStyle w:val="2"/>
        <w:spacing w:line="429" w:lineRule="auto"/>
        <w:rPr>
          <w:color w:val="auto"/>
          <w:highlight w:val="none"/>
        </w:rPr>
      </w:pPr>
    </w:p>
    <w:p w14:paraId="37EC4034">
      <w:pPr>
        <w:pStyle w:val="2"/>
        <w:spacing w:line="429" w:lineRule="auto"/>
        <w:rPr>
          <w:color w:val="auto"/>
          <w:highlight w:val="none"/>
        </w:rPr>
      </w:pPr>
    </w:p>
    <w:p w14:paraId="49B05113">
      <w:pPr>
        <w:spacing w:before="60" w:line="219" w:lineRule="auto"/>
        <w:ind w:left="2"/>
        <w:rPr>
          <w:rFonts w:ascii="宋体" w:hAnsi="宋体" w:eastAsia="宋体" w:cs="宋体"/>
          <w:color w:val="auto"/>
          <w:sz w:val="18"/>
          <w:szCs w:val="18"/>
          <w:highlight w:val="none"/>
        </w:rPr>
      </w:pPr>
      <w:r>
        <w:rPr>
          <w:rFonts w:ascii="宋体" w:hAnsi="宋体" w:eastAsia="宋体" w:cs="宋体"/>
          <w:b/>
          <w:bCs/>
          <w:color w:val="auto"/>
          <w:spacing w:val="-2"/>
          <w:sz w:val="18"/>
          <w:szCs w:val="18"/>
          <w:highlight w:val="none"/>
        </w:rPr>
        <w:t>备注：</w:t>
      </w:r>
      <w:r>
        <w:rPr>
          <w:rFonts w:ascii="Calibri" w:hAnsi="Calibri" w:eastAsia="Calibri" w:cs="Calibri"/>
          <w:b/>
          <w:bCs/>
          <w:color w:val="auto"/>
          <w:spacing w:val="-2"/>
          <w:sz w:val="18"/>
          <w:szCs w:val="18"/>
          <w:highlight w:val="none"/>
        </w:rPr>
        <w:t>1</w:t>
      </w:r>
      <w:r>
        <w:rPr>
          <w:rFonts w:ascii="Calibri" w:hAnsi="Calibri" w:eastAsia="Calibri" w:cs="Calibri"/>
          <w:b/>
          <w:bCs/>
          <w:color w:val="auto"/>
          <w:spacing w:val="-16"/>
          <w:sz w:val="18"/>
          <w:szCs w:val="18"/>
          <w:highlight w:val="none"/>
        </w:rPr>
        <w:t xml:space="preserve"> </w:t>
      </w:r>
      <w:r>
        <w:rPr>
          <w:rFonts w:ascii="宋体" w:hAnsi="宋体" w:eastAsia="宋体" w:cs="宋体"/>
          <w:b/>
          <w:bCs/>
          <w:color w:val="auto"/>
          <w:spacing w:val="-2"/>
          <w:sz w:val="18"/>
          <w:szCs w:val="18"/>
          <w:highlight w:val="none"/>
        </w:rPr>
        <w:t>、从业人员、营业收入、资产总额填报上一年度数据，无上一年度数据的新成立企业可不填报。</w:t>
      </w:r>
    </w:p>
    <w:p w14:paraId="4655E639">
      <w:pPr>
        <w:spacing w:before="165" w:line="466" w:lineRule="auto"/>
        <w:ind w:right="2" w:firstLine="2"/>
        <w:rPr>
          <w:rFonts w:ascii="宋体" w:hAnsi="宋体" w:eastAsia="宋体" w:cs="宋体"/>
          <w:color w:val="auto"/>
          <w:sz w:val="18"/>
          <w:szCs w:val="18"/>
          <w:highlight w:val="none"/>
        </w:rPr>
      </w:pPr>
      <w:r>
        <w:rPr>
          <w:rFonts w:ascii="宋体" w:hAnsi="宋体" w:eastAsia="宋体" w:cs="宋体"/>
          <w:b/>
          <w:bCs/>
          <w:color w:val="auto"/>
          <w:spacing w:val="-3"/>
          <w:sz w:val="18"/>
          <w:szCs w:val="18"/>
          <w:highlight w:val="none"/>
        </w:rPr>
        <w:t>投标人为中小企业时需提供本声明函，并完整填写从业人员、营业收入、资产总额等内容，否则评审时不能享受</w:t>
      </w:r>
      <w:r>
        <w:rPr>
          <w:rFonts w:ascii="宋体" w:hAnsi="宋体" w:eastAsia="宋体" w:cs="宋体"/>
          <w:color w:val="auto"/>
          <w:spacing w:val="4"/>
          <w:sz w:val="18"/>
          <w:szCs w:val="18"/>
          <w:highlight w:val="none"/>
        </w:rPr>
        <w:t xml:space="preserve">  </w:t>
      </w:r>
      <w:r>
        <w:rPr>
          <w:rFonts w:ascii="宋体" w:hAnsi="宋体" w:eastAsia="宋体" w:cs="宋体"/>
          <w:b/>
          <w:bCs/>
          <w:color w:val="auto"/>
          <w:spacing w:val="-3"/>
          <w:sz w:val="18"/>
          <w:szCs w:val="18"/>
          <w:highlight w:val="none"/>
        </w:rPr>
        <w:t>相应的价格扣除。</w:t>
      </w:r>
    </w:p>
    <w:p w14:paraId="6E0B84EE">
      <w:pPr>
        <w:spacing w:line="466" w:lineRule="auto"/>
        <w:rPr>
          <w:rFonts w:ascii="宋体" w:hAnsi="宋体" w:eastAsia="宋体" w:cs="宋体"/>
          <w:color w:val="auto"/>
          <w:sz w:val="18"/>
          <w:szCs w:val="18"/>
          <w:highlight w:val="none"/>
        </w:rPr>
        <w:sectPr>
          <w:footerReference r:id="rId41" w:type="default"/>
          <w:pgSz w:w="11906" w:h="16839"/>
          <w:pgMar w:top="1440" w:right="1800" w:bottom="1440" w:left="1800" w:header="0" w:footer="973" w:gutter="0"/>
          <w:pgNumType w:fmt="decimal"/>
          <w:cols w:space="720" w:num="1"/>
        </w:sectPr>
      </w:pPr>
    </w:p>
    <w:p w14:paraId="71889354">
      <w:pPr>
        <w:pStyle w:val="2"/>
        <w:spacing w:line="260" w:lineRule="auto"/>
        <w:rPr>
          <w:color w:val="auto"/>
          <w:highlight w:val="none"/>
        </w:rPr>
      </w:pPr>
    </w:p>
    <w:p w14:paraId="25FF903F">
      <w:pPr>
        <w:pStyle w:val="2"/>
        <w:spacing w:line="261" w:lineRule="auto"/>
        <w:rPr>
          <w:color w:val="auto"/>
          <w:highlight w:val="none"/>
        </w:rPr>
      </w:pPr>
    </w:p>
    <w:p w14:paraId="7616AE9D">
      <w:pPr>
        <w:pStyle w:val="2"/>
        <w:spacing w:line="261" w:lineRule="auto"/>
        <w:rPr>
          <w:color w:val="auto"/>
          <w:highlight w:val="none"/>
        </w:rPr>
      </w:pPr>
    </w:p>
    <w:p w14:paraId="6E8BCF66">
      <w:pPr>
        <w:spacing w:before="78" w:line="219" w:lineRule="auto"/>
        <w:ind w:left="187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（二）投标人监狱企业声明函（如不是可不填）</w:t>
      </w:r>
    </w:p>
    <w:p w14:paraId="4B1D00F2">
      <w:pPr>
        <w:pStyle w:val="2"/>
        <w:spacing w:line="336" w:lineRule="auto"/>
        <w:rPr>
          <w:color w:val="auto"/>
          <w:highlight w:val="none"/>
        </w:rPr>
      </w:pPr>
    </w:p>
    <w:p w14:paraId="56CFE409">
      <w:pPr>
        <w:spacing w:line="240" w:lineRule="auto"/>
        <w:ind w:left="0" w:right="0"/>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本企业（单位）郑重声明下列事项（按照实际情况勾选或填空</w:t>
      </w:r>
      <w:r>
        <w:rPr>
          <w:rFonts w:ascii="宋体" w:hAnsi="宋体" w:eastAsia="宋体" w:cs="宋体"/>
          <w:color w:val="auto"/>
          <w:spacing w:val="-23"/>
          <w:sz w:val="24"/>
          <w:szCs w:val="24"/>
          <w:highlight w:val="none"/>
        </w:rPr>
        <w:t>）：</w:t>
      </w:r>
      <w:r>
        <w:rPr>
          <w:rFonts w:ascii="宋体" w:hAnsi="宋体" w:eastAsia="宋体" w:cs="宋体"/>
          <w:color w:val="auto"/>
          <w:spacing w:val="1"/>
          <w:sz w:val="24"/>
          <w:szCs w:val="24"/>
          <w:highlight w:val="none"/>
        </w:rPr>
        <w:t xml:space="preserve"> </w:t>
      </w:r>
    </w:p>
    <w:p w14:paraId="3C8E314A">
      <w:pPr>
        <w:spacing w:line="240" w:lineRule="auto"/>
        <w:ind w:left="0" w:right="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本企业（单位）为直接投标人，提供本企业（单位）服务。</w:t>
      </w:r>
    </w:p>
    <w:p w14:paraId="25858D3F">
      <w:pPr>
        <w:spacing w:before="34" w:line="219" w:lineRule="auto"/>
        <w:ind w:left="491"/>
        <w:rPr>
          <w:rFonts w:ascii="宋体" w:hAnsi="宋体" w:eastAsia="宋体" w:cs="宋体"/>
          <w:color w:val="auto"/>
          <w:sz w:val="24"/>
          <w:szCs w:val="24"/>
          <w:highlight w:val="none"/>
        </w:rPr>
      </w:pPr>
      <w:r>
        <w:rPr>
          <w:rFonts w:ascii="宋体" w:hAnsi="宋体" w:eastAsia="宋体" w:cs="宋体"/>
          <w:color w:val="auto"/>
          <w:sz w:val="24"/>
          <w:szCs w:val="24"/>
          <w:highlight w:val="none"/>
        </w:rPr>
        <w:t>（1）本企业（单位</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请填写：是、不是）监狱企业。</w:t>
      </w:r>
    </w:p>
    <w:p w14:paraId="15CA176E">
      <w:pPr>
        <w:spacing w:before="183" w:line="351" w:lineRule="auto"/>
        <w:ind w:firstLine="490"/>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（2）本企业（单位</w:t>
      </w:r>
      <w:r>
        <w:rPr>
          <w:rFonts w:ascii="宋体" w:hAnsi="宋体" w:eastAsia="宋体" w:cs="宋体"/>
          <w:color w:val="auto"/>
          <w:spacing w:val="-27"/>
          <w:sz w:val="24"/>
          <w:szCs w:val="24"/>
          <w:highlight w:val="none"/>
        </w:rPr>
        <w:t>）（</w:t>
      </w:r>
      <w:r>
        <w:rPr>
          <w:rFonts w:ascii="宋体" w:hAnsi="宋体" w:eastAsia="宋体" w:cs="宋体"/>
          <w:color w:val="auto"/>
          <w:spacing w:val="-2"/>
          <w:sz w:val="24"/>
          <w:szCs w:val="24"/>
          <w:highlight w:val="none"/>
        </w:rPr>
        <w:t>请填写：是、不是）为</w:t>
      </w:r>
      <w:r>
        <w:rPr>
          <w:rFonts w:ascii="宋体" w:hAnsi="宋体" w:eastAsia="宋体" w:cs="宋体"/>
          <w:color w:val="auto"/>
          <w:spacing w:val="-3"/>
          <w:sz w:val="24"/>
          <w:szCs w:val="24"/>
          <w:highlight w:val="none"/>
        </w:rPr>
        <w:t>联合体一方，提供本企业（单位）</w:t>
      </w:r>
      <w:r>
        <w:rPr>
          <w:rFonts w:ascii="宋体" w:hAnsi="宋体" w:eastAsia="宋体" w:cs="宋体"/>
          <w:color w:val="auto"/>
          <w:sz w:val="24"/>
          <w:szCs w:val="24"/>
          <w:highlight w:val="none"/>
        </w:rPr>
        <w:t xml:space="preserve"> 的服务。本企业（单位）提供协议合同金额占到共同投标协议合同总金</w:t>
      </w:r>
      <w:r>
        <w:rPr>
          <w:rFonts w:ascii="宋体" w:hAnsi="宋体" w:eastAsia="宋体" w:cs="宋体"/>
          <w:color w:val="auto"/>
          <w:spacing w:val="-1"/>
          <w:sz w:val="24"/>
          <w:szCs w:val="24"/>
          <w:highlight w:val="none"/>
        </w:rPr>
        <w:t>额的比例为。</w:t>
      </w:r>
      <w:r>
        <w:rPr>
          <w:rFonts w:ascii="宋体" w:hAnsi="宋体" w:eastAsia="宋体" w:cs="宋体"/>
          <w:color w:val="auto"/>
          <w:sz w:val="24"/>
          <w:szCs w:val="24"/>
          <w:highlight w:val="none"/>
        </w:rPr>
        <w:t xml:space="preserve"> 本企业（单位）对上述声明的真实性负责。如有虚</w:t>
      </w:r>
      <w:r>
        <w:rPr>
          <w:rFonts w:ascii="宋体" w:hAnsi="宋体" w:eastAsia="宋体" w:cs="宋体"/>
          <w:color w:val="auto"/>
          <w:spacing w:val="-1"/>
          <w:sz w:val="24"/>
          <w:szCs w:val="24"/>
          <w:highlight w:val="none"/>
        </w:rPr>
        <w:t>假，将依法承担相应责任。</w:t>
      </w:r>
    </w:p>
    <w:p w14:paraId="3289FE0F">
      <w:pPr>
        <w:pStyle w:val="2"/>
        <w:spacing w:line="250" w:lineRule="auto"/>
        <w:rPr>
          <w:color w:val="auto"/>
          <w:highlight w:val="none"/>
        </w:rPr>
      </w:pPr>
    </w:p>
    <w:p w14:paraId="65B6AF06">
      <w:pPr>
        <w:pStyle w:val="2"/>
        <w:spacing w:line="251" w:lineRule="auto"/>
        <w:rPr>
          <w:color w:val="auto"/>
          <w:highlight w:val="none"/>
        </w:rPr>
      </w:pPr>
    </w:p>
    <w:p w14:paraId="1167E305">
      <w:pPr>
        <w:spacing w:before="78" w:line="219" w:lineRule="auto"/>
        <w:ind w:left="48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投标人（盖章</w:t>
      </w:r>
      <w:r>
        <w:rPr>
          <w:rFonts w:ascii="宋体" w:hAnsi="宋体" w:eastAsia="宋体" w:cs="宋体"/>
          <w:color w:val="auto"/>
          <w:spacing w:val="2"/>
          <w:sz w:val="24"/>
          <w:szCs w:val="24"/>
          <w:highlight w:val="none"/>
        </w:rPr>
        <w:t>）：</w:t>
      </w:r>
    </w:p>
    <w:p w14:paraId="1625B0A0">
      <w:pPr>
        <w:pStyle w:val="2"/>
        <w:spacing w:line="245" w:lineRule="auto"/>
        <w:rPr>
          <w:color w:val="auto"/>
          <w:highlight w:val="none"/>
        </w:rPr>
      </w:pPr>
    </w:p>
    <w:p w14:paraId="41E8E376">
      <w:pPr>
        <w:pStyle w:val="2"/>
        <w:spacing w:line="246" w:lineRule="auto"/>
        <w:rPr>
          <w:color w:val="auto"/>
          <w:highlight w:val="none"/>
        </w:rPr>
      </w:pPr>
    </w:p>
    <w:p w14:paraId="2902FB25">
      <w:pPr>
        <w:spacing w:before="78" w:line="219" w:lineRule="auto"/>
        <w:ind w:left="480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盖章）</w:t>
      </w:r>
    </w:p>
    <w:p w14:paraId="2E5B1164">
      <w:pPr>
        <w:pStyle w:val="2"/>
        <w:spacing w:line="258" w:lineRule="auto"/>
        <w:rPr>
          <w:color w:val="auto"/>
          <w:highlight w:val="none"/>
        </w:rPr>
      </w:pPr>
    </w:p>
    <w:p w14:paraId="21CF1341">
      <w:pPr>
        <w:pStyle w:val="2"/>
        <w:spacing w:line="259" w:lineRule="auto"/>
        <w:rPr>
          <w:color w:val="auto"/>
          <w:highlight w:val="none"/>
        </w:rPr>
      </w:pPr>
    </w:p>
    <w:p w14:paraId="50A79A52">
      <w:pPr>
        <w:pStyle w:val="2"/>
        <w:spacing w:line="259" w:lineRule="auto"/>
        <w:rPr>
          <w:color w:val="auto"/>
          <w:highlight w:val="none"/>
        </w:rPr>
      </w:pPr>
    </w:p>
    <w:p w14:paraId="50DAB8C9">
      <w:pPr>
        <w:pStyle w:val="2"/>
        <w:spacing w:line="259" w:lineRule="auto"/>
        <w:rPr>
          <w:color w:val="auto"/>
          <w:highlight w:val="none"/>
        </w:rPr>
      </w:pPr>
    </w:p>
    <w:p w14:paraId="196AE122">
      <w:pPr>
        <w:spacing w:before="79" w:line="219" w:lineRule="auto"/>
        <w:ind w:left="4841"/>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1A4FF25C">
      <w:pPr>
        <w:pStyle w:val="2"/>
        <w:spacing w:line="414" w:lineRule="auto"/>
        <w:rPr>
          <w:color w:val="auto"/>
          <w:highlight w:val="none"/>
        </w:rPr>
      </w:pPr>
    </w:p>
    <w:p w14:paraId="500EC1B7">
      <w:pPr>
        <w:spacing w:before="79" w:line="351" w:lineRule="auto"/>
        <w:ind w:left="3" w:right="99" w:hanging="3"/>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注：在政府采购活动中，监狱企业视同小型、微型企业。监狱企业参加政府采购活动</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时，应当提供由省级以上监狱管理局、戒毒管理局（含新疆生产建设兵团）出具的属</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于监狱企业的证明文件。</w:t>
      </w:r>
    </w:p>
    <w:p w14:paraId="2553CC27">
      <w:pPr>
        <w:spacing w:line="351" w:lineRule="auto"/>
        <w:rPr>
          <w:rFonts w:ascii="宋体" w:hAnsi="宋体" w:eastAsia="宋体" w:cs="宋体"/>
          <w:color w:val="auto"/>
          <w:sz w:val="24"/>
          <w:szCs w:val="24"/>
          <w:highlight w:val="none"/>
        </w:rPr>
        <w:sectPr>
          <w:footerReference r:id="rId42" w:type="default"/>
          <w:pgSz w:w="11906" w:h="16839"/>
          <w:pgMar w:top="1440" w:right="1800" w:bottom="1440" w:left="1800" w:header="0" w:footer="973" w:gutter="0"/>
          <w:pgNumType w:fmt="decimal"/>
          <w:cols w:space="720" w:num="1"/>
        </w:sectPr>
      </w:pPr>
    </w:p>
    <w:p w14:paraId="704B3821">
      <w:pPr>
        <w:pStyle w:val="2"/>
        <w:spacing w:line="260" w:lineRule="auto"/>
        <w:rPr>
          <w:color w:val="auto"/>
          <w:highlight w:val="none"/>
        </w:rPr>
      </w:pPr>
    </w:p>
    <w:p w14:paraId="346BEF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color w:val="auto"/>
          <w:highlight w:val="none"/>
        </w:rPr>
      </w:pPr>
    </w:p>
    <w:p w14:paraId="3B15CCC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（三）残疾人福利性单位声明函（如不是可不填）</w:t>
      </w:r>
    </w:p>
    <w:p w14:paraId="296CE50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8"/>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本单位郑重声明，根据《财政部</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民政部</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中国残疾人联合会关于促进残疾人就业政府采购政策的通知》（财库〔2017〕1</w:t>
      </w:r>
      <w:r>
        <w:rPr>
          <w:rFonts w:ascii="宋体" w:hAnsi="宋体" w:eastAsia="宋体" w:cs="宋体"/>
          <w:color w:val="auto"/>
          <w:spacing w:val="-2"/>
          <w:sz w:val="24"/>
          <w:szCs w:val="24"/>
          <w:highlight w:val="none"/>
        </w:rPr>
        <w:t>41</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号）的规定，本单位为符合条件的残疾</w:t>
      </w:r>
      <w:r>
        <w:rPr>
          <w:rFonts w:ascii="宋体" w:hAnsi="宋体" w:eastAsia="宋体" w:cs="宋体"/>
          <w:color w:val="auto"/>
          <w:spacing w:val="-3"/>
          <w:sz w:val="24"/>
          <w:szCs w:val="24"/>
          <w:highlight w:val="none"/>
        </w:rPr>
        <w:t>人福利性单位，且本单位参加</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3"/>
          <w:sz w:val="24"/>
          <w:szCs w:val="24"/>
          <w:highlight w:val="none"/>
        </w:rPr>
        <w:t>单位的</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3"/>
          <w:sz w:val="24"/>
          <w:szCs w:val="24"/>
          <w:highlight w:val="none"/>
        </w:rPr>
        <w:t>项目采购活动提供本单位制造的货</w:t>
      </w:r>
      <w:r>
        <w:rPr>
          <w:rFonts w:ascii="宋体" w:hAnsi="宋体" w:eastAsia="宋体" w:cs="宋体"/>
          <w:color w:val="auto"/>
          <w:spacing w:val="-4"/>
          <w:sz w:val="24"/>
          <w:szCs w:val="24"/>
          <w:highlight w:val="none"/>
        </w:rPr>
        <w:t>物（由本单位承担工程/提供服务</w:t>
      </w:r>
      <w:r>
        <w:rPr>
          <w:rFonts w:ascii="宋体" w:hAnsi="宋体" w:eastAsia="宋体" w:cs="宋体"/>
          <w:color w:val="auto"/>
          <w:spacing w:val="-40"/>
          <w:sz w:val="24"/>
          <w:szCs w:val="24"/>
          <w:highlight w:val="none"/>
        </w:rPr>
        <w:t>），</w:t>
      </w:r>
      <w:r>
        <w:rPr>
          <w:rFonts w:ascii="宋体" w:hAnsi="宋体" w:eastAsia="宋体" w:cs="宋体"/>
          <w:color w:val="auto"/>
          <w:spacing w:val="-4"/>
          <w:sz w:val="24"/>
          <w:szCs w:val="24"/>
          <w:highlight w:val="none"/>
        </w:rPr>
        <w:t>或者提供其他残疾人福利性单位制造的货物（不</w:t>
      </w:r>
      <w:r>
        <w:rPr>
          <w:rFonts w:ascii="宋体" w:hAnsi="宋体" w:eastAsia="宋体" w:cs="宋体"/>
          <w:color w:val="auto"/>
          <w:spacing w:val="-1"/>
          <w:sz w:val="24"/>
          <w:szCs w:val="24"/>
          <w:highlight w:val="none"/>
        </w:rPr>
        <w:t>包括使用非残疾人福利性单位注册商标的货物）。</w:t>
      </w:r>
    </w:p>
    <w:p w14:paraId="607BD6C3">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本单位对上述声明的真实性负责。如有虚假，将依法承担相应责任。</w:t>
      </w:r>
    </w:p>
    <w:p w14:paraId="486F17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残疾人福利性单位名称（盖公章</w:t>
      </w:r>
      <w:r>
        <w:rPr>
          <w:rFonts w:ascii="宋体" w:hAnsi="宋体" w:eastAsia="宋体" w:cs="宋体"/>
          <w:color w:val="auto"/>
          <w:spacing w:val="-29"/>
          <w:sz w:val="24"/>
          <w:szCs w:val="24"/>
          <w:highlight w:val="none"/>
        </w:rPr>
        <w:t>）：</w:t>
      </w:r>
      <w:r>
        <w:rPr>
          <w:rFonts w:ascii="宋体" w:hAnsi="宋体" w:eastAsia="宋体" w:cs="宋体"/>
          <w:color w:val="auto"/>
          <w:spacing w:val="1"/>
          <w:sz w:val="24"/>
          <w:szCs w:val="24"/>
          <w:highlight w:val="none"/>
        </w:rPr>
        <w:t xml:space="preserve"> </w:t>
      </w:r>
    </w:p>
    <w:p w14:paraId="0D18CC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ascii="宋体" w:hAnsi="宋体" w:eastAsia="宋体" w:cs="宋体"/>
          <w:color w:val="auto"/>
          <w:sz w:val="24"/>
          <w:szCs w:val="24"/>
          <w:highlight w:val="none"/>
        </w:rPr>
      </w:pPr>
      <w:r>
        <w:rPr>
          <w:rFonts w:ascii="宋体" w:hAnsi="宋体" w:eastAsia="宋体" w:cs="宋体"/>
          <w:color w:val="auto"/>
          <w:spacing w:val="-21"/>
          <w:sz w:val="24"/>
          <w:szCs w:val="24"/>
          <w:highlight w:val="none"/>
        </w:rPr>
        <w:t>日</w:t>
      </w:r>
      <w:r>
        <w:rPr>
          <w:rFonts w:ascii="宋体" w:hAnsi="宋体" w:eastAsia="宋体" w:cs="宋体"/>
          <w:color w:val="auto"/>
          <w:spacing w:val="6"/>
          <w:sz w:val="24"/>
          <w:szCs w:val="24"/>
          <w:highlight w:val="none"/>
        </w:rPr>
        <w:t xml:space="preserve">  </w:t>
      </w:r>
      <w:r>
        <w:rPr>
          <w:rFonts w:ascii="宋体" w:hAnsi="宋体" w:eastAsia="宋体" w:cs="宋体"/>
          <w:color w:val="auto"/>
          <w:spacing w:val="-21"/>
          <w:sz w:val="24"/>
          <w:szCs w:val="24"/>
          <w:highlight w:val="none"/>
        </w:rPr>
        <w:t>期：</w:t>
      </w:r>
    </w:p>
    <w:p w14:paraId="736744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说明：</w:t>
      </w:r>
    </w:p>
    <w:p w14:paraId="1D26B3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在政府采购活动中，残疾人福利性单位视同小型、微型企业。残疾人福利性单位</w:t>
      </w:r>
      <w:r>
        <w:rPr>
          <w:rFonts w:ascii="宋体" w:hAnsi="宋体" w:eastAsia="宋体" w:cs="宋体"/>
          <w:color w:val="auto"/>
          <w:spacing w:val="-1"/>
          <w:sz w:val="24"/>
          <w:szCs w:val="24"/>
          <w:highlight w:val="none"/>
        </w:rPr>
        <w:t>属于小型、微型企业的，不重复享受政策。</w:t>
      </w:r>
    </w:p>
    <w:p w14:paraId="593C812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sz w:val="24"/>
          <w:szCs w:val="24"/>
          <w:highlight w:val="none"/>
        </w:rPr>
        <w:sectPr>
          <w:footerReference r:id="rId43" w:type="default"/>
          <w:pgSz w:w="11906" w:h="16839"/>
          <w:pgMar w:top="1440" w:right="1800" w:bottom="1440" w:left="1800" w:header="0" w:footer="973" w:gutter="0"/>
          <w:pgNumType w:fmt="decimal"/>
          <w:cols w:space="720" w:num="1"/>
        </w:sectPr>
      </w:pPr>
    </w:p>
    <w:p w14:paraId="100FE3E8">
      <w:pPr>
        <w:pStyle w:val="2"/>
        <w:spacing w:line="269" w:lineRule="auto"/>
        <w:rPr>
          <w:color w:val="auto"/>
          <w:highlight w:val="none"/>
        </w:rPr>
      </w:pPr>
    </w:p>
    <w:p w14:paraId="21087840">
      <w:pPr>
        <w:pStyle w:val="2"/>
        <w:spacing w:line="270" w:lineRule="auto"/>
        <w:rPr>
          <w:color w:val="auto"/>
          <w:highlight w:val="none"/>
        </w:rPr>
      </w:pPr>
    </w:p>
    <w:p w14:paraId="7EB0B133">
      <w:pPr>
        <w:spacing w:before="101" w:line="224" w:lineRule="auto"/>
        <w:ind w:left="182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投标人近三年类似工程业绩证明材料</w:t>
      </w:r>
    </w:p>
    <w:p w14:paraId="1B93B0DE">
      <w:pPr>
        <w:spacing w:before="163"/>
        <w:rPr>
          <w:color w:val="auto"/>
          <w:highlight w:val="none"/>
        </w:rPr>
      </w:pPr>
    </w:p>
    <w:tbl>
      <w:tblPr>
        <w:tblStyle w:val="13"/>
        <w:tblW w:w="8526"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0"/>
        <w:gridCol w:w="6006"/>
      </w:tblGrid>
      <w:tr w14:paraId="18A6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520" w:type="dxa"/>
            <w:vAlign w:val="top"/>
          </w:tcPr>
          <w:p w14:paraId="6EFCF262">
            <w:pPr>
              <w:pStyle w:val="14"/>
              <w:spacing w:before="172" w:line="228" w:lineRule="auto"/>
              <w:ind w:left="118"/>
              <w:rPr>
                <w:color w:val="auto"/>
                <w:sz w:val="20"/>
                <w:szCs w:val="20"/>
                <w:highlight w:val="none"/>
              </w:rPr>
            </w:pPr>
            <w:r>
              <w:rPr>
                <w:color w:val="auto"/>
                <w:spacing w:val="6"/>
                <w:sz w:val="20"/>
                <w:szCs w:val="20"/>
                <w:highlight w:val="none"/>
              </w:rPr>
              <w:t>项目名称</w:t>
            </w:r>
          </w:p>
        </w:tc>
        <w:tc>
          <w:tcPr>
            <w:tcW w:w="6006" w:type="dxa"/>
            <w:vAlign w:val="top"/>
          </w:tcPr>
          <w:p w14:paraId="2DEA82E8">
            <w:pPr>
              <w:rPr>
                <w:rFonts w:ascii="Arial"/>
                <w:color w:val="auto"/>
                <w:sz w:val="21"/>
                <w:highlight w:val="none"/>
              </w:rPr>
            </w:pPr>
          </w:p>
        </w:tc>
      </w:tr>
      <w:tr w14:paraId="4B6A2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0" w:type="dxa"/>
            <w:vAlign w:val="top"/>
          </w:tcPr>
          <w:p w14:paraId="37DB5740">
            <w:pPr>
              <w:pStyle w:val="14"/>
              <w:spacing w:before="168" w:line="228" w:lineRule="auto"/>
              <w:ind w:left="118"/>
              <w:rPr>
                <w:color w:val="auto"/>
                <w:sz w:val="20"/>
                <w:szCs w:val="20"/>
                <w:highlight w:val="none"/>
              </w:rPr>
            </w:pPr>
            <w:r>
              <w:rPr>
                <w:color w:val="auto"/>
                <w:spacing w:val="7"/>
                <w:sz w:val="20"/>
                <w:szCs w:val="20"/>
                <w:highlight w:val="none"/>
              </w:rPr>
              <w:t>项目所在地</w:t>
            </w:r>
          </w:p>
        </w:tc>
        <w:tc>
          <w:tcPr>
            <w:tcW w:w="6006" w:type="dxa"/>
            <w:vAlign w:val="top"/>
          </w:tcPr>
          <w:p w14:paraId="1396A6D9">
            <w:pPr>
              <w:rPr>
                <w:rFonts w:ascii="Arial"/>
                <w:color w:val="auto"/>
                <w:sz w:val="21"/>
                <w:highlight w:val="none"/>
              </w:rPr>
            </w:pPr>
          </w:p>
        </w:tc>
      </w:tr>
      <w:tr w14:paraId="0B747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0" w:type="dxa"/>
            <w:vAlign w:val="top"/>
          </w:tcPr>
          <w:p w14:paraId="39852025">
            <w:pPr>
              <w:pStyle w:val="14"/>
              <w:spacing w:before="170" w:line="228" w:lineRule="auto"/>
              <w:ind w:left="118"/>
              <w:rPr>
                <w:color w:val="auto"/>
                <w:sz w:val="20"/>
                <w:szCs w:val="20"/>
                <w:highlight w:val="none"/>
              </w:rPr>
            </w:pPr>
            <w:r>
              <w:rPr>
                <w:color w:val="auto"/>
                <w:spacing w:val="7"/>
                <w:sz w:val="20"/>
                <w:szCs w:val="20"/>
                <w:highlight w:val="none"/>
              </w:rPr>
              <w:t>发包人名称</w:t>
            </w:r>
          </w:p>
        </w:tc>
        <w:tc>
          <w:tcPr>
            <w:tcW w:w="6006" w:type="dxa"/>
            <w:vAlign w:val="top"/>
          </w:tcPr>
          <w:p w14:paraId="552A2A4B">
            <w:pPr>
              <w:rPr>
                <w:rFonts w:ascii="Arial"/>
                <w:color w:val="auto"/>
                <w:sz w:val="21"/>
                <w:highlight w:val="none"/>
              </w:rPr>
            </w:pPr>
          </w:p>
        </w:tc>
      </w:tr>
      <w:tr w14:paraId="2B6E4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520" w:type="dxa"/>
            <w:vAlign w:val="top"/>
          </w:tcPr>
          <w:p w14:paraId="5B68761E">
            <w:pPr>
              <w:pStyle w:val="14"/>
              <w:spacing w:before="171" w:line="228" w:lineRule="auto"/>
              <w:ind w:left="118"/>
              <w:rPr>
                <w:color w:val="auto"/>
                <w:sz w:val="20"/>
                <w:szCs w:val="20"/>
                <w:highlight w:val="none"/>
              </w:rPr>
            </w:pPr>
            <w:r>
              <w:rPr>
                <w:color w:val="auto"/>
                <w:spacing w:val="7"/>
                <w:sz w:val="20"/>
                <w:szCs w:val="20"/>
                <w:highlight w:val="none"/>
              </w:rPr>
              <w:t>发包人地址</w:t>
            </w:r>
          </w:p>
        </w:tc>
        <w:tc>
          <w:tcPr>
            <w:tcW w:w="6006" w:type="dxa"/>
            <w:vAlign w:val="top"/>
          </w:tcPr>
          <w:p w14:paraId="3570CDEC">
            <w:pPr>
              <w:rPr>
                <w:rFonts w:ascii="Arial"/>
                <w:color w:val="auto"/>
                <w:sz w:val="21"/>
                <w:highlight w:val="none"/>
              </w:rPr>
            </w:pPr>
          </w:p>
        </w:tc>
      </w:tr>
      <w:tr w14:paraId="7FD29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10919A67">
            <w:pPr>
              <w:pStyle w:val="14"/>
              <w:spacing w:before="171" w:line="228" w:lineRule="auto"/>
              <w:ind w:left="118"/>
              <w:rPr>
                <w:color w:val="auto"/>
                <w:sz w:val="20"/>
                <w:szCs w:val="20"/>
                <w:highlight w:val="none"/>
              </w:rPr>
            </w:pPr>
            <w:r>
              <w:rPr>
                <w:color w:val="auto"/>
                <w:spacing w:val="8"/>
                <w:sz w:val="20"/>
                <w:szCs w:val="20"/>
                <w:highlight w:val="none"/>
              </w:rPr>
              <w:t>发包人联系人及电话</w:t>
            </w:r>
          </w:p>
        </w:tc>
        <w:tc>
          <w:tcPr>
            <w:tcW w:w="6006" w:type="dxa"/>
            <w:vAlign w:val="top"/>
          </w:tcPr>
          <w:p w14:paraId="4FFC7F07">
            <w:pPr>
              <w:rPr>
                <w:rFonts w:ascii="Arial"/>
                <w:color w:val="auto"/>
                <w:sz w:val="21"/>
                <w:highlight w:val="none"/>
              </w:rPr>
            </w:pPr>
          </w:p>
        </w:tc>
      </w:tr>
      <w:tr w14:paraId="27099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0AE3B295">
            <w:pPr>
              <w:pStyle w:val="14"/>
              <w:spacing w:before="170" w:line="226" w:lineRule="auto"/>
              <w:ind w:left="116"/>
              <w:rPr>
                <w:color w:val="auto"/>
                <w:sz w:val="20"/>
                <w:szCs w:val="20"/>
                <w:highlight w:val="none"/>
              </w:rPr>
            </w:pPr>
            <w:r>
              <w:rPr>
                <w:color w:val="auto"/>
                <w:spacing w:val="7"/>
                <w:sz w:val="20"/>
                <w:szCs w:val="20"/>
                <w:highlight w:val="none"/>
              </w:rPr>
              <w:t>合同价格</w:t>
            </w:r>
          </w:p>
        </w:tc>
        <w:tc>
          <w:tcPr>
            <w:tcW w:w="6006" w:type="dxa"/>
            <w:vAlign w:val="top"/>
          </w:tcPr>
          <w:p w14:paraId="0FDFCA73">
            <w:pPr>
              <w:rPr>
                <w:rFonts w:ascii="Arial"/>
                <w:color w:val="auto"/>
                <w:sz w:val="21"/>
                <w:highlight w:val="none"/>
              </w:rPr>
            </w:pPr>
          </w:p>
        </w:tc>
      </w:tr>
      <w:tr w14:paraId="7DADC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4685E06F">
            <w:pPr>
              <w:pStyle w:val="14"/>
              <w:spacing w:before="172" w:line="228" w:lineRule="auto"/>
              <w:ind w:left="116"/>
              <w:rPr>
                <w:color w:val="auto"/>
                <w:sz w:val="20"/>
                <w:szCs w:val="20"/>
                <w:highlight w:val="none"/>
              </w:rPr>
            </w:pPr>
            <w:r>
              <w:rPr>
                <w:color w:val="auto"/>
                <w:spacing w:val="7"/>
                <w:sz w:val="20"/>
                <w:szCs w:val="20"/>
                <w:highlight w:val="none"/>
              </w:rPr>
              <w:t>开工日期</w:t>
            </w:r>
          </w:p>
        </w:tc>
        <w:tc>
          <w:tcPr>
            <w:tcW w:w="6006" w:type="dxa"/>
            <w:vAlign w:val="top"/>
          </w:tcPr>
          <w:p w14:paraId="0268A922">
            <w:pPr>
              <w:rPr>
                <w:rFonts w:ascii="Arial"/>
                <w:color w:val="auto"/>
                <w:sz w:val="21"/>
                <w:highlight w:val="none"/>
              </w:rPr>
            </w:pPr>
          </w:p>
        </w:tc>
      </w:tr>
      <w:tr w14:paraId="2311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74160060">
            <w:pPr>
              <w:pStyle w:val="14"/>
              <w:spacing w:before="171" w:line="228" w:lineRule="auto"/>
              <w:ind w:left="116"/>
              <w:rPr>
                <w:color w:val="auto"/>
                <w:sz w:val="20"/>
                <w:szCs w:val="20"/>
                <w:highlight w:val="none"/>
              </w:rPr>
            </w:pPr>
            <w:r>
              <w:rPr>
                <w:color w:val="auto"/>
                <w:spacing w:val="7"/>
                <w:sz w:val="20"/>
                <w:szCs w:val="20"/>
                <w:highlight w:val="none"/>
              </w:rPr>
              <w:t>竣工日期</w:t>
            </w:r>
          </w:p>
        </w:tc>
        <w:tc>
          <w:tcPr>
            <w:tcW w:w="6006" w:type="dxa"/>
            <w:vAlign w:val="top"/>
          </w:tcPr>
          <w:p w14:paraId="47E3D44A">
            <w:pPr>
              <w:rPr>
                <w:rFonts w:ascii="Arial"/>
                <w:color w:val="auto"/>
                <w:sz w:val="21"/>
                <w:highlight w:val="none"/>
              </w:rPr>
            </w:pPr>
          </w:p>
        </w:tc>
      </w:tr>
      <w:tr w14:paraId="1940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450D4EDF">
            <w:pPr>
              <w:pStyle w:val="14"/>
              <w:spacing w:before="170" w:line="228" w:lineRule="auto"/>
              <w:ind w:left="115"/>
              <w:rPr>
                <w:color w:val="auto"/>
                <w:sz w:val="20"/>
                <w:szCs w:val="20"/>
                <w:highlight w:val="none"/>
              </w:rPr>
            </w:pPr>
            <w:r>
              <w:rPr>
                <w:color w:val="auto"/>
                <w:spacing w:val="8"/>
                <w:sz w:val="20"/>
                <w:szCs w:val="20"/>
                <w:highlight w:val="none"/>
              </w:rPr>
              <w:t>承担的工作</w:t>
            </w:r>
          </w:p>
        </w:tc>
        <w:tc>
          <w:tcPr>
            <w:tcW w:w="6006" w:type="dxa"/>
            <w:vAlign w:val="top"/>
          </w:tcPr>
          <w:p w14:paraId="08790DD7">
            <w:pPr>
              <w:rPr>
                <w:rFonts w:ascii="Arial"/>
                <w:color w:val="auto"/>
                <w:sz w:val="21"/>
                <w:highlight w:val="none"/>
              </w:rPr>
            </w:pPr>
          </w:p>
        </w:tc>
      </w:tr>
      <w:tr w14:paraId="31030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76AB4362">
            <w:pPr>
              <w:pStyle w:val="14"/>
              <w:spacing w:before="171" w:line="228" w:lineRule="auto"/>
              <w:ind w:left="118"/>
              <w:rPr>
                <w:color w:val="auto"/>
                <w:sz w:val="20"/>
                <w:szCs w:val="20"/>
                <w:highlight w:val="none"/>
              </w:rPr>
            </w:pPr>
            <w:r>
              <w:rPr>
                <w:color w:val="auto"/>
                <w:spacing w:val="6"/>
                <w:sz w:val="20"/>
                <w:szCs w:val="20"/>
                <w:highlight w:val="none"/>
              </w:rPr>
              <w:t>工程质量</w:t>
            </w:r>
          </w:p>
        </w:tc>
        <w:tc>
          <w:tcPr>
            <w:tcW w:w="6006" w:type="dxa"/>
            <w:vAlign w:val="top"/>
          </w:tcPr>
          <w:p w14:paraId="06C89828">
            <w:pPr>
              <w:rPr>
                <w:rFonts w:ascii="Arial"/>
                <w:color w:val="auto"/>
                <w:sz w:val="21"/>
                <w:highlight w:val="none"/>
              </w:rPr>
            </w:pPr>
          </w:p>
        </w:tc>
      </w:tr>
      <w:tr w14:paraId="0758C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52C60A6B">
            <w:pPr>
              <w:pStyle w:val="14"/>
              <w:spacing w:before="172" w:line="228" w:lineRule="auto"/>
              <w:ind w:left="118"/>
              <w:rPr>
                <w:color w:val="auto"/>
                <w:sz w:val="20"/>
                <w:szCs w:val="20"/>
                <w:highlight w:val="none"/>
              </w:rPr>
            </w:pPr>
            <w:r>
              <w:rPr>
                <w:color w:val="auto"/>
                <w:spacing w:val="7"/>
                <w:sz w:val="20"/>
                <w:szCs w:val="20"/>
                <w:highlight w:val="none"/>
              </w:rPr>
              <w:t>项目负责人</w:t>
            </w:r>
          </w:p>
        </w:tc>
        <w:tc>
          <w:tcPr>
            <w:tcW w:w="6006" w:type="dxa"/>
            <w:vAlign w:val="top"/>
          </w:tcPr>
          <w:p w14:paraId="76B0D3CC">
            <w:pPr>
              <w:rPr>
                <w:rFonts w:ascii="Arial"/>
                <w:color w:val="auto"/>
                <w:sz w:val="21"/>
                <w:highlight w:val="none"/>
              </w:rPr>
            </w:pPr>
          </w:p>
        </w:tc>
      </w:tr>
      <w:tr w14:paraId="5FB3D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520" w:type="dxa"/>
            <w:vAlign w:val="top"/>
          </w:tcPr>
          <w:p w14:paraId="14E16CEB">
            <w:pPr>
              <w:pStyle w:val="14"/>
              <w:spacing w:before="171" w:line="228" w:lineRule="auto"/>
              <w:ind w:left="116"/>
              <w:rPr>
                <w:color w:val="auto"/>
                <w:sz w:val="20"/>
                <w:szCs w:val="20"/>
                <w:highlight w:val="none"/>
              </w:rPr>
            </w:pPr>
            <w:r>
              <w:rPr>
                <w:color w:val="auto"/>
                <w:spacing w:val="7"/>
                <w:sz w:val="20"/>
                <w:szCs w:val="20"/>
                <w:highlight w:val="none"/>
              </w:rPr>
              <w:t>技术负责人</w:t>
            </w:r>
          </w:p>
        </w:tc>
        <w:tc>
          <w:tcPr>
            <w:tcW w:w="6006" w:type="dxa"/>
            <w:vAlign w:val="top"/>
          </w:tcPr>
          <w:p w14:paraId="5005B3E3">
            <w:pPr>
              <w:rPr>
                <w:rFonts w:ascii="Arial"/>
                <w:color w:val="auto"/>
                <w:sz w:val="21"/>
                <w:highlight w:val="none"/>
              </w:rPr>
            </w:pPr>
          </w:p>
        </w:tc>
      </w:tr>
      <w:tr w14:paraId="76D1E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2520" w:type="dxa"/>
            <w:vAlign w:val="top"/>
          </w:tcPr>
          <w:p w14:paraId="7FECDE6A">
            <w:pPr>
              <w:spacing w:line="382" w:lineRule="auto"/>
              <w:rPr>
                <w:rFonts w:ascii="Arial"/>
                <w:color w:val="auto"/>
                <w:sz w:val="21"/>
                <w:highlight w:val="none"/>
              </w:rPr>
            </w:pPr>
          </w:p>
          <w:p w14:paraId="3514F7B0">
            <w:pPr>
              <w:pStyle w:val="14"/>
              <w:spacing w:before="65" w:line="228" w:lineRule="auto"/>
              <w:ind w:left="118"/>
              <w:rPr>
                <w:color w:val="auto"/>
                <w:sz w:val="20"/>
                <w:szCs w:val="20"/>
                <w:highlight w:val="none"/>
              </w:rPr>
            </w:pPr>
            <w:r>
              <w:rPr>
                <w:color w:val="auto"/>
                <w:spacing w:val="6"/>
                <w:sz w:val="20"/>
                <w:szCs w:val="20"/>
                <w:highlight w:val="none"/>
              </w:rPr>
              <w:t>项目描述</w:t>
            </w:r>
          </w:p>
        </w:tc>
        <w:tc>
          <w:tcPr>
            <w:tcW w:w="6006" w:type="dxa"/>
            <w:vAlign w:val="top"/>
          </w:tcPr>
          <w:p w14:paraId="609B3882">
            <w:pPr>
              <w:rPr>
                <w:rFonts w:ascii="Arial"/>
                <w:color w:val="auto"/>
                <w:sz w:val="21"/>
                <w:highlight w:val="none"/>
              </w:rPr>
            </w:pPr>
          </w:p>
        </w:tc>
      </w:tr>
      <w:tr w14:paraId="02F79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520" w:type="dxa"/>
            <w:vAlign w:val="top"/>
          </w:tcPr>
          <w:p w14:paraId="0BA927ED">
            <w:pPr>
              <w:pStyle w:val="14"/>
              <w:spacing w:before="172" w:line="229" w:lineRule="auto"/>
              <w:ind w:left="118"/>
              <w:rPr>
                <w:color w:val="auto"/>
                <w:sz w:val="20"/>
                <w:szCs w:val="20"/>
                <w:highlight w:val="none"/>
              </w:rPr>
            </w:pPr>
            <w:r>
              <w:rPr>
                <w:color w:val="auto"/>
                <w:spacing w:val="3"/>
                <w:sz w:val="20"/>
                <w:szCs w:val="20"/>
                <w:highlight w:val="none"/>
              </w:rPr>
              <w:t>备注</w:t>
            </w:r>
          </w:p>
        </w:tc>
        <w:tc>
          <w:tcPr>
            <w:tcW w:w="6006" w:type="dxa"/>
            <w:vAlign w:val="top"/>
          </w:tcPr>
          <w:p w14:paraId="43ED70BC">
            <w:pPr>
              <w:rPr>
                <w:rFonts w:ascii="Arial"/>
                <w:color w:val="auto"/>
                <w:sz w:val="21"/>
                <w:highlight w:val="none"/>
              </w:rPr>
            </w:pPr>
          </w:p>
        </w:tc>
      </w:tr>
    </w:tbl>
    <w:p w14:paraId="7A29CD4F">
      <w:pPr>
        <w:spacing w:before="52" w:line="229" w:lineRule="auto"/>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备注：</w:t>
      </w:r>
    </w:p>
    <w:p w14:paraId="0295C43D">
      <w:pPr>
        <w:spacing w:before="63" w:line="228" w:lineRule="auto"/>
        <w:ind w:left="2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1、类似项目指规模、使用功能相似的工程。</w:t>
      </w:r>
    </w:p>
    <w:p w14:paraId="078D39DF">
      <w:pPr>
        <w:spacing w:before="65" w:line="258" w:lineRule="auto"/>
        <w:ind w:left="206" w:firstLine="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2、本表后附中标通知书或施工合同，具体年份要求见投标人须知前附表。每张表格只填写一</w:t>
      </w:r>
      <w:r>
        <w:rPr>
          <w:rFonts w:ascii="宋体" w:hAnsi="宋体" w:eastAsia="宋体" w:cs="宋体"/>
          <w:color w:val="auto"/>
          <w:spacing w:val="12"/>
          <w:sz w:val="20"/>
          <w:szCs w:val="20"/>
          <w:highlight w:val="none"/>
        </w:rPr>
        <w:t xml:space="preserve"> </w:t>
      </w:r>
      <w:r>
        <w:rPr>
          <w:rFonts w:ascii="宋体" w:hAnsi="宋体" w:eastAsia="宋体" w:cs="宋体"/>
          <w:color w:val="auto"/>
          <w:spacing w:val="8"/>
          <w:sz w:val="20"/>
          <w:szCs w:val="20"/>
          <w:highlight w:val="none"/>
        </w:rPr>
        <w:t>个项目，并标明序号。</w:t>
      </w:r>
    </w:p>
    <w:p w14:paraId="6DC858BE">
      <w:pPr>
        <w:spacing w:line="258" w:lineRule="auto"/>
        <w:rPr>
          <w:rFonts w:ascii="宋体" w:hAnsi="宋体" w:eastAsia="宋体" w:cs="宋体"/>
          <w:color w:val="auto"/>
          <w:sz w:val="20"/>
          <w:szCs w:val="20"/>
          <w:highlight w:val="none"/>
        </w:rPr>
        <w:sectPr>
          <w:footerReference r:id="rId44" w:type="default"/>
          <w:pgSz w:w="11906" w:h="16839"/>
          <w:pgMar w:top="1440" w:right="1800" w:bottom="1440" w:left="1800" w:header="0" w:footer="973" w:gutter="0"/>
          <w:pgNumType w:fmt="decimal"/>
          <w:cols w:space="720" w:num="1"/>
        </w:sectPr>
      </w:pPr>
    </w:p>
    <w:p w14:paraId="20A8573D">
      <w:pPr>
        <w:pStyle w:val="2"/>
        <w:spacing w:line="269" w:lineRule="auto"/>
        <w:rPr>
          <w:color w:val="auto"/>
          <w:highlight w:val="none"/>
        </w:rPr>
      </w:pPr>
    </w:p>
    <w:p w14:paraId="0725BCC0">
      <w:pPr>
        <w:pStyle w:val="2"/>
        <w:spacing w:line="270" w:lineRule="auto"/>
        <w:rPr>
          <w:color w:val="auto"/>
          <w:highlight w:val="none"/>
        </w:rPr>
      </w:pPr>
    </w:p>
    <w:p w14:paraId="2FC8E238">
      <w:pPr>
        <w:spacing w:before="101" w:line="224" w:lineRule="auto"/>
        <w:ind w:left="336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项目负责人简历表</w:t>
      </w:r>
    </w:p>
    <w:p w14:paraId="419B999A">
      <w:pPr>
        <w:spacing w:line="93" w:lineRule="exact"/>
        <w:rPr>
          <w:color w:val="auto"/>
          <w:highlight w:val="none"/>
        </w:rPr>
      </w:pPr>
    </w:p>
    <w:tbl>
      <w:tblPr>
        <w:tblStyle w:val="13"/>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4"/>
        <w:gridCol w:w="1567"/>
        <w:gridCol w:w="1229"/>
        <w:gridCol w:w="353"/>
        <w:gridCol w:w="1581"/>
        <w:gridCol w:w="1582"/>
        <w:gridCol w:w="1060"/>
      </w:tblGrid>
      <w:tr w14:paraId="37132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84" w:type="dxa"/>
            <w:vAlign w:val="top"/>
          </w:tcPr>
          <w:p w14:paraId="116D7487">
            <w:pPr>
              <w:pStyle w:val="14"/>
              <w:spacing w:before="198" w:line="219" w:lineRule="auto"/>
              <w:ind w:left="116"/>
              <w:rPr>
                <w:color w:val="auto"/>
                <w:highlight w:val="none"/>
              </w:rPr>
            </w:pPr>
            <w:r>
              <w:rPr>
                <w:color w:val="auto"/>
                <w:spacing w:val="-5"/>
                <w:highlight w:val="none"/>
              </w:rPr>
              <w:t>姓名</w:t>
            </w:r>
          </w:p>
        </w:tc>
        <w:tc>
          <w:tcPr>
            <w:tcW w:w="2796" w:type="dxa"/>
            <w:gridSpan w:val="2"/>
            <w:vAlign w:val="top"/>
          </w:tcPr>
          <w:p w14:paraId="5FA8FFD6">
            <w:pPr>
              <w:rPr>
                <w:rFonts w:ascii="Arial"/>
                <w:color w:val="auto"/>
                <w:sz w:val="21"/>
                <w:highlight w:val="none"/>
              </w:rPr>
            </w:pPr>
          </w:p>
        </w:tc>
        <w:tc>
          <w:tcPr>
            <w:tcW w:w="1934" w:type="dxa"/>
            <w:gridSpan w:val="2"/>
            <w:vAlign w:val="top"/>
          </w:tcPr>
          <w:p w14:paraId="62A96CFA">
            <w:pPr>
              <w:pStyle w:val="14"/>
              <w:spacing w:before="198" w:line="220" w:lineRule="auto"/>
              <w:ind w:left="117"/>
              <w:rPr>
                <w:color w:val="auto"/>
                <w:highlight w:val="none"/>
              </w:rPr>
            </w:pPr>
            <w:r>
              <w:rPr>
                <w:color w:val="auto"/>
                <w:spacing w:val="-7"/>
                <w:highlight w:val="none"/>
              </w:rPr>
              <w:t>性别</w:t>
            </w:r>
          </w:p>
        </w:tc>
        <w:tc>
          <w:tcPr>
            <w:tcW w:w="2642" w:type="dxa"/>
            <w:gridSpan w:val="2"/>
            <w:vAlign w:val="top"/>
          </w:tcPr>
          <w:p w14:paraId="7926B8A1">
            <w:pPr>
              <w:rPr>
                <w:rFonts w:ascii="Arial"/>
                <w:color w:val="auto"/>
                <w:sz w:val="21"/>
                <w:highlight w:val="none"/>
              </w:rPr>
            </w:pPr>
          </w:p>
        </w:tc>
      </w:tr>
      <w:tr w14:paraId="678BD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84" w:type="dxa"/>
            <w:vAlign w:val="top"/>
          </w:tcPr>
          <w:p w14:paraId="0CD39D39">
            <w:pPr>
              <w:pStyle w:val="14"/>
              <w:spacing w:before="194" w:line="221" w:lineRule="auto"/>
              <w:ind w:left="117"/>
              <w:rPr>
                <w:color w:val="auto"/>
                <w:highlight w:val="none"/>
              </w:rPr>
            </w:pPr>
            <w:r>
              <w:rPr>
                <w:color w:val="auto"/>
                <w:spacing w:val="-6"/>
                <w:highlight w:val="none"/>
              </w:rPr>
              <w:t>职称</w:t>
            </w:r>
          </w:p>
        </w:tc>
        <w:tc>
          <w:tcPr>
            <w:tcW w:w="2796" w:type="dxa"/>
            <w:gridSpan w:val="2"/>
            <w:vAlign w:val="top"/>
          </w:tcPr>
          <w:p w14:paraId="3FB45602">
            <w:pPr>
              <w:rPr>
                <w:rFonts w:ascii="Arial"/>
                <w:color w:val="auto"/>
                <w:sz w:val="21"/>
                <w:highlight w:val="none"/>
              </w:rPr>
            </w:pPr>
          </w:p>
        </w:tc>
        <w:tc>
          <w:tcPr>
            <w:tcW w:w="1934" w:type="dxa"/>
            <w:gridSpan w:val="2"/>
            <w:vAlign w:val="top"/>
          </w:tcPr>
          <w:p w14:paraId="68DB096A">
            <w:pPr>
              <w:pStyle w:val="14"/>
              <w:spacing w:before="193" w:line="221" w:lineRule="auto"/>
              <w:ind w:left="119"/>
              <w:rPr>
                <w:color w:val="auto"/>
                <w:highlight w:val="none"/>
              </w:rPr>
            </w:pPr>
            <w:r>
              <w:rPr>
                <w:color w:val="auto"/>
                <w:spacing w:val="-8"/>
                <w:highlight w:val="none"/>
              </w:rPr>
              <w:t>学历</w:t>
            </w:r>
          </w:p>
        </w:tc>
        <w:tc>
          <w:tcPr>
            <w:tcW w:w="2642" w:type="dxa"/>
            <w:gridSpan w:val="2"/>
            <w:vAlign w:val="top"/>
          </w:tcPr>
          <w:p w14:paraId="2E066EA7">
            <w:pPr>
              <w:rPr>
                <w:rFonts w:ascii="Arial"/>
                <w:color w:val="auto"/>
                <w:sz w:val="21"/>
                <w:highlight w:val="none"/>
              </w:rPr>
            </w:pPr>
          </w:p>
        </w:tc>
      </w:tr>
      <w:tr w14:paraId="4502C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84" w:type="dxa"/>
            <w:vAlign w:val="top"/>
          </w:tcPr>
          <w:p w14:paraId="4338E2A4">
            <w:pPr>
              <w:spacing w:line="425" w:lineRule="auto"/>
              <w:rPr>
                <w:rFonts w:ascii="Arial"/>
                <w:color w:val="auto"/>
                <w:sz w:val="21"/>
                <w:highlight w:val="none"/>
              </w:rPr>
            </w:pPr>
          </w:p>
          <w:p w14:paraId="0FBD1956">
            <w:pPr>
              <w:pStyle w:val="14"/>
              <w:spacing w:before="78" w:line="220" w:lineRule="auto"/>
              <w:ind w:left="118"/>
              <w:rPr>
                <w:color w:val="auto"/>
                <w:highlight w:val="none"/>
              </w:rPr>
            </w:pPr>
            <w:r>
              <w:rPr>
                <w:color w:val="auto"/>
                <w:spacing w:val="-2"/>
                <w:highlight w:val="none"/>
              </w:rPr>
              <w:t>参加工作时间</w:t>
            </w:r>
          </w:p>
        </w:tc>
        <w:tc>
          <w:tcPr>
            <w:tcW w:w="2796" w:type="dxa"/>
            <w:gridSpan w:val="2"/>
            <w:vAlign w:val="top"/>
          </w:tcPr>
          <w:p w14:paraId="50D42E49">
            <w:pPr>
              <w:rPr>
                <w:rFonts w:ascii="Arial"/>
                <w:color w:val="auto"/>
                <w:sz w:val="21"/>
                <w:highlight w:val="none"/>
              </w:rPr>
            </w:pPr>
          </w:p>
        </w:tc>
        <w:tc>
          <w:tcPr>
            <w:tcW w:w="1934" w:type="dxa"/>
            <w:gridSpan w:val="2"/>
            <w:vAlign w:val="top"/>
          </w:tcPr>
          <w:p w14:paraId="1B3D90AC">
            <w:pPr>
              <w:pStyle w:val="14"/>
              <w:spacing w:before="194" w:line="403" w:lineRule="auto"/>
              <w:ind w:left="115" w:right="105" w:firstLine="1"/>
              <w:rPr>
                <w:color w:val="auto"/>
                <w:highlight w:val="none"/>
              </w:rPr>
            </w:pPr>
            <w:r>
              <w:rPr>
                <w:color w:val="auto"/>
                <w:spacing w:val="3"/>
                <w:highlight w:val="none"/>
              </w:rPr>
              <w:t>从事项目管理工</w:t>
            </w:r>
            <w:r>
              <w:rPr>
                <w:color w:val="auto"/>
                <w:spacing w:val="4"/>
                <w:highlight w:val="none"/>
              </w:rPr>
              <w:t xml:space="preserve"> </w:t>
            </w:r>
            <w:r>
              <w:rPr>
                <w:color w:val="auto"/>
                <w:spacing w:val="-4"/>
                <w:highlight w:val="none"/>
              </w:rPr>
              <w:t>作年限</w:t>
            </w:r>
          </w:p>
        </w:tc>
        <w:tc>
          <w:tcPr>
            <w:tcW w:w="2642" w:type="dxa"/>
            <w:gridSpan w:val="2"/>
            <w:vAlign w:val="top"/>
          </w:tcPr>
          <w:p w14:paraId="4DB277B2">
            <w:pPr>
              <w:rPr>
                <w:rFonts w:ascii="Arial"/>
                <w:color w:val="auto"/>
                <w:sz w:val="21"/>
                <w:highlight w:val="none"/>
              </w:rPr>
            </w:pPr>
          </w:p>
        </w:tc>
      </w:tr>
      <w:tr w14:paraId="4C1C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84" w:type="dxa"/>
            <w:vAlign w:val="top"/>
          </w:tcPr>
          <w:p w14:paraId="6C812D1D">
            <w:pPr>
              <w:pStyle w:val="14"/>
              <w:spacing w:before="194" w:line="220" w:lineRule="auto"/>
              <w:ind w:left="117"/>
              <w:rPr>
                <w:color w:val="auto"/>
                <w:highlight w:val="none"/>
              </w:rPr>
            </w:pPr>
            <w:r>
              <w:rPr>
                <w:color w:val="auto"/>
                <w:spacing w:val="-6"/>
                <w:highlight w:val="none"/>
              </w:rPr>
              <w:t>专业</w:t>
            </w:r>
          </w:p>
        </w:tc>
        <w:tc>
          <w:tcPr>
            <w:tcW w:w="2796" w:type="dxa"/>
            <w:gridSpan w:val="2"/>
            <w:vAlign w:val="top"/>
          </w:tcPr>
          <w:p w14:paraId="60138E04">
            <w:pPr>
              <w:rPr>
                <w:rFonts w:ascii="Arial"/>
                <w:color w:val="auto"/>
                <w:sz w:val="21"/>
                <w:highlight w:val="none"/>
              </w:rPr>
            </w:pPr>
          </w:p>
        </w:tc>
        <w:tc>
          <w:tcPr>
            <w:tcW w:w="1934" w:type="dxa"/>
            <w:gridSpan w:val="2"/>
            <w:vAlign w:val="top"/>
          </w:tcPr>
          <w:p w14:paraId="7F8B97D2">
            <w:pPr>
              <w:pStyle w:val="14"/>
              <w:spacing w:before="194" w:line="219" w:lineRule="auto"/>
              <w:ind w:left="119"/>
              <w:rPr>
                <w:color w:val="auto"/>
                <w:highlight w:val="none"/>
              </w:rPr>
            </w:pPr>
            <w:r>
              <w:rPr>
                <w:color w:val="auto"/>
                <w:spacing w:val="-4"/>
                <w:highlight w:val="none"/>
              </w:rPr>
              <w:t>毕业学校</w:t>
            </w:r>
          </w:p>
        </w:tc>
        <w:tc>
          <w:tcPr>
            <w:tcW w:w="2642" w:type="dxa"/>
            <w:gridSpan w:val="2"/>
            <w:vAlign w:val="top"/>
          </w:tcPr>
          <w:p w14:paraId="0F12E30F">
            <w:pPr>
              <w:rPr>
                <w:rFonts w:ascii="Arial"/>
                <w:color w:val="auto"/>
                <w:sz w:val="21"/>
                <w:highlight w:val="none"/>
              </w:rPr>
            </w:pPr>
          </w:p>
        </w:tc>
      </w:tr>
      <w:tr w14:paraId="64F42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84" w:type="dxa"/>
            <w:vAlign w:val="top"/>
          </w:tcPr>
          <w:p w14:paraId="1319ECB6">
            <w:pPr>
              <w:pStyle w:val="14"/>
              <w:spacing w:before="195" w:line="219" w:lineRule="auto"/>
              <w:ind w:left="123"/>
              <w:rPr>
                <w:color w:val="auto"/>
                <w:highlight w:val="none"/>
              </w:rPr>
            </w:pPr>
            <w:r>
              <w:rPr>
                <w:color w:val="auto"/>
                <w:spacing w:val="-4"/>
                <w:highlight w:val="none"/>
              </w:rPr>
              <w:t>身份证号码</w:t>
            </w:r>
          </w:p>
        </w:tc>
        <w:tc>
          <w:tcPr>
            <w:tcW w:w="2796" w:type="dxa"/>
            <w:gridSpan w:val="2"/>
            <w:vAlign w:val="top"/>
          </w:tcPr>
          <w:p w14:paraId="29EC3612">
            <w:pPr>
              <w:rPr>
                <w:rFonts w:ascii="Arial"/>
                <w:color w:val="auto"/>
                <w:sz w:val="21"/>
                <w:highlight w:val="none"/>
              </w:rPr>
            </w:pPr>
          </w:p>
        </w:tc>
        <w:tc>
          <w:tcPr>
            <w:tcW w:w="1934" w:type="dxa"/>
            <w:gridSpan w:val="2"/>
            <w:vAlign w:val="top"/>
          </w:tcPr>
          <w:p w14:paraId="5D9864CB">
            <w:pPr>
              <w:pStyle w:val="14"/>
              <w:spacing w:before="195" w:line="219" w:lineRule="auto"/>
              <w:ind w:left="113"/>
              <w:rPr>
                <w:color w:val="auto"/>
                <w:highlight w:val="none"/>
              </w:rPr>
            </w:pPr>
            <w:r>
              <w:rPr>
                <w:color w:val="auto"/>
                <w:spacing w:val="-2"/>
                <w:highlight w:val="none"/>
              </w:rPr>
              <w:t>在公司担任职务</w:t>
            </w:r>
          </w:p>
        </w:tc>
        <w:tc>
          <w:tcPr>
            <w:tcW w:w="2642" w:type="dxa"/>
            <w:gridSpan w:val="2"/>
            <w:vAlign w:val="top"/>
          </w:tcPr>
          <w:p w14:paraId="135F49BD">
            <w:pPr>
              <w:rPr>
                <w:rFonts w:ascii="Arial"/>
                <w:color w:val="auto"/>
                <w:sz w:val="21"/>
                <w:highlight w:val="none"/>
              </w:rPr>
            </w:pPr>
          </w:p>
        </w:tc>
      </w:tr>
      <w:tr w14:paraId="5A3BE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84" w:type="dxa"/>
            <w:vAlign w:val="top"/>
          </w:tcPr>
          <w:p w14:paraId="59BE9671">
            <w:pPr>
              <w:pStyle w:val="14"/>
              <w:spacing w:before="197" w:line="219" w:lineRule="auto"/>
              <w:ind w:left="116"/>
              <w:rPr>
                <w:color w:val="auto"/>
                <w:highlight w:val="none"/>
              </w:rPr>
            </w:pPr>
            <w:r>
              <w:rPr>
                <w:color w:val="auto"/>
                <w:spacing w:val="-3"/>
                <w:highlight w:val="none"/>
              </w:rPr>
              <w:t>执业资格</w:t>
            </w:r>
          </w:p>
        </w:tc>
        <w:tc>
          <w:tcPr>
            <w:tcW w:w="2796" w:type="dxa"/>
            <w:gridSpan w:val="2"/>
            <w:vAlign w:val="top"/>
          </w:tcPr>
          <w:p w14:paraId="0AB2ED39">
            <w:pPr>
              <w:rPr>
                <w:rFonts w:ascii="Arial"/>
                <w:color w:val="auto"/>
                <w:sz w:val="21"/>
                <w:highlight w:val="none"/>
              </w:rPr>
            </w:pPr>
          </w:p>
        </w:tc>
        <w:tc>
          <w:tcPr>
            <w:tcW w:w="1934" w:type="dxa"/>
            <w:gridSpan w:val="2"/>
            <w:vAlign w:val="top"/>
          </w:tcPr>
          <w:p w14:paraId="48958A70">
            <w:pPr>
              <w:pStyle w:val="14"/>
              <w:spacing w:before="196" w:line="219" w:lineRule="auto"/>
              <w:ind w:left="114"/>
              <w:rPr>
                <w:color w:val="auto"/>
                <w:highlight w:val="none"/>
              </w:rPr>
            </w:pPr>
            <w:r>
              <w:rPr>
                <w:color w:val="auto"/>
                <w:spacing w:val="-3"/>
                <w:highlight w:val="none"/>
              </w:rPr>
              <w:t>证书编号</w:t>
            </w:r>
          </w:p>
        </w:tc>
        <w:tc>
          <w:tcPr>
            <w:tcW w:w="2642" w:type="dxa"/>
            <w:gridSpan w:val="2"/>
            <w:vAlign w:val="top"/>
          </w:tcPr>
          <w:p w14:paraId="04B3F3B1">
            <w:pPr>
              <w:rPr>
                <w:rFonts w:ascii="Arial"/>
                <w:color w:val="auto"/>
                <w:sz w:val="21"/>
                <w:highlight w:val="none"/>
              </w:rPr>
            </w:pPr>
          </w:p>
        </w:tc>
      </w:tr>
      <w:tr w14:paraId="22151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84" w:type="dxa"/>
            <w:vAlign w:val="top"/>
          </w:tcPr>
          <w:p w14:paraId="79BE5400">
            <w:pPr>
              <w:pStyle w:val="14"/>
              <w:spacing w:before="197" w:line="220" w:lineRule="auto"/>
              <w:ind w:left="137"/>
              <w:rPr>
                <w:color w:val="auto"/>
                <w:highlight w:val="none"/>
              </w:rPr>
            </w:pPr>
            <w:r>
              <w:rPr>
                <w:color w:val="auto"/>
                <w:spacing w:val="-8"/>
                <w:highlight w:val="none"/>
              </w:rPr>
              <w:t>固定电话</w:t>
            </w:r>
          </w:p>
        </w:tc>
        <w:tc>
          <w:tcPr>
            <w:tcW w:w="2796" w:type="dxa"/>
            <w:gridSpan w:val="2"/>
            <w:vAlign w:val="top"/>
          </w:tcPr>
          <w:p w14:paraId="5971B789">
            <w:pPr>
              <w:rPr>
                <w:rFonts w:ascii="Arial"/>
                <w:color w:val="auto"/>
                <w:sz w:val="21"/>
                <w:highlight w:val="none"/>
              </w:rPr>
            </w:pPr>
          </w:p>
        </w:tc>
        <w:tc>
          <w:tcPr>
            <w:tcW w:w="1934" w:type="dxa"/>
            <w:gridSpan w:val="2"/>
            <w:vAlign w:val="top"/>
          </w:tcPr>
          <w:p w14:paraId="03BE4A29">
            <w:pPr>
              <w:pStyle w:val="14"/>
              <w:spacing w:before="196" w:line="219" w:lineRule="auto"/>
              <w:ind w:left="114"/>
              <w:rPr>
                <w:color w:val="auto"/>
                <w:highlight w:val="none"/>
              </w:rPr>
            </w:pPr>
            <w:r>
              <w:rPr>
                <w:color w:val="auto"/>
                <w:spacing w:val="-3"/>
                <w:highlight w:val="none"/>
              </w:rPr>
              <w:t>手机号码</w:t>
            </w:r>
          </w:p>
        </w:tc>
        <w:tc>
          <w:tcPr>
            <w:tcW w:w="2642" w:type="dxa"/>
            <w:gridSpan w:val="2"/>
            <w:vAlign w:val="top"/>
          </w:tcPr>
          <w:p w14:paraId="4C12AD2E">
            <w:pPr>
              <w:rPr>
                <w:rFonts w:ascii="Arial"/>
                <w:color w:val="auto"/>
                <w:sz w:val="21"/>
                <w:highlight w:val="none"/>
              </w:rPr>
            </w:pPr>
          </w:p>
        </w:tc>
      </w:tr>
      <w:tr w14:paraId="13139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84" w:type="dxa"/>
            <w:vMerge w:val="restart"/>
            <w:tcBorders>
              <w:bottom w:val="nil"/>
            </w:tcBorders>
            <w:vAlign w:val="top"/>
          </w:tcPr>
          <w:p w14:paraId="4776F988">
            <w:pPr>
              <w:spacing w:line="437" w:lineRule="auto"/>
              <w:rPr>
                <w:rFonts w:ascii="Arial"/>
                <w:color w:val="auto"/>
                <w:sz w:val="21"/>
                <w:highlight w:val="none"/>
              </w:rPr>
            </w:pPr>
          </w:p>
          <w:p w14:paraId="5F9366A6">
            <w:pPr>
              <w:pStyle w:val="14"/>
              <w:spacing w:before="78" w:line="467" w:lineRule="auto"/>
              <w:ind w:left="256" w:right="108" w:hanging="137"/>
              <w:rPr>
                <w:color w:val="auto"/>
                <w:highlight w:val="none"/>
              </w:rPr>
            </w:pPr>
            <w:r>
              <w:rPr>
                <w:color w:val="auto"/>
                <w:spacing w:val="-16"/>
                <w:highlight w:val="none"/>
              </w:rPr>
              <w:t>20</w:t>
            </w:r>
            <w:r>
              <w:rPr>
                <w:rFonts w:hint="eastAsia"/>
                <w:color w:val="auto"/>
                <w:spacing w:val="-16"/>
                <w:highlight w:val="none"/>
                <w:lang w:val="en-US" w:eastAsia="zh-CN"/>
              </w:rPr>
              <w:t>22</w:t>
            </w:r>
            <w:r>
              <w:rPr>
                <w:color w:val="auto"/>
                <w:spacing w:val="-16"/>
                <w:highlight w:val="none"/>
              </w:rPr>
              <w:t>年</w:t>
            </w:r>
            <w:r>
              <w:rPr>
                <w:color w:val="auto"/>
                <w:spacing w:val="-47"/>
                <w:highlight w:val="none"/>
              </w:rPr>
              <w:t xml:space="preserve"> </w:t>
            </w:r>
            <w:r>
              <w:rPr>
                <w:color w:val="auto"/>
                <w:spacing w:val="-16"/>
                <w:highlight w:val="none"/>
              </w:rPr>
              <w:t>1</w:t>
            </w:r>
            <w:r>
              <w:rPr>
                <w:color w:val="auto"/>
                <w:spacing w:val="-59"/>
                <w:highlight w:val="none"/>
              </w:rPr>
              <w:t xml:space="preserve"> </w:t>
            </w:r>
            <w:r>
              <w:rPr>
                <w:color w:val="auto"/>
                <w:spacing w:val="-16"/>
                <w:highlight w:val="none"/>
              </w:rPr>
              <w:t>月</w:t>
            </w:r>
            <w:r>
              <w:rPr>
                <w:color w:val="auto"/>
                <w:spacing w:val="-47"/>
                <w:highlight w:val="none"/>
              </w:rPr>
              <w:t xml:space="preserve"> </w:t>
            </w:r>
            <w:r>
              <w:rPr>
                <w:color w:val="auto"/>
                <w:spacing w:val="-16"/>
                <w:highlight w:val="none"/>
              </w:rPr>
              <w:t>1</w:t>
            </w:r>
            <w:r>
              <w:rPr>
                <w:color w:val="auto"/>
                <w:spacing w:val="-27"/>
                <w:highlight w:val="none"/>
              </w:rPr>
              <w:t xml:space="preserve"> </w:t>
            </w:r>
            <w:r>
              <w:rPr>
                <w:color w:val="auto"/>
                <w:spacing w:val="-16"/>
                <w:highlight w:val="none"/>
              </w:rPr>
              <w:t>日</w:t>
            </w:r>
            <w:r>
              <w:rPr>
                <w:color w:val="auto"/>
                <w:highlight w:val="none"/>
              </w:rPr>
              <w:t xml:space="preserve"> </w:t>
            </w:r>
            <w:r>
              <w:rPr>
                <w:color w:val="auto"/>
                <w:spacing w:val="-7"/>
                <w:highlight w:val="none"/>
              </w:rPr>
              <w:t>以来类似业绩</w:t>
            </w:r>
          </w:p>
        </w:tc>
        <w:tc>
          <w:tcPr>
            <w:tcW w:w="1567" w:type="dxa"/>
            <w:vAlign w:val="top"/>
          </w:tcPr>
          <w:p w14:paraId="6036D815">
            <w:pPr>
              <w:pStyle w:val="14"/>
              <w:spacing w:before="197" w:line="220" w:lineRule="auto"/>
              <w:ind w:left="311"/>
              <w:rPr>
                <w:color w:val="auto"/>
                <w:highlight w:val="none"/>
              </w:rPr>
            </w:pPr>
            <w:r>
              <w:rPr>
                <w:color w:val="auto"/>
                <w:spacing w:val="-4"/>
                <w:highlight w:val="none"/>
              </w:rPr>
              <w:t>建设单位</w:t>
            </w:r>
          </w:p>
        </w:tc>
        <w:tc>
          <w:tcPr>
            <w:tcW w:w="1582" w:type="dxa"/>
            <w:gridSpan w:val="2"/>
            <w:vAlign w:val="top"/>
          </w:tcPr>
          <w:p w14:paraId="540EF647">
            <w:pPr>
              <w:pStyle w:val="14"/>
              <w:spacing w:before="197" w:line="220" w:lineRule="auto"/>
              <w:ind w:left="320"/>
              <w:rPr>
                <w:color w:val="auto"/>
                <w:highlight w:val="none"/>
              </w:rPr>
            </w:pPr>
            <w:r>
              <w:rPr>
                <w:color w:val="auto"/>
                <w:spacing w:val="-4"/>
                <w:highlight w:val="none"/>
              </w:rPr>
              <w:t>项目名称</w:t>
            </w:r>
          </w:p>
        </w:tc>
        <w:tc>
          <w:tcPr>
            <w:tcW w:w="1581" w:type="dxa"/>
            <w:vAlign w:val="top"/>
          </w:tcPr>
          <w:p w14:paraId="6AFF1A86">
            <w:pPr>
              <w:pStyle w:val="14"/>
              <w:spacing w:before="197" w:line="219" w:lineRule="auto"/>
              <w:ind w:left="321"/>
              <w:rPr>
                <w:color w:val="auto"/>
                <w:highlight w:val="none"/>
              </w:rPr>
            </w:pPr>
            <w:r>
              <w:rPr>
                <w:color w:val="auto"/>
                <w:spacing w:val="-4"/>
                <w:highlight w:val="none"/>
              </w:rPr>
              <w:t>建设规模</w:t>
            </w:r>
          </w:p>
        </w:tc>
        <w:tc>
          <w:tcPr>
            <w:tcW w:w="1582" w:type="dxa"/>
            <w:vAlign w:val="top"/>
          </w:tcPr>
          <w:p w14:paraId="1DDED3A6">
            <w:pPr>
              <w:pStyle w:val="14"/>
              <w:spacing w:before="196" w:line="221" w:lineRule="auto"/>
              <w:ind w:left="321"/>
              <w:rPr>
                <w:color w:val="auto"/>
                <w:highlight w:val="none"/>
              </w:rPr>
            </w:pPr>
            <w:r>
              <w:rPr>
                <w:color w:val="auto"/>
                <w:spacing w:val="-4"/>
                <w:highlight w:val="none"/>
              </w:rPr>
              <w:t>建设时间</w:t>
            </w:r>
          </w:p>
        </w:tc>
        <w:tc>
          <w:tcPr>
            <w:tcW w:w="1060" w:type="dxa"/>
            <w:vAlign w:val="top"/>
          </w:tcPr>
          <w:p w14:paraId="7A61248C">
            <w:pPr>
              <w:pStyle w:val="14"/>
              <w:spacing w:before="196" w:line="221" w:lineRule="auto"/>
              <w:ind w:left="299"/>
              <w:rPr>
                <w:color w:val="auto"/>
                <w:highlight w:val="none"/>
              </w:rPr>
            </w:pPr>
            <w:r>
              <w:rPr>
                <w:color w:val="auto"/>
                <w:spacing w:val="-7"/>
                <w:highlight w:val="none"/>
              </w:rPr>
              <w:t>备注</w:t>
            </w:r>
          </w:p>
        </w:tc>
      </w:tr>
      <w:tr w14:paraId="5574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84" w:type="dxa"/>
            <w:vMerge w:val="continue"/>
            <w:tcBorders>
              <w:top w:val="nil"/>
              <w:bottom w:val="nil"/>
            </w:tcBorders>
            <w:vAlign w:val="top"/>
          </w:tcPr>
          <w:p w14:paraId="3EEE3FA5">
            <w:pPr>
              <w:rPr>
                <w:rFonts w:ascii="Arial"/>
                <w:color w:val="auto"/>
                <w:sz w:val="21"/>
                <w:highlight w:val="none"/>
              </w:rPr>
            </w:pPr>
          </w:p>
        </w:tc>
        <w:tc>
          <w:tcPr>
            <w:tcW w:w="1567" w:type="dxa"/>
            <w:vAlign w:val="top"/>
          </w:tcPr>
          <w:p w14:paraId="59E1A5FD">
            <w:pPr>
              <w:rPr>
                <w:rFonts w:ascii="Arial"/>
                <w:color w:val="auto"/>
                <w:sz w:val="21"/>
                <w:highlight w:val="none"/>
              </w:rPr>
            </w:pPr>
          </w:p>
        </w:tc>
        <w:tc>
          <w:tcPr>
            <w:tcW w:w="1582" w:type="dxa"/>
            <w:gridSpan w:val="2"/>
            <w:vAlign w:val="top"/>
          </w:tcPr>
          <w:p w14:paraId="5998B0B7">
            <w:pPr>
              <w:rPr>
                <w:rFonts w:ascii="Arial"/>
                <w:color w:val="auto"/>
                <w:sz w:val="21"/>
                <w:highlight w:val="none"/>
              </w:rPr>
            </w:pPr>
          </w:p>
        </w:tc>
        <w:tc>
          <w:tcPr>
            <w:tcW w:w="1581" w:type="dxa"/>
            <w:vAlign w:val="top"/>
          </w:tcPr>
          <w:p w14:paraId="30380633">
            <w:pPr>
              <w:rPr>
                <w:rFonts w:ascii="Arial"/>
                <w:color w:val="auto"/>
                <w:sz w:val="21"/>
                <w:highlight w:val="none"/>
              </w:rPr>
            </w:pPr>
          </w:p>
        </w:tc>
        <w:tc>
          <w:tcPr>
            <w:tcW w:w="1582" w:type="dxa"/>
            <w:vAlign w:val="top"/>
          </w:tcPr>
          <w:p w14:paraId="687DFE2E">
            <w:pPr>
              <w:rPr>
                <w:rFonts w:ascii="Arial"/>
                <w:color w:val="auto"/>
                <w:sz w:val="21"/>
                <w:highlight w:val="none"/>
              </w:rPr>
            </w:pPr>
          </w:p>
        </w:tc>
        <w:tc>
          <w:tcPr>
            <w:tcW w:w="1060" w:type="dxa"/>
            <w:vAlign w:val="top"/>
          </w:tcPr>
          <w:p w14:paraId="56ABC8A0">
            <w:pPr>
              <w:rPr>
                <w:rFonts w:ascii="Arial"/>
                <w:color w:val="auto"/>
                <w:sz w:val="21"/>
                <w:highlight w:val="none"/>
              </w:rPr>
            </w:pPr>
          </w:p>
        </w:tc>
      </w:tr>
      <w:tr w14:paraId="298A3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84" w:type="dxa"/>
            <w:vMerge w:val="continue"/>
            <w:tcBorders>
              <w:top w:val="nil"/>
            </w:tcBorders>
            <w:vAlign w:val="top"/>
          </w:tcPr>
          <w:p w14:paraId="67C18FFD">
            <w:pPr>
              <w:rPr>
                <w:rFonts w:ascii="Arial"/>
                <w:color w:val="auto"/>
                <w:sz w:val="21"/>
                <w:highlight w:val="none"/>
              </w:rPr>
            </w:pPr>
          </w:p>
        </w:tc>
        <w:tc>
          <w:tcPr>
            <w:tcW w:w="1567" w:type="dxa"/>
            <w:vAlign w:val="top"/>
          </w:tcPr>
          <w:p w14:paraId="2F87EAFB">
            <w:pPr>
              <w:rPr>
                <w:rFonts w:ascii="Arial"/>
                <w:color w:val="auto"/>
                <w:sz w:val="21"/>
                <w:highlight w:val="none"/>
              </w:rPr>
            </w:pPr>
          </w:p>
        </w:tc>
        <w:tc>
          <w:tcPr>
            <w:tcW w:w="1582" w:type="dxa"/>
            <w:gridSpan w:val="2"/>
            <w:vAlign w:val="top"/>
          </w:tcPr>
          <w:p w14:paraId="67BC7A7A">
            <w:pPr>
              <w:rPr>
                <w:rFonts w:ascii="Arial"/>
                <w:color w:val="auto"/>
                <w:sz w:val="21"/>
                <w:highlight w:val="none"/>
              </w:rPr>
            </w:pPr>
          </w:p>
        </w:tc>
        <w:tc>
          <w:tcPr>
            <w:tcW w:w="1581" w:type="dxa"/>
            <w:vAlign w:val="top"/>
          </w:tcPr>
          <w:p w14:paraId="18AD2B68">
            <w:pPr>
              <w:rPr>
                <w:rFonts w:ascii="Arial"/>
                <w:color w:val="auto"/>
                <w:sz w:val="21"/>
                <w:highlight w:val="none"/>
              </w:rPr>
            </w:pPr>
          </w:p>
        </w:tc>
        <w:tc>
          <w:tcPr>
            <w:tcW w:w="1582" w:type="dxa"/>
            <w:vAlign w:val="top"/>
          </w:tcPr>
          <w:p w14:paraId="402EC220">
            <w:pPr>
              <w:rPr>
                <w:rFonts w:ascii="Arial"/>
                <w:color w:val="auto"/>
                <w:sz w:val="21"/>
                <w:highlight w:val="none"/>
              </w:rPr>
            </w:pPr>
          </w:p>
        </w:tc>
        <w:tc>
          <w:tcPr>
            <w:tcW w:w="1060" w:type="dxa"/>
            <w:vAlign w:val="top"/>
          </w:tcPr>
          <w:p w14:paraId="592EC074">
            <w:pPr>
              <w:rPr>
                <w:rFonts w:ascii="Arial"/>
                <w:color w:val="auto"/>
                <w:sz w:val="21"/>
                <w:highlight w:val="none"/>
              </w:rPr>
            </w:pPr>
          </w:p>
        </w:tc>
      </w:tr>
    </w:tbl>
    <w:p w14:paraId="7255909A">
      <w:pPr>
        <w:spacing w:before="51" w:line="273" w:lineRule="auto"/>
        <w:ind w:left="247" w:right="240"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注：上表格式仅供参考，可以自制。本工程一旦我单位中标，将配备上述项目负</w:t>
      </w:r>
      <w:r>
        <w:rPr>
          <w:rFonts w:ascii="宋体" w:hAnsi="宋体" w:eastAsia="宋体" w:cs="宋体"/>
          <w:color w:val="auto"/>
          <w:spacing w:val="8"/>
          <w:sz w:val="20"/>
          <w:szCs w:val="20"/>
          <w:highlight w:val="none"/>
        </w:rPr>
        <w:t>责人。上述</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填报内容真实，如不真实，将按照有关规定接受处理。</w:t>
      </w:r>
    </w:p>
    <w:p w14:paraId="4D506716">
      <w:pPr>
        <w:spacing w:before="31" w:line="227" w:lineRule="auto"/>
        <w:ind w:left="66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在本表后应附：</w:t>
      </w:r>
    </w:p>
    <w:p w14:paraId="2F9ACA93">
      <w:pPr>
        <w:spacing w:before="66" w:line="273" w:lineRule="auto"/>
        <w:ind w:left="248" w:right="240" w:firstLine="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项目负责人建造师执业资格证书、注册证书、安全生产考核合格证书、身份证、职称证、 学</w:t>
      </w:r>
      <w:r>
        <w:rPr>
          <w:rFonts w:ascii="宋体" w:hAnsi="宋体" w:eastAsia="宋体" w:cs="宋体"/>
          <w:color w:val="auto"/>
          <w:spacing w:val="10"/>
          <w:sz w:val="20"/>
          <w:szCs w:val="20"/>
          <w:highlight w:val="none"/>
        </w:rPr>
        <w:t>历证、劳动合同、近</w:t>
      </w:r>
      <w:r>
        <w:rPr>
          <w:rFonts w:ascii="宋体" w:hAnsi="宋体" w:eastAsia="宋体" w:cs="宋体"/>
          <w:color w:val="auto"/>
          <w:spacing w:val="-22"/>
          <w:sz w:val="20"/>
          <w:szCs w:val="20"/>
          <w:highlight w:val="none"/>
        </w:rPr>
        <w:t xml:space="preserve"> </w:t>
      </w:r>
      <w:r>
        <w:rPr>
          <w:rFonts w:ascii="宋体" w:hAnsi="宋体" w:eastAsia="宋体" w:cs="宋体"/>
          <w:color w:val="auto"/>
          <w:spacing w:val="10"/>
          <w:sz w:val="20"/>
          <w:szCs w:val="20"/>
          <w:highlight w:val="none"/>
        </w:rPr>
        <w:t>1</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个月社保证明复印件</w:t>
      </w:r>
      <w:r>
        <w:rPr>
          <w:rFonts w:ascii="宋体" w:hAnsi="宋体" w:eastAsia="宋体" w:cs="宋体"/>
          <w:color w:val="auto"/>
          <w:spacing w:val="36"/>
          <w:sz w:val="20"/>
          <w:szCs w:val="20"/>
          <w:highlight w:val="none"/>
        </w:rPr>
        <w:t xml:space="preserve"> </w:t>
      </w:r>
      <w:r>
        <w:rPr>
          <w:rFonts w:ascii="宋体" w:hAnsi="宋体" w:eastAsia="宋体" w:cs="宋体"/>
          <w:color w:val="auto"/>
          <w:spacing w:val="10"/>
          <w:sz w:val="20"/>
          <w:szCs w:val="20"/>
          <w:highlight w:val="none"/>
        </w:rPr>
        <w:t>，负责过的类似项</w:t>
      </w:r>
      <w:r>
        <w:rPr>
          <w:rFonts w:ascii="宋体" w:hAnsi="宋体" w:eastAsia="宋体" w:cs="宋体"/>
          <w:color w:val="auto"/>
          <w:spacing w:val="9"/>
          <w:sz w:val="20"/>
          <w:szCs w:val="20"/>
          <w:highlight w:val="none"/>
        </w:rPr>
        <w:t>目业绩须附中标通知书、合同协议书或竣工验收备案登记表复印件。类似项目限于以项目经理身份参与的项目，不</w:t>
      </w:r>
      <w:r>
        <w:rPr>
          <w:rFonts w:ascii="宋体" w:hAnsi="宋体" w:eastAsia="宋体" w:cs="宋体"/>
          <w:color w:val="auto"/>
          <w:spacing w:val="8"/>
          <w:sz w:val="20"/>
          <w:szCs w:val="20"/>
          <w:highlight w:val="none"/>
        </w:rPr>
        <w:t>得少于一项。</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以上复印件在投标文件均为加盖公章，必须完整、清晰可辨、有效；</w:t>
      </w:r>
    </w:p>
    <w:p w14:paraId="32E91DF7">
      <w:pPr>
        <w:spacing w:line="346" w:lineRule="auto"/>
        <w:rPr>
          <w:rFonts w:ascii="宋体" w:hAnsi="宋体" w:eastAsia="宋体" w:cs="宋体"/>
          <w:color w:val="auto"/>
          <w:sz w:val="20"/>
          <w:szCs w:val="20"/>
          <w:highlight w:val="none"/>
        </w:rPr>
        <w:sectPr>
          <w:footerReference r:id="rId45" w:type="default"/>
          <w:pgSz w:w="11906" w:h="16839"/>
          <w:pgMar w:top="1440" w:right="1800" w:bottom="1440" w:left="1800" w:header="0" w:footer="973" w:gutter="0"/>
          <w:pgNumType w:fmt="decimal"/>
          <w:cols w:space="720" w:num="1"/>
        </w:sectPr>
      </w:pPr>
    </w:p>
    <w:p w14:paraId="769F8F84">
      <w:pPr>
        <w:pStyle w:val="2"/>
        <w:spacing w:line="269" w:lineRule="auto"/>
        <w:rPr>
          <w:color w:val="auto"/>
          <w:highlight w:val="none"/>
        </w:rPr>
      </w:pPr>
    </w:p>
    <w:p w14:paraId="3763927B">
      <w:pPr>
        <w:pStyle w:val="2"/>
        <w:spacing w:line="270" w:lineRule="auto"/>
        <w:rPr>
          <w:color w:val="auto"/>
          <w:highlight w:val="none"/>
        </w:rPr>
      </w:pPr>
    </w:p>
    <w:p w14:paraId="3143088D">
      <w:pPr>
        <w:spacing w:before="100" w:line="225" w:lineRule="auto"/>
        <w:ind w:left="3524"/>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项目管理人员表</w:t>
      </w:r>
    </w:p>
    <w:p w14:paraId="39EFAB4E">
      <w:pPr>
        <w:spacing w:line="91" w:lineRule="exact"/>
        <w:rPr>
          <w:color w:val="auto"/>
          <w:highlight w:val="none"/>
        </w:rPr>
      </w:pPr>
    </w:p>
    <w:tbl>
      <w:tblPr>
        <w:tblStyle w:val="13"/>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1166"/>
        <w:gridCol w:w="1140"/>
        <w:gridCol w:w="1167"/>
        <w:gridCol w:w="1167"/>
        <w:gridCol w:w="1142"/>
        <w:gridCol w:w="1167"/>
        <w:gridCol w:w="1140"/>
      </w:tblGrid>
      <w:tr w14:paraId="6D6C8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1169" w:type="dxa"/>
            <w:vAlign w:val="top"/>
          </w:tcPr>
          <w:p w14:paraId="7976DEBA">
            <w:pPr>
              <w:spacing w:line="275" w:lineRule="auto"/>
              <w:rPr>
                <w:rFonts w:ascii="Arial"/>
                <w:color w:val="auto"/>
                <w:sz w:val="21"/>
                <w:highlight w:val="none"/>
              </w:rPr>
            </w:pPr>
          </w:p>
          <w:p w14:paraId="7820A097">
            <w:pPr>
              <w:pStyle w:val="14"/>
              <w:spacing w:before="78" w:line="219" w:lineRule="auto"/>
              <w:ind w:left="350"/>
              <w:rPr>
                <w:color w:val="auto"/>
                <w:highlight w:val="none"/>
              </w:rPr>
            </w:pPr>
            <w:r>
              <w:rPr>
                <w:color w:val="auto"/>
                <w:spacing w:val="-5"/>
                <w:highlight w:val="none"/>
              </w:rPr>
              <w:t>姓名</w:t>
            </w:r>
          </w:p>
        </w:tc>
        <w:tc>
          <w:tcPr>
            <w:tcW w:w="1166" w:type="dxa"/>
            <w:vAlign w:val="top"/>
          </w:tcPr>
          <w:p w14:paraId="46C671C3">
            <w:pPr>
              <w:pStyle w:val="14"/>
              <w:spacing w:before="199" w:line="230" w:lineRule="auto"/>
              <w:ind w:left="353" w:right="222" w:hanging="119"/>
              <w:rPr>
                <w:color w:val="auto"/>
                <w:highlight w:val="none"/>
              </w:rPr>
            </w:pPr>
            <w:r>
              <w:rPr>
                <w:color w:val="auto"/>
                <w:spacing w:val="-6"/>
                <w:highlight w:val="none"/>
              </w:rPr>
              <w:t>身份证</w:t>
            </w:r>
            <w:r>
              <w:rPr>
                <w:color w:val="auto"/>
                <w:spacing w:val="1"/>
                <w:highlight w:val="none"/>
              </w:rPr>
              <w:t xml:space="preserve"> </w:t>
            </w:r>
            <w:r>
              <w:rPr>
                <w:color w:val="auto"/>
                <w:spacing w:val="-8"/>
                <w:highlight w:val="none"/>
              </w:rPr>
              <w:t>号码</w:t>
            </w:r>
          </w:p>
        </w:tc>
        <w:tc>
          <w:tcPr>
            <w:tcW w:w="1140" w:type="dxa"/>
            <w:vAlign w:val="top"/>
          </w:tcPr>
          <w:p w14:paraId="1E1DE528">
            <w:pPr>
              <w:spacing w:line="274" w:lineRule="auto"/>
              <w:rPr>
                <w:rFonts w:ascii="Arial"/>
                <w:color w:val="auto"/>
                <w:sz w:val="21"/>
                <w:highlight w:val="none"/>
              </w:rPr>
            </w:pPr>
          </w:p>
          <w:p w14:paraId="6EA5DF52">
            <w:pPr>
              <w:pStyle w:val="14"/>
              <w:spacing w:before="78" w:line="220" w:lineRule="auto"/>
              <w:ind w:left="339"/>
              <w:rPr>
                <w:color w:val="auto"/>
                <w:highlight w:val="none"/>
              </w:rPr>
            </w:pPr>
            <w:r>
              <w:rPr>
                <w:color w:val="auto"/>
                <w:spacing w:val="-7"/>
                <w:highlight w:val="none"/>
              </w:rPr>
              <w:t>性别</w:t>
            </w:r>
          </w:p>
        </w:tc>
        <w:tc>
          <w:tcPr>
            <w:tcW w:w="1167" w:type="dxa"/>
            <w:vAlign w:val="top"/>
          </w:tcPr>
          <w:p w14:paraId="7ED2906E">
            <w:pPr>
              <w:spacing w:line="275" w:lineRule="auto"/>
              <w:rPr>
                <w:rFonts w:ascii="Arial"/>
                <w:color w:val="auto"/>
                <w:sz w:val="21"/>
                <w:highlight w:val="none"/>
              </w:rPr>
            </w:pPr>
          </w:p>
          <w:p w14:paraId="27D19E92">
            <w:pPr>
              <w:pStyle w:val="14"/>
              <w:spacing w:before="78" w:line="221" w:lineRule="auto"/>
              <w:ind w:left="351"/>
              <w:rPr>
                <w:color w:val="auto"/>
                <w:highlight w:val="none"/>
              </w:rPr>
            </w:pPr>
            <w:r>
              <w:rPr>
                <w:color w:val="auto"/>
                <w:spacing w:val="-6"/>
                <w:highlight w:val="none"/>
              </w:rPr>
              <w:t>职称</w:t>
            </w:r>
          </w:p>
        </w:tc>
        <w:tc>
          <w:tcPr>
            <w:tcW w:w="1167" w:type="dxa"/>
            <w:vAlign w:val="top"/>
          </w:tcPr>
          <w:p w14:paraId="3318B049">
            <w:pPr>
              <w:spacing w:line="274" w:lineRule="auto"/>
              <w:rPr>
                <w:rFonts w:ascii="Arial"/>
                <w:color w:val="auto"/>
                <w:sz w:val="21"/>
                <w:highlight w:val="none"/>
              </w:rPr>
            </w:pPr>
          </w:p>
          <w:p w14:paraId="11556DFE">
            <w:pPr>
              <w:pStyle w:val="14"/>
              <w:spacing w:before="78" w:line="221" w:lineRule="auto"/>
              <w:ind w:left="355"/>
              <w:rPr>
                <w:color w:val="auto"/>
                <w:highlight w:val="none"/>
              </w:rPr>
            </w:pPr>
            <w:r>
              <w:rPr>
                <w:color w:val="auto"/>
                <w:spacing w:val="-8"/>
                <w:highlight w:val="none"/>
              </w:rPr>
              <w:t>学历</w:t>
            </w:r>
          </w:p>
        </w:tc>
        <w:tc>
          <w:tcPr>
            <w:tcW w:w="1142" w:type="dxa"/>
            <w:vAlign w:val="top"/>
          </w:tcPr>
          <w:p w14:paraId="19E38F51">
            <w:pPr>
              <w:spacing w:line="274" w:lineRule="auto"/>
              <w:rPr>
                <w:rFonts w:ascii="Arial"/>
                <w:color w:val="auto"/>
                <w:sz w:val="21"/>
                <w:highlight w:val="none"/>
              </w:rPr>
            </w:pPr>
          </w:p>
          <w:p w14:paraId="49949272">
            <w:pPr>
              <w:pStyle w:val="14"/>
              <w:spacing w:before="78" w:line="220" w:lineRule="auto"/>
              <w:ind w:left="341"/>
              <w:rPr>
                <w:color w:val="auto"/>
                <w:highlight w:val="none"/>
              </w:rPr>
            </w:pPr>
            <w:r>
              <w:rPr>
                <w:color w:val="auto"/>
                <w:spacing w:val="-6"/>
                <w:highlight w:val="none"/>
              </w:rPr>
              <w:t>专业</w:t>
            </w:r>
          </w:p>
        </w:tc>
        <w:tc>
          <w:tcPr>
            <w:tcW w:w="1167" w:type="dxa"/>
            <w:vAlign w:val="top"/>
          </w:tcPr>
          <w:p w14:paraId="4BA173AC">
            <w:pPr>
              <w:pStyle w:val="14"/>
              <w:spacing w:before="43" w:line="228" w:lineRule="auto"/>
              <w:ind w:left="277" w:right="218" w:hanging="42"/>
              <w:jc w:val="both"/>
              <w:rPr>
                <w:color w:val="auto"/>
                <w:highlight w:val="none"/>
              </w:rPr>
            </w:pPr>
            <w:r>
              <w:rPr>
                <w:color w:val="auto"/>
                <w:spacing w:val="-5"/>
                <w:highlight w:val="none"/>
              </w:rPr>
              <w:t>从事项</w:t>
            </w:r>
            <w:r>
              <w:rPr>
                <w:color w:val="auto"/>
                <w:spacing w:val="1"/>
                <w:highlight w:val="none"/>
              </w:rPr>
              <w:t xml:space="preserve"> </w:t>
            </w:r>
            <w:r>
              <w:rPr>
                <w:color w:val="auto"/>
                <w:spacing w:val="-19"/>
                <w:highlight w:val="none"/>
              </w:rPr>
              <w:t>目管理</w:t>
            </w:r>
            <w:r>
              <w:rPr>
                <w:color w:val="auto"/>
                <w:highlight w:val="none"/>
              </w:rPr>
              <w:t xml:space="preserve"> </w:t>
            </w:r>
            <w:r>
              <w:rPr>
                <w:color w:val="auto"/>
                <w:spacing w:val="32"/>
                <w:highlight w:val="none"/>
              </w:rPr>
              <w:t>年限</w:t>
            </w:r>
          </w:p>
        </w:tc>
        <w:tc>
          <w:tcPr>
            <w:tcW w:w="1140" w:type="dxa"/>
            <w:vAlign w:val="top"/>
          </w:tcPr>
          <w:p w14:paraId="2204612B">
            <w:pPr>
              <w:spacing w:line="274" w:lineRule="auto"/>
              <w:rPr>
                <w:rFonts w:ascii="Arial"/>
                <w:color w:val="auto"/>
                <w:sz w:val="21"/>
                <w:highlight w:val="none"/>
              </w:rPr>
            </w:pPr>
          </w:p>
          <w:p w14:paraId="123ABBA1">
            <w:pPr>
              <w:pStyle w:val="14"/>
              <w:spacing w:before="78" w:line="221" w:lineRule="auto"/>
              <w:ind w:left="340"/>
              <w:rPr>
                <w:color w:val="auto"/>
                <w:highlight w:val="none"/>
              </w:rPr>
            </w:pPr>
            <w:r>
              <w:rPr>
                <w:color w:val="auto"/>
                <w:spacing w:val="-7"/>
                <w:highlight w:val="none"/>
              </w:rPr>
              <w:t>备注</w:t>
            </w:r>
          </w:p>
        </w:tc>
      </w:tr>
      <w:tr w14:paraId="33FD5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9" w:hRule="atLeast"/>
        </w:trPr>
        <w:tc>
          <w:tcPr>
            <w:tcW w:w="1169" w:type="dxa"/>
            <w:vAlign w:val="top"/>
          </w:tcPr>
          <w:p w14:paraId="002A1EAB">
            <w:pPr>
              <w:rPr>
                <w:rFonts w:ascii="Arial"/>
                <w:color w:val="auto"/>
                <w:sz w:val="21"/>
                <w:highlight w:val="none"/>
              </w:rPr>
            </w:pPr>
          </w:p>
        </w:tc>
        <w:tc>
          <w:tcPr>
            <w:tcW w:w="1166" w:type="dxa"/>
            <w:vAlign w:val="top"/>
          </w:tcPr>
          <w:p w14:paraId="780E589A">
            <w:pPr>
              <w:rPr>
                <w:rFonts w:ascii="Arial"/>
                <w:color w:val="auto"/>
                <w:sz w:val="21"/>
                <w:highlight w:val="none"/>
              </w:rPr>
            </w:pPr>
          </w:p>
        </w:tc>
        <w:tc>
          <w:tcPr>
            <w:tcW w:w="1140" w:type="dxa"/>
            <w:vAlign w:val="top"/>
          </w:tcPr>
          <w:p w14:paraId="481A5435">
            <w:pPr>
              <w:rPr>
                <w:rFonts w:ascii="Arial"/>
                <w:color w:val="auto"/>
                <w:sz w:val="21"/>
                <w:highlight w:val="none"/>
              </w:rPr>
            </w:pPr>
          </w:p>
        </w:tc>
        <w:tc>
          <w:tcPr>
            <w:tcW w:w="1167" w:type="dxa"/>
            <w:vAlign w:val="top"/>
          </w:tcPr>
          <w:p w14:paraId="2337901B">
            <w:pPr>
              <w:rPr>
                <w:rFonts w:ascii="Arial"/>
                <w:color w:val="auto"/>
                <w:sz w:val="21"/>
                <w:highlight w:val="none"/>
              </w:rPr>
            </w:pPr>
          </w:p>
        </w:tc>
        <w:tc>
          <w:tcPr>
            <w:tcW w:w="1167" w:type="dxa"/>
            <w:vAlign w:val="top"/>
          </w:tcPr>
          <w:p w14:paraId="23AF7BD2">
            <w:pPr>
              <w:rPr>
                <w:rFonts w:ascii="Arial"/>
                <w:color w:val="auto"/>
                <w:sz w:val="21"/>
                <w:highlight w:val="none"/>
              </w:rPr>
            </w:pPr>
          </w:p>
        </w:tc>
        <w:tc>
          <w:tcPr>
            <w:tcW w:w="1142" w:type="dxa"/>
            <w:vAlign w:val="top"/>
          </w:tcPr>
          <w:p w14:paraId="631266F9">
            <w:pPr>
              <w:rPr>
                <w:rFonts w:ascii="Arial"/>
                <w:color w:val="auto"/>
                <w:sz w:val="21"/>
                <w:highlight w:val="none"/>
              </w:rPr>
            </w:pPr>
          </w:p>
        </w:tc>
        <w:tc>
          <w:tcPr>
            <w:tcW w:w="1167" w:type="dxa"/>
            <w:vAlign w:val="top"/>
          </w:tcPr>
          <w:p w14:paraId="524DB74B">
            <w:pPr>
              <w:rPr>
                <w:rFonts w:ascii="Arial"/>
                <w:color w:val="auto"/>
                <w:sz w:val="21"/>
                <w:highlight w:val="none"/>
              </w:rPr>
            </w:pPr>
          </w:p>
        </w:tc>
        <w:tc>
          <w:tcPr>
            <w:tcW w:w="1140" w:type="dxa"/>
            <w:vAlign w:val="top"/>
          </w:tcPr>
          <w:p w14:paraId="7F7918D2">
            <w:pPr>
              <w:rPr>
                <w:rFonts w:ascii="Arial"/>
                <w:color w:val="auto"/>
                <w:sz w:val="21"/>
                <w:highlight w:val="none"/>
              </w:rPr>
            </w:pPr>
          </w:p>
        </w:tc>
      </w:tr>
      <w:tr w14:paraId="7A8B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1169" w:type="dxa"/>
            <w:vAlign w:val="top"/>
          </w:tcPr>
          <w:p w14:paraId="220DC34A">
            <w:pPr>
              <w:rPr>
                <w:rFonts w:ascii="Arial"/>
                <w:color w:val="auto"/>
                <w:sz w:val="21"/>
                <w:highlight w:val="none"/>
              </w:rPr>
            </w:pPr>
          </w:p>
        </w:tc>
        <w:tc>
          <w:tcPr>
            <w:tcW w:w="1166" w:type="dxa"/>
            <w:vAlign w:val="top"/>
          </w:tcPr>
          <w:p w14:paraId="04FF4EB1">
            <w:pPr>
              <w:rPr>
                <w:rFonts w:ascii="Arial"/>
                <w:color w:val="auto"/>
                <w:sz w:val="21"/>
                <w:highlight w:val="none"/>
              </w:rPr>
            </w:pPr>
          </w:p>
        </w:tc>
        <w:tc>
          <w:tcPr>
            <w:tcW w:w="1140" w:type="dxa"/>
            <w:vAlign w:val="top"/>
          </w:tcPr>
          <w:p w14:paraId="46DFAF4D">
            <w:pPr>
              <w:rPr>
                <w:rFonts w:ascii="Arial"/>
                <w:color w:val="auto"/>
                <w:sz w:val="21"/>
                <w:highlight w:val="none"/>
              </w:rPr>
            </w:pPr>
          </w:p>
        </w:tc>
        <w:tc>
          <w:tcPr>
            <w:tcW w:w="1167" w:type="dxa"/>
            <w:vAlign w:val="top"/>
          </w:tcPr>
          <w:p w14:paraId="5199322C">
            <w:pPr>
              <w:rPr>
                <w:rFonts w:ascii="Arial"/>
                <w:color w:val="auto"/>
                <w:sz w:val="21"/>
                <w:highlight w:val="none"/>
              </w:rPr>
            </w:pPr>
          </w:p>
        </w:tc>
        <w:tc>
          <w:tcPr>
            <w:tcW w:w="1167" w:type="dxa"/>
            <w:vAlign w:val="top"/>
          </w:tcPr>
          <w:p w14:paraId="6F4A2EC2">
            <w:pPr>
              <w:rPr>
                <w:rFonts w:ascii="Arial"/>
                <w:color w:val="auto"/>
                <w:sz w:val="21"/>
                <w:highlight w:val="none"/>
              </w:rPr>
            </w:pPr>
          </w:p>
        </w:tc>
        <w:tc>
          <w:tcPr>
            <w:tcW w:w="1142" w:type="dxa"/>
            <w:vAlign w:val="top"/>
          </w:tcPr>
          <w:p w14:paraId="201C3808">
            <w:pPr>
              <w:rPr>
                <w:rFonts w:ascii="Arial"/>
                <w:color w:val="auto"/>
                <w:sz w:val="21"/>
                <w:highlight w:val="none"/>
              </w:rPr>
            </w:pPr>
          </w:p>
        </w:tc>
        <w:tc>
          <w:tcPr>
            <w:tcW w:w="1167" w:type="dxa"/>
            <w:vAlign w:val="top"/>
          </w:tcPr>
          <w:p w14:paraId="379206FE">
            <w:pPr>
              <w:rPr>
                <w:rFonts w:ascii="Arial"/>
                <w:color w:val="auto"/>
                <w:sz w:val="21"/>
                <w:highlight w:val="none"/>
              </w:rPr>
            </w:pPr>
          </w:p>
        </w:tc>
        <w:tc>
          <w:tcPr>
            <w:tcW w:w="1140" w:type="dxa"/>
            <w:vAlign w:val="top"/>
          </w:tcPr>
          <w:p w14:paraId="2051DE7E">
            <w:pPr>
              <w:rPr>
                <w:rFonts w:ascii="Arial"/>
                <w:color w:val="auto"/>
                <w:sz w:val="21"/>
                <w:highlight w:val="none"/>
              </w:rPr>
            </w:pPr>
          </w:p>
        </w:tc>
      </w:tr>
    </w:tbl>
    <w:p w14:paraId="18C70A90">
      <w:pPr>
        <w:spacing w:before="52" w:line="258" w:lineRule="auto"/>
        <w:ind w:left="254" w:right="239" w:firstLine="427"/>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1、项目管理人员应包括：技术负责人、质量员、安全员、材料员、施工员、预算员、资料</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员等需要配备的其他关键人员。</w:t>
      </w:r>
    </w:p>
    <w:p w14:paraId="1F945120">
      <w:pPr>
        <w:spacing w:before="66" w:line="257" w:lineRule="auto"/>
        <w:ind w:left="267" w:right="238" w:firstLine="40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2、上述人员应附身份证、上岗证或职称证书或注册证书复</w:t>
      </w:r>
      <w:r>
        <w:rPr>
          <w:rFonts w:ascii="宋体" w:hAnsi="宋体" w:eastAsia="宋体" w:cs="宋体"/>
          <w:color w:val="auto"/>
          <w:spacing w:val="8"/>
          <w:sz w:val="20"/>
          <w:szCs w:val="20"/>
          <w:highlight w:val="none"/>
        </w:rPr>
        <w:t>印件、职称证、 学历证、劳动合同、近</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1</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个月社保证明复印件，专职安全生产管理人员应附安全生产</w:t>
      </w:r>
      <w:r>
        <w:rPr>
          <w:rFonts w:ascii="宋体" w:hAnsi="宋体" w:eastAsia="宋体" w:cs="宋体"/>
          <w:color w:val="auto"/>
          <w:spacing w:val="7"/>
          <w:sz w:val="20"/>
          <w:szCs w:val="20"/>
          <w:highlight w:val="none"/>
        </w:rPr>
        <w:t>考核合格证书。</w:t>
      </w:r>
    </w:p>
    <w:p w14:paraId="58E54D4D">
      <w:pPr>
        <w:spacing w:before="143" w:line="227" w:lineRule="auto"/>
        <w:ind w:left="24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注:以上复印件在投标文件中均为加盖公章，必须完整、清晰可辨、有效；</w:t>
      </w:r>
    </w:p>
    <w:p w14:paraId="38B2A875">
      <w:pPr>
        <w:spacing w:line="227" w:lineRule="auto"/>
        <w:rPr>
          <w:rFonts w:ascii="宋体" w:hAnsi="宋体" w:eastAsia="宋体" w:cs="宋体"/>
          <w:color w:val="auto"/>
          <w:sz w:val="20"/>
          <w:szCs w:val="20"/>
          <w:highlight w:val="none"/>
        </w:rPr>
        <w:sectPr>
          <w:footerReference r:id="rId46" w:type="default"/>
          <w:pgSz w:w="11906" w:h="16839"/>
          <w:pgMar w:top="1440" w:right="1800" w:bottom="1440" w:left="1800" w:header="0" w:footer="973" w:gutter="0"/>
          <w:pgNumType w:fmt="decimal"/>
          <w:cols w:space="720" w:num="1"/>
        </w:sectPr>
      </w:pPr>
    </w:p>
    <w:p w14:paraId="6CA1853C">
      <w:pPr>
        <w:pStyle w:val="2"/>
        <w:spacing w:line="269" w:lineRule="auto"/>
        <w:rPr>
          <w:color w:val="auto"/>
          <w:highlight w:val="none"/>
        </w:rPr>
      </w:pPr>
    </w:p>
    <w:p w14:paraId="401A347E">
      <w:pPr>
        <w:pStyle w:val="2"/>
        <w:spacing w:line="270" w:lineRule="auto"/>
        <w:rPr>
          <w:color w:val="auto"/>
          <w:highlight w:val="none"/>
        </w:rPr>
      </w:pPr>
    </w:p>
    <w:p w14:paraId="1ACE47DC">
      <w:pPr>
        <w:spacing w:before="100" w:line="225" w:lineRule="auto"/>
        <w:ind w:left="2591"/>
        <w:outlineLvl w:val="2"/>
        <w:rPr>
          <w:rFonts w:ascii="宋体" w:hAnsi="宋体" w:eastAsia="宋体" w:cs="宋体"/>
          <w:color w:val="auto"/>
          <w:sz w:val="31"/>
          <w:szCs w:val="31"/>
          <w:highlight w:val="none"/>
        </w:rPr>
      </w:pPr>
      <w:bookmarkStart w:id="33" w:name="bookmark16"/>
      <w:bookmarkEnd w:id="33"/>
      <w:bookmarkStart w:id="34" w:name="_Toc28911"/>
      <w:r>
        <w:rPr>
          <w:rFonts w:ascii="宋体" w:hAnsi="宋体" w:eastAsia="宋体" w:cs="宋体"/>
          <w:b/>
          <w:bCs/>
          <w:color w:val="auto"/>
          <w:spacing w:val="6"/>
          <w:sz w:val="31"/>
          <w:szCs w:val="31"/>
          <w:highlight w:val="none"/>
        </w:rPr>
        <w:t>合同、商务条款偏离说明表</w:t>
      </w:r>
      <w:bookmarkEnd w:id="34"/>
    </w:p>
    <w:p w14:paraId="6AEA89EE">
      <w:pPr>
        <w:spacing w:line="91" w:lineRule="exact"/>
        <w:rPr>
          <w:color w:val="auto"/>
          <w:highlight w:val="none"/>
        </w:rPr>
      </w:pPr>
    </w:p>
    <w:tbl>
      <w:tblPr>
        <w:tblStyle w:val="13"/>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2710"/>
        <w:gridCol w:w="2587"/>
        <w:gridCol w:w="2705"/>
      </w:tblGrid>
      <w:tr w14:paraId="580FB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30" w:type="dxa"/>
            <w:textDirection w:val="tbRlV"/>
            <w:vAlign w:val="top"/>
          </w:tcPr>
          <w:p w14:paraId="05F4EBB9">
            <w:pPr>
              <w:pStyle w:val="14"/>
              <w:spacing w:before="176" w:line="210" w:lineRule="auto"/>
              <w:ind w:left="119"/>
              <w:rPr>
                <w:color w:val="auto"/>
                <w:highlight w:val="none"/>
              </w:rPr>
            </w:pPr>
            <w:r>
              <w:rPr>
                <w:color w:val="auto"/>
                <w:spacing w:val="-1"/>
                <w:highlight w:val="none"/>
              </w:rPr>
              <w:t>序</w:t>
            </w:r>
            <w:r>
              <w:rPr>
                <w:color w:val="auto"/>
                <w:spacing w:val="109"/>
                <w:highlight w:val="none"/>
              </w:rPr>
              <w:t xml:space="preserve"> </w:t>
            </w:r>
            <w:r>
              <w:rPr>
                <w:color w:val="auto"/>
                <w:spacing w:val="-1"/>
                <w:highlight w:val="none"/>
              </w:rPr>
              <w:t>号</w:t>
            </w:r>
          </w:p>
        </w:tc>
        <w:tc>
          <w:tcPr>
            <w:tcW w:w="2710" w:type="dxa"/>
            <w:vAlign w:val="top"/>
          </w:tcPr>
          <w:p w14:paraId="6FA2F656">
            <w:pPr>
              <w:spacing w:line="275" w:lineRule="auto"/>
              <w:rPr>
                <w:rFonts w:ascii="Arial"/>
                <w:color w:val="auto"/>
                <w:sz w:val="21"/>
                <w:highlight w:val="none"/>
              </w:rPr>
            </w:pPr>
          </w:p>
          <w:p w14:paraId="56316CED">
            <w:pPr>
              <w:pStyle w:val="14"/>
              <w:spacing w:before="78" w:line="219" w:lineRule="auto"/>
              <w:ind w:left="397"/>
              <w:rPr>
                <w:color w:val="auto"/>
                <w:highlight w:val="none"/>
              </w:rPr>
            </w:pPr>
            <w:r>
              <w:rPr>
                <w:color w:val="auto"/>
                <w:spacing w:val="-2"/>
                <w:highlight w:val="none"/>
              </w:rPr>
              <w:t>磋商文件要求部分</w:t>
            </w:r>
          </w:p>
        </w:tc>
        <w:tc>
          <w:tcPr>
            <w:tcW w:w="2587" w:type="dxa"/>
            <w:vAlign w:val="top"/>
          </w:tcPr>
          <w:p w14:paraId="3DD146BB">
            <w:pPr>
              <w:pStyle w:val="14"/>
              <w:spacing w:before="118" w:line="314" w:lineRule="auto"/>
              <w:ind w:left="832" w:right="810" w:hanging="9"/>
              <w:rPr>
                <w:color w:val="auto"/>
                <w:highlight w:val="none"/>
              </w:rPr>
            </w:pPr>
            <w:r>
              <w:rPr>
                <w:color w:val="auto"/>
                <w:spacing w:val="-4"/>
                <w:highlight w:val="none"/>
              </w:rPr>
              <w:t>投标服务</w:t>
            </w:r>
            <w:r>
              <w:rPr>
                <w:color w:val="auto"/>
                <w:spacing w:val="2"/>
                <w:highlight w:val="none"/>
              </w:rPr>
              <w:t xml:space="preserve"> </w:t>
            </w:r>
            <w:r>
              <w:rPr>
                <w:color w:val="auto"/>
                <w:spacing w:val="-6"/>
                <w:highlight w:val="none"/>
              </w:rPr>
              <w:t>响应部分</w:t>
            </w:r>
          </w:p>
        </w:tc>
        <w:tc>
          <w:tcPr>
            <w:tcW w:w="2705" w:type="dxa"/>
            <w:vAlign w:val="top"/>
          </w:tcPr>
          <w:p w14:paraId="255DFFBB">
            <w:pPr>
              <w:spacing w:line="275" w:lineRule="auto"/>
              <w:rPr>
                <w:rFonts w:ascii="Arial"/>
                <w:color w:val="auto"/>
                <w:sz w:val="21"/>
                <w:highlight w:val="none"/>
              </w:rPr>
            </w:pPr>
          </w:p>
          <w:p w14:paraId="1958A7D6">
            <w:pPr>
              <w:pStyle w:val="14"/>
              <w:spacing w:before="78" w:line="219" w:lineRule="auto"/>
              <w:ind w:left="878"/>
              <w:rPr>
                <w:color w:val="auto"/>
                <w:highlight w:val="none"/>
              </w:rPr>
            </w:pPr>
            <w:r>
              <w:rPr>
                <w:color w:val="auto"/>
                <w:spacing w:val="-3"/>
                <w:highlight w:val="none"/>
              </w:rPr>
              <w:t>偏离说明</w:t>
            </w:r>
          </w:p>
        </w:tc>
      </w:tr>
      <w:tr w14:paraId="4480B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57EAD31A">
            <w:pPr>
              <w:pStyle w:val="14"/>
              <w:spacing w:before="295" w:line="184" w:lineRule="auto"/>
              <w:ind w:left="135"/>
              <w:rPr>
                <w:color w:val="auto"/>
                <w:highlight w:val="none"/>
              </w:rPr>
            </w:pPr>
            <w:r>
              <w:rPr>
                <w:color w:val="auto"/>
                <w:highlight w:val="none"/>
              </w:rPr>
              <w:t>1</w:t>
            </w:r>
          </w:p>
        </w:tc>
        <w:tc>
          <w:tcPr>
            <w:tcW w:w="2710" w:type="dxa"/>
            <w:vAlign w:val="top"/>
          </w:tcPr>
          <w:p w14:paraId="5C98C331">
            <w:pPr>
              <w:rPr>
                <w:rFonts w:ascii="Arial"/>
                <w:color w:val="auto"/>
                <w:sz w:val="21"/>
                <w:highlight w:val="none"/>
              </w:rPr>
            </w:pPr>
          </w:p>
        </w:tc>
        <w:tc>
          <w:tcPr>
            <w:tcW w:w="2587" w:type="dxa"/>
            <w:vAlign w:val="top"/>
          </w:tcPr>
          <w:p w14:paraId="069C859A">
            <w:pPr>
              <w:rPr>
                <w:rFonts w:ascii="Arial"/>
                <w:color w:val="auto"/>
                <w:sz w:val="21"/>
                <w:highlight w:val="none"/>
              </w:rPr>
            </w:pPr>
          </w:p>
        </w:tc>
        <w:tc>
          <w:tcPr>
            <w:tcW w:w="2705" w:type="dxa"/>
            <w:vAlign w:val="top"/>
          </w:tcPr>
          <w:p w14:paraId="72C074A3">
            <w:pPr>
              <w:rPr>
                <w:rFonts w:ascii="Arial"/>
                <w:color w:val="auto"/>
                <w:sz w:val="21"/>
                <w:highlight w:val="none"/>
              </w:rPr>
            </w:pPr>
          </w:p>
        </w:tc>
      </w:tr>
      <w:tr w14:paraId="774E7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1C126B51">
            <w:pPr>
              <w:pStyle w:val="14"/>
              <w:spacing w:before="296" w:line="183" w:lineRule="auto"/>
              <w:ind w:left="120"/>
              <w:rPr>
                <w:color w:val="auto"/>
                <w:highlight w:val="none"/>
              </w:rPr>
            </w:pPr>
            <w:r>
              <w:rPr>
                <w:color w:val="auto"/>
                <w:highlight w:val="none"/>
              </w:rPr>
              <w:t>2</w:t>
            </w:r>
          </w:p>
        </w:tc>
        <w:tc>
          <w:tcPr>
            <w:tcW w:w="2710" w:type="dxa"/>
            <w:vAlign w:val="top"/>
          </w:tcPr>
          <w:p w14:paraId="01EF2CA2">
            <w:pPr>
              <w:rPr>
                <w:rFonts w:ascii="Arial"/>
                <w:color w:val="auto"/>
                <w:sz w:val="21"/>
                <w:highlight w:val="none"/>
              </w:rPr>
            </w:pPr>
          </w:p>
        </w:tc>
        <w:tc>
          <w:tcPr>
            <w:tcW w:w="2587" w:type="dxa"/>
            <w:vAlign w:val="top"/>
          </w:tcPr>
          <w:p w14:paraId="65A52A1A">
            <w:pPr>
              <w:rPr>
                <w:rFonts w:ascii="Arial"/>
                <w:color w:val="auto"/>
                <w:sz w:val="21"/>
                <w:highlight w:val="none"/>
              </w:rPr>
            </w:pPr>
          </w:p>
        </w:tc>
        <w:tc>
          <w:tcPr>
            <w:tcW w:w="2705" w:type="dxa"/>
            <w:vAlign w:val="top"/>
          </w:tcPr>
          <w:p w14:paraId="3CF82BA4">
            <w:pPr>
              <w:rPr>
                <w:rFonts w:ascii="Arial"/>
                <w:color w:val="auto"/>
                <w:sz w:val="21"/>
                <w:highlight w:val="none"/>
              </w:rPr>
            </w:pPr>
          </w:p>
        </w:tc>
      </w:tr>
      <w:tr w14:paraId="26B68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597681DB">
            <w:pPr>
              <w:pStyle w:val="14"/>
              <w:spacing w:before="298" w:line="183" w:lineRule="auto"/>
              <w:ind w:left="122"/>
              <w:rPr>
                <w:color w:val="auto"/>
                <w:highlight w:val="none"/>
              </w:rPr>
            </w:pPr>
            <w:r>
              <w:rPr>
                <w:color w:val="auto"/>
                <w:highlight w:val="none"/>
              </w:rPr>
              <w:t>3</w:t>
            </w:r>
          </w:p>
        </w:tc>
        <w:tc>
          <w:tcPr>
            <w:tcW w:w="2710" w:type="dxa"/>
            <w:vAlign w:val="top"/>
          </w:tcPr>
          <w:p w14:paraId="0FDB8ED8">
            <w:pPr>
              <w:rPr>
                <w:rFonts w:ascii="Arial"/>
                <w:color w:val="auto"/>
                <w:sz w:val="21"/>
                <w:highlight w:val="none"/>
              </w:rPr>
            </w:pPr>
          </w:p>
        </w:tc>
        <w:tc>
          <w:tcPr>
            <w:tcW w:w="2587" w:type="dxa"/>
            <w:vAlign w:val="top"/>
          </w:tcPr>
          <w:p w14:paraId="7EA43241">
            <w:pPr>
              <w:rPr>
                <w:rFonts w:ascii="Arial"/>
                <w:color w:val="auto"/>
                <w:sz w:val="21"/>
                <w:highlight w:val="none"/>
              </w:rPr>
            </w:pPr>
          </w:p>
        </w:tc>
        <w:tc>
          <w:tcPr>
            <w:tcW w:w="2705" w:type="dxa"/>
            <w:vAlign w:val="top"/>
          </w:tcPr>
          <w:p w14:paraId="1D6002A8">
            <w:pPr>
              <w:rPr>
                <w:rFonts w:ascii="Arial"/>
                <w:color w:val="auto"/>
                <w:sz w:val="21"/>
                <w:highlight w:val="none"/>
              </w:rPr>
            </w:pPr>
          </w:p>
        </w:tc>
      </w:tr>
      <w:tr w14:paraId="14A8D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27255F78">
            <w:pPr>
              <w:pStyle w:val="14"/>
              <w:spacing w:before="298" w:line="183" w:lineRule="auto"/>
              <w:ind w:left="116"/>
              <w:rPr>
                <w:color w:val="auto"/>
                <w:highlight w:val="none"/>
              </w:rPr>
            </w:pPr>
            <w:r>
              <w:rPr>
                <w:color w:val="auto"/>
                <w:highlight w:val="none"/>
              </w:rPr>
              <w:t>4</w:t>
            </w:r>
          </w:p>
        </w:tc>
        <w:tc>
          <w:tcPr>
            <w:tcW w:w="2710" w:type="dxa"/>
            <w:vAlign w:val="top"/>
          </w:tcPr>
          <w:p w14:paraId="3082B7F7">
            <w:pPr>
              <w:rPr>
                <w:rFonts w:ascii="Arial"/>
                <w:color w:val="auto"/>
                <w:sz w:val="21"/>
                <w:highlight w:val="none"/>
              </w:rPr>
            </w:pPr>
          </w:p>
        </w:tc>
        <w:tc>
          <w:tcPr>
            <w:tcW w:w="2587" w:type="dxa"/>
            <w:vAlign w:val="top"/>
          </w:tcPr>
          <w:p w14:paraId="5834EE51">
            <w:pPr>
              <w:rPr>
                <w:rFonts w:ascii="Arial"/>
                <w:color w:val="auto"/>
                <w:sz w:val="21"/>
                <w:highlight w:val="none"/>
              </w:rPr>
            </w:pPr>
          </w:p>
        </w:tc>
        <w:tc>
          <w:tcPr>
            <w:tcW w:w="2705" w:type="dxa"/>
            <w:vAlign w:val="top"/>
          </w:tcPr>
          <w:p w14:paraId="765ED87C">
            <w:pPr>
              <w:rPr>
                <w:rFonts w:ascii="Arial"/>
                <w:color w:val="auto"/>
                <w:sz w:val="21"/>
                <w:highlight w:val="none"/>
              </w:rPr>
            </w:pPr>
          </w:p>
        </w:tc>
      </w:tr>
      <w:tr w14:paraId="06590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677BB760">
            <w:pPr>
              <w:pStyle w:val="14"/>
              <w:spacing w:before="301" w:line="182" w:lineRule="auto"/>
              <w:ind w:left="122"/>
              <w:rPr>
                <w:color w:val="auto"/>
                <w:highlight w:val="none"/>
              </w:rPr>
            </w:pPr>
            <w:r>
              <w:rPr>
                <w:color w:val="auto"/>
                <w:highlight w:val="none"/>
              </w:rPr>
              <w:t>5</w:t>
            </w:r>
          </w:p>
        </w:tc>
        <w:tc>
          <w:tcPr>
            <w:tcW w:w="2710" w:type="dxa"/>
            <w:vAlign w:val="top"/>
          </w:tcPr>
          <w:p w14:paraId="4E46C6B5">
            <w:pPr>
              <w:rPr>
                <w:rFonts w:ascii="Arial"/>
                <w:color w:val="auto"/>
                <w:sz w:val="21"/>
                <w:highlight w:val="none"/>
              </w:rPr>
            </w:pPr>
          </w:p>
        </w:tc>
        <w:tc>
          <w:tcPr>
            <w:tcW w:w="2587" w:type="dxa"/>
            <w:vAlign w:val="top"/>
          </w:tcPr>
          <w:p w14:paraId="761C40DA">
            <w:pPr>
              <w:rPr>
                <w:rFonts w:ascii="Arial"/>
                <w:color w:val="auto"/>
                <w:sz w:val="21"/>
                <w:highlight w:val="none"/>
              </w:rPr>
            </w:pPr>
          </w:p>
        </w:tc>
        <w:tc>
          <w:tcPr>
            <w:tcW w:w="2705" w:type="dxa"/>
            <w:vAlign w:val="top"/>
          </w:tcPr>
          <w:p w14:paraId="1E8C584B">
            <w:pPr>
              <w:rPr>
                <w:rFonts w:ascii="Arial"/>
                <w:color w:val="auto"/>
                <w:sz w:val="21"/>
                <w:highlight w:val="none"/>
              </w:rPr>
            </w:pPr>
          </w:p>
        </w:tc>
      </w:tr>
      <w:tr w14:paraId="0DD6B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530" w:type="dxa"/>
            <w:vAlign w:val="top"/>
          </w:tcPr>
          <w:p w14:paraId="662090B6">
            <w:pPr>
              <w:pStyle w:val="14"/>
              <w:spacing w:before="298" w:line="183" w:lineRule="auto"/>
              <w:ind w:left="119"/>
              <w:rPr>
                <w:color w:val="auto"/>
                <w:highlight w:val="none"/>
              </w:rPr>
            </w:pPr>
            <w:r>
              <w:rPr>
                <w:color w:val="auto"/>
                <w:highlight w:val="none"/>
              </w:rPr>
              <w:t>6</w:t>
            </w:r>
          </w:p>
        </w:tc>
        <w:tc>
          <w:tcPr>
            <w:tcW w:w="2710" w:type="dxa"/>
            <w:vAlign w:val="top"/>
          </w:tcPr>
          <w:p w14:paraId="706EE02A">
            <w:pPr>
              <w:rPr>
                <w:rFonts w:ascii="Arial"/>
                <w:color w:val="auto"/>
                <w:sz w:val="21"/>
                <w:highlight w:val="none"/>
              </w:rPr>
            </w:pPr>
          </w:p>
        </w:tc>
        <w:tc>
          <w:tcPr>
            <w:tcW w:w="2587" w:type="dxa"/>
            <w:vAlign w:val="top"/>
          </w:tcPr>
          <w:p w14:paraId="71928DA6">
            <w:pPr>
              <w:rPr>
                <w:rFonts w:ascii="Arial"/>
                <w:color w:val="auto"/>
                <w:sz w:val="21"/>
                <w:highlight w:val="none"/>
              </w:rPr>
            </w:pPr>
          </w:p>
        </w:tc>
        <w:tc>
          <w:tcPr>
            <w:tcW w:w="2705" w:type="dxa"/>
            <w:vAlign w:val="top"/>
          </w:tcPr>
          <w:p w14:paraId="23CF5A38">
            <w:pPr>
              <w:rPr>
                <w:rFonts w:ascii="Arial"/>
                <w:color w:val="auto"/>
                <w:sz w:val="21"/>
                <w:highlight w:val="none"/>
              </w:rPr>
            </w:pPr>
          </w:p>
        </w:tc>
      </w:tr>
      <w:tr w14:paraId="2B94D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7ED44895">
            <w:pPr>
              <w:pStyle w:val="14"/>
              <w:spacing w:before="302" w:line="182" w:lineRule="auto"/>
              <w:ind w:left="123"/>
              <w:rPr>
                <w:color w:val="auto"/>
                <w:highlight w:val="none"/>
              </w:rPr>
            </w:pPr>
            <w:r>
              <w:rPr>
                <w:color w:val="auto"/>
                <w:highlight w:val="none"/>
              </w:rPr>
              <w:t>7</w:t>
            </w:r>
          </w:p>
        </w:tc>
        <w:tc>
          <w:tcPr>
            <w:tcW w:w="2710" w:type="dxa"/>
            <w:vAlign w:val="top"/>
          </w:tcPr>
          <w:p w14:paraId="6EB48665">
            <w:pPr>
              <w:rPr>
                <w:rFonts w:ascii="Arial"/>
                <w:color w:val="auto"/>
                <w:sz w:val="21"/>
                <w:highlight w:val="none"/>
              </w:rPr>
            </w:pPr>
          </w:p>
        </w:tc>
        <w:tc>
          <w:tcPr>
            <w:tcW w:w="2587" w:type="dxa"/>
            <w:vAlign w:val="top"/>
          </w:tcPr>
          <w:p w14:paraId="5BE5515B">
            <w:pPr>
              <w:rPr>
                <w:rFonts w:ascii="Arial"/>
                <w:color w:val="auto"/>
                <w:sz w:val="21"/>
                <w:highlight w:val="none"/>
              </w:rPr>
            </w:pPr>
          </w:p>
        </w:tc>
        <w:tc>
          <w:tcPr>
            <w:tcW w:w="2705" w:type="dxa"/>
            <w:vAlign w:val="top"/>
          </w:tcPr>
          <w:p w14:paraId="14BEEF6B">
            <w:pPr>
              <w:rPr>
                <w:rFonts w:ascii="Arial"/>
                <w:color w:val="auto"/>
                <w:sz w:val="21"/>
                <w:highlight w:val="none"/>
              </w:rPr>
            </w:pPr>
          </w:p>
        </w:tc>
      </w:tr>
      <w:tr w14:paraId="51E44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7A3DAEC7">
            <w:pPr>
              <w:pStyle w:val="14"/>
              <w:spacing w:before="299" w:line="183" w:lineRule="auto"/>
              <w:ind w:left="118"/>
              <w:rPr>
                <w:color w:val="auto"/>
                <w:highlight w:val="none"/>
              </w:rPr>
            </w:pPr>
            <w:r>
              <w:rPr>
                <w:color w:val="auto"/>
                <w:highlight w:val="none"/>
              </w:rPr>
              <w:t>8</w:t>
            </w:r>
          </w:p>
        </w:tc>
        <w:tc>
          <w:tcPr>
            <w:tcW w:w="2710" w:type="dxa"/>
            <w:vAlign w:val="top"/>
          </w:tcPr>
          <w:p w14:paraId="65650342">
            <w:pPr>
              <w:rPr>
                <w:rFonts w:ascii="Arial"/>
                <w:color w:val="auto"/>
                <w:sz w:val="21"/>
                <w:highlight w:val="none"/>
              </w:rPr>
            </w:pPr>
          </w:p>
        </w:tc>
        <w:tc>
          <w:tcPr>
            <w:tcW w:w="2587" w:type="dxa"/>
            <w:vAlign w:val="top"/>
          </w:tcPr>
          <w:p w14:paraId="7730259F">
            <w:pPr>
              <w:rPr>
                <w:rFonts w:ascii="Arial"/>
                <w:color w:val="auto"/>
                <w:sz w:val="21"/>
                <w:highlight w:val="none"/>
              </w:rPr>
            </w:pPr>
          </w:p>
        </w:tc>
        <w:tc>
          <w:tcPr>
            <w:tcW w:w="2705" w:type="dxa"/>
            <w:vAlign w:val="top"/>
          </w:tcPr>
          <w:p w14:paraId="1E61209C">
            <w:pPr>
              <w:rPr>
                <w:rFonts w:ascii="Arial"/>
                <w:color w:val="auto"/>
                <w:sz w:val="21"/>
                <w:highlight w:val="none"/>
              </w:rPr>
            </w:pPr>
          </w:p>
        </w:tc>
      </w:tr>
      <w:tr w14:paraId="537D2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530" w:type="dxa"/>
            <w:vAlign w:val="top"/>
          </w:tcPr>
          <w:p w14:paraId="5686DB46">
            <w:pPr>
              <w:pStyle w:val="14"/>
              <w:spacing w:before="300" w:line="183" w:lineRule="auto"/>
              <w:ind w:left="118"/>
              <w:rPr>
                <w:color w:val="auto"/>
                <w:highlight w:val="none"/>
              </w:rPr>
            </w:pPr>
            <w:r>
              <w:rPr>
                <w:color w:val="auto"/>
                <w:highlight w:val="none"/>
              </w:rPr>
              <w:t>9</w:t>
            </w:r>
          </w:p>
        </w:tc>
        <w:tc>
          <w:tcPr>
            <w:tcW w:w="2710" w:type="dxa"/>
            <w:vAlign w:val="top"/>
          </w:tcPr>
          <w:p w14:paraId="36CC4CAF">
            <w:pPr>
              <w:rPr>
                <w:rFonts w:ascii="Arial"/>
                <w:color w:val="auto"/>
                <w:sz w:val="21"/>
                <w:highlight w:val="none"/>
              </w:rPr>
            </w:pPr>
          </w:p>
        </w:tc>
        <w:tc>
          <w:tcPr>
            <w:tcW w:w="2587" w:type="dxa"/>
            <w:vAlign w:val="top"/>
          </w:tcPr>
          <w:p w14:paraId="09791A5A">
            <w:pPr>
              <w:rPr>
                <w:rFonts w:ascii="Arial"/>
                <w:color w:val="auto"/>
                <w:sz w:val="21"/>
                <w:highlight w:val="none"/>
              </w:rPr>
            </w:pPr>
          </w:p>
        </w:tc>
        <w:tc>
          <w:tcPr>
            <w:tcW w:w="2705" w:type="dxa"/>
            <w:vAlign w:val="top"/>
          </w:tcPr>
          <w:p w14:paraId="475BCF0A">
            <w:pPr>
              <w:rPr>
                <w:rFonts w:ascii="Arial"/>
                <w:color w:val="auto"/>
                <w:sz w:val="21"/>
                <w:highlight w:val="none"/>
              </w:rPr>
            </w:pPr>
          </w:p>
        </w:tc>
      </w:tr>
      <w:tr w14:paraId="7F23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30" w:type="dxa"/>
            <w:vAlign w:val="top"/>
          </w:tcPr>
          <w:p w14:paraId="31E79479">
            <w:pPr>
              <w:pStyle w:val="14"/>
              <w:spacing w:before="261" w:line="378" w:lineRule="exact"/>
              <w:ind w:left="132"/>
              <w:rPr>
                <w:color w:val="auto"/>
                <w:highlight w:val="none"/>
              </w:rPr>
            </w:pPr>
            <w:r>
              <w:rPr>
                <w:color w:val="auto"/>
                <w:position w:val="3"/>
                <w:highlight w:val="none"/>
              </w:rPr>
              <w:t>…</w:t>
            </w:r>
          </w:p>
        </w:tc>
        <w:tc>
          <w:tcPr>
            <w:tcW w:w="2710" w:type="dxa"/>
            <w:vAlign w:val="top"/>
          </w:tcPr>
          <w:p w14:paraId="61CA8F8A">
            <w:pPr>
              <w:rPr>
                <w:rFonts w:ascii="Arial"/>
                <w:color w:val="auto"/>
                <w:sz w:val="21"/>
                <w:highlight w:val="none"/>
              </w:rPr>
            </w:pPr>
          </w:p>
        </w:tc>
        <w:tc>
          <w:tcPr>
            <w:tcW w:w="2587" w:type="dxa"/>
            <w:vAlign w:val="top"/>
          </w:tcPr>
          <w:p w14:paraId="6CEC830D">
            <w:pPr>
              <w:rPr>
                <w:rFonts w:ascii="Arial"/>
                <w:color w:val="auto"/>
                <w:sz w:val="21"/>
                <w:highlight w:val="none"/>
              </w:rPr>
            </w:pPr>
          </w:p>
        </w:tc>
        <w:tc>
          <w:tcPr>
            <w:tcW w:w="2705" w:type="dxa"/>
            <w:vAlign w:val="top"/>
          </w:tcPr>
          <w:p w14:paraId="12D2FABB">
            <w:pPr>
              <w:rPr>
                <w:rFonts w:ascii="Arial"/>
                <w:color w:val="auto"/>
                <w:sz w:val="21"/>
                <w:highlight w:val="none"/>
              </w:rPr>
            </w:pPr>
          </w:p>
        </w:tc>
      </w:tr>
    </w:tbl>
    <w:p w14:paraId="12A2813B">
      <w:pPr>
        <w:pStyle w:val="2"/>
        <w:spacing w:line="250" w:lineRule="auto"/>
        <w:rPr>
          <w:color w:val="auto"/>
          <w:highlight w:val="none"/>
        </w:rPr>
      </w:pPr>
    </w:p>
    <w:p w14:paraId="1019E2E8">
      <w:pPr>
        <w:pStyle w:val="2"/>
        <w:spacing w:line="250" w:lineRule="auto"/>
        <w:rPr>
          <w:color w:val="auto"/>
          <w:highlight w:val="none"/>
        </w:rPr>
      </w:pPr>
    </w:p>
    <w:p w14:paraId="5690E318">
      <w:pPr>
        <w:spacing w:before="78" w:line="219" w:lineRule="auto"/>
        <w:ind w:left="37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投标人（盖章</w:t>
      </w:r>
      <w:r>
        <w:rPr>
          <w:rFonts w:ascii="宋体" w:hAnsi="宋体" w:eastAsia="宋体" w:cs="宋体"/>
          <w:color w:val="auto"/>
          <w:spacing w:val="2"/>
          <w:sz w:val="24"/>
          <w:szCs w:val="24"/>
          <w:highlight w:val="none"/>
        </w:rPr>
        <w:t>）：</w:t>
      </w:r>
    </w:p>
    <w:p w14:paraId="50F3F548">
      <w:pPr>
        <w:pStyle w:val="2"/>
        <w:spacing w:line="258" w:lineRule="auto"/>
        <w:rPr>
          <w:color w:val="auto"/>
          <w:highlight w:val="none"/>
        </w:rPr>
      </w:pPr>
    </w:p>
    <w:p w14:paraId="051DE454">
      <w:pPr>
        <w:pStyle w:val="2"/>
        <w:spacing w:line="258" w:lineRule="auto"/>
        <w:rPr>
          <w:color w:val="auto"/>
          <w:highlight w:val="none"/>
        </w:rPr>
      </w:pPr>
    </w:p>
    <w:p w14:paraId="007A7A9D">
      <w:pPr>
        <w:pStyle w:val="2"/>
        <w:spacing w:line="259" w:lineRule="auto"/>
        <w:rPr>
          <w:color w:val="auto"/>
          <w:highlight w:val="none"/>
        </w:rPr>
      </w:pPr>
    </w:p>
    <w:p w14:paraId="08899AFB">
      <w:pPr>
        <w:pStyle w:val="2"/>
        <w:spacing w:line="259" w:lineRule="auto"/>
        <w:rPr>
          <w:color w:val="auto"/>
          <w:highlight w:val="none"/>
        </w:rPr>
      </w:pPr>
    </w:p>
    <w:p w14:paraId="7C6D1980">
      <w:pPr>
        <w:spacing w:before="79" w:line="219" w:lineRule="auto"/>
        <w:ind w:left="37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z w:val="24"/>
          <w:szCs w:val="24"/>
          <w:highlight w:val="none"/>
        </w:rPr>
        <w:t>）：</w:t>
      </w:r>
    </w:p>
    <w:p w14:paraId="3070C1FD">
      <w:pPr>
        <w:pStyle w:val="2"/>
        <w:spacing w:line="258" w:lineRule="auto"/>
        <w:rPr>
          <w:color w:val="auto"/>
          <w:highlight w:val="none"/>
        </w:rPr>
      </w:pPr>
    </w:p>
    <w:p w14:paraId="29853BFE">
      <w:pPr>
        <w:pStyle w:val="2"/>
        <w:spacing w:line="259" w:lineRule="auto"/>
        <w:rPr>
          <w:color w:val="auto"/>
          <w:highlight w:val="none"/>
        </w:rPr>
      </w:pPr>
    </w:p>
    <w:p w14:paraId="5AC3F387">
      <w:pPr>
        <w:pStyle w:val="2"/>
        <w:spacing w:line="259" w:lineRule="auto"/>
        <w:rPr>
          <w:color w:val="auto"/>
          <w:highlight w:val="none"/>
        </w:rPr>
      </w:pPr>
    </w:p>
    <w:p w14:paraId="6D2C5C42">
      <w:pPr>
        <w:pStyle w:val="2"/>
        <w:spacing w:line="259" w:lineRule="auto"/>
        <w:rPr>
          <w:color w:val="auto"/>
          <w:highlight w:val="none"/>
        </w:rPr>
      </w:pPr>
    </w:p>
    <w:p w14:paraId="1B06A954">
      <w:pPr>
        <w:spacing w:before="79" w:line="219" w:lineRule="auto"/>
        <w:ind w:left="376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408CC066">
      <w:pPr>
        <w:spacing w:line="219" w:lineRule="auto"/>
        <w:rPr>
          <w:rFonts w:ascii="宋体" w:hAnsi="宋体" w:eastAsia="宋体" w:cs="宋体"/>
          <w:color w:val="auto"/>
          <w:sz w:val="24"/>
          <w:szCs w:val="24"/>
          <w:highlight w:val="none"/>
        </w:rPr>
        <w:sectPr>
          <w:footerReference r:id="rId47" w:type="default"/>
          <w:pgSz w:w="11906" w:h="16839"/>
          <w:pgMar w:top="1440" w:right="1800" w:bottom="1440" w:left="1800" w:header="0" w:footer="973" w:gutter="0"/>
          <w:pgNumType w:fmt="decimal"/>
          <w:cols w:space="720" w:num="1"/>
        </w:sectPr>
      </w:pPr>
    </w:p>
    <w:p w14:paraId="4ACFCA47">
      <w:pPr>
        <w:pStyle w:val="2"/>
        <w:spacing w:line="269" w:lineRule="auto"/>
        <w:rPr>
          <w:color w:val="auto"/>
          <w:highlight w:val="none"/>
        </w:rPr>
      </w:pPr>
    </w:p>
    <w:p w14:paraId="60C87C77">
      <w:pPr>
        <w:pStyle w:val="2"/>
        <w:spacing w:line="270" w:lineRule="auto"/>
        <w:rPr>
          <w:color w:val="auto"/>
          <w:highlight w:val="none"/>
        </w:rPr>
      </w:pPr>
    </w:p>
    <w:p w14:paraId="1B6142F3">
      <w:pPr>
        <w:spacing w:before="100" w:line="225" w:lineRule="auto"/>
        <w:ind w:left="3198"/>
        <w:outlineLvl w:val="2"/>
        <w:rPr>
          <w:rFonts w:ascii="宋体" w:hAnsi="宋体" w:eastAsia="宋体" w:cs="宋体"/>
          <w:color w:val="auto"/>
          <w:sz w:val="31"/>
          <w:szCs w:val="31"/>
          <w:highlight w:val="none"/>
        </w:rPr>
      </w:pPr>
      <w:bookmarkStart w:id="35" w:name="_Toc29690"/>
      <w:r>
        <w:rPr>
          <w:rFonts w:ascii="宋体" w:hAnsi="宋体" w:eastAsia="宋体" w:cs="宋体"/>
          <w:b/>
          <w:bCs/>
          <w:color w:val="auto"/>
          <w:spacing w:val="5"/>
          <w:sz w:val="31"/>
          <w:szCs w:val="31"/>
          <w:highlight w:val="none"/>
        </w:rPr>
        <w:t>技术规范偏离表</w:t>
      </w:r>
      <w:bookmarkEnd w:id="35"/>
    </w:p>
    <w:p w14:paraId="7B3CD52B">
      <w:pPr>
        <w:spacing w:line="91" w:lineRule="exact"/>
        <w:rPr>
          <w:color w:val="auto"/>
          <w:highlight w:val="none"/>
        </w:rPr>
      </w:pPr>
    </w:p>
    <w:tbl>
      <w:tblPr>
        <w:tblStyle w:val="13"/>
        <w:tblW w:w="8417"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2095"/>
        <w:gridCol w:w="1702"/>
        <w:gridCol w:w="1333"/>
        <w:gridCol w:w="1333"/>
        <w:gridCol w:w="988"/>
      </w:tblGrid>
      <w:tr w14:paraId="38551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66" w:type="dxa"/>
            <w:tcBorders>
              <w:top w:val="single" w:color="000000" w:sz="10" w:space="0"/>
              <w:left w:val="single" w:color="000000" w:sz="10" w:space="0"/>
            </w:tcBorders>
            <w:vAlign w:val="top"/>
          </w:tcPr>
          <w:p w14:paraId="02B5CC45">
            <w:pPr>
              <w:spacing w:line="273" w:lineRule="auto"/>
              <w:rPr>
                <w:rFonts w:ascii="Arial"/>
                <w:color w:val="auto"/>
                <w:sz w:val="21"/>
                <w:highlight w:val="none"/>
              </w:rPr>
            </w:pPr>
          </w:p>
          <w:p w14:paraId="2B50DA4D">
            <w:pPr>
              <w:pStyle w:val="14"/>
              <w:spacing w:before="78" w:line="221" w:lineRule="auto"/>
              <w:ind w:left="233"/>
              <w:rPr>
                <w:color w:val="auto"/>
                <w:highlight w:val="none"/>
              </w:rPr>
            </w:pPr>
            <w:r>
              <w:rPr>
                <w:color w:val="auto"/>
                <w:spacing w:val="-5"/>
                <w:highlight w:val="none"/>
              </w:rPr>
              <w:t>序号</w:t>
            </w:r>
          </w:p>
        </w:tc>
        <w:tc>
          <w:tcPr>
            <w:tcW w:w="2095" w:type="dxa"/>
            <w:tcBorders>
              <w:top w:val="single" w:color="000000" w:sz="10" w:space="0"/>
            </w:tcBorders>
            <w:vAlign w:val="top"/>
          </w:tcPr>
          <w:p w14:paraId="60E18214">
            <w:pPr>
              <w:spacing w:line="274" w:lineRule="auto"/>
              <w:rPr>
                <w:rFonts w:ascii="Arial"/>
                <w:color w:val="auto"/>
                <w:sz w:val="21"/>
                <w:highlight w:val="none"/>
              </w:rPr>
            </w:pPr>
          </w:p>
          <w:p w14:paraId="671E919F">
            <w:pPr>
              <w:pStyle w:val="14"/>
              <w:spacing w:before="78" w:line="219" w:lineRule="auto"/>
              <w:ind w:left="450"/>
              <w:rPr>
                <w:color w:val="auto"/>
                <w:highlight w:val="none"/>
              </w:rPr>
            </w:pPr>
            <w:r>
              <w:rPr>
                <w:color w:val="auto"/>
                <w:spacing w:val="-3"/>
                <w:highlight w:val="none"/>
              </w:rPr>
              <w:t>名称及编号</w:t>
            </w:r>
          </w:p>
        </w:tc>
        <w:tc>
          <w:tcPr>
            <w:tcW w:w="1702" w:type="dxa"/>
            <w:tcBorders>
              <w:top w:val="single" w:color="000000" w:sz="10" w:space="0"/>
            </w:tcBorders>
            <w:vAlign w:val="top"/>
          </w:tcPr>
          <w:p w14:paraId="26659A9B">
            <w:pPr>
              <w:pStyle w:val="14"/>
              <w:spacing w:before="120" w:line="311" w:lineRule="auto"/>
              <w:ind w:left="255" w:right="130" w:hanging="121"/>
              <w:rPr>
                <w:color w:val="auto"/>
                <w:highlight w:val="none"/>
              </w:rPr>
            </w:pPr>
            <w:r>
              <w:rPr>
                <w:color w:val="auto"/>
                <w:spacing w:val="-2"/>
                <w:highlight w:val="none"/>
              </w:rPr>
              <w:t>磋商文件技术</w:t>
            </w:r>
            <w:r>
              <w:rPr>
                <w:color w:val="auto"/>
                <w:spacing w:val="2"/>
                <w:highlight w:val="none"/>
              </w:rPr>
              <w:t xml:space="preserve"> </w:t>
            </w:r>
            <w:r>
              <w:rPr>
                <w:color w:val="auto"/>
                <w:spacing w:val="-3"/>
                <w:highlight w:val="none"/>
              </w:rPr>
              <w:t>规范、要求</w:t>
            </w:r>
          </w:p>
        </w:tc>
        <w:tc>
          <w:tcPr>
            <w:tcW w:w="1333" w:type="dxa"/>
            <w:tcBorders>
              <w:top w:val="single" w:color="000000" w:sz="10" w:space="0"/>
            </w:tcBorders>
            <w:vAlign w:val="top"/>
          </w:tcPr>
          <w:p w14:paraId="73D0AD25">
            <w:pPr>
              <w:pStyle w:val="14"/>
              <w:spacing w:before="120" w:line="311" w:lineRule="auto"/>
              <w:ind w:left="196" w:right="179" w:firstLine="13"/>
              <w:rPr>
                <w:color w:val="auto"/>
                <w:highlight w:val="none"/>
              </w:rPr>
            </w:pPr>
            <w:r>
              <w:rPr>
                <w:color w:val="auto"/>
                <w:spacing w:val="-6"/>
                <w:highlight w:val="none"/>
              </w:rPr>
              <w:t>响应文件</w:t>
            </w:r>
            <w:r>
              <w:rPr>
                <w:color w:val="auto"/>
                <w:spacing w:val="1"/>
                <w:highlight w:val="none"/>
              </w:rPr>
              <w:t xml:space="preserve"> </w:t>
            </w:r>
            <w:r>
              <w:rPr>
                <w:color w:val="auto"/>
                <w:spacing w:val="-3"/>
                <w:highlight w:val="none"/>
              </w:rPr>
              <w:t>对应规范</w:t>
            </w:r>
          </w:p>
        </w:tc>
        <w:tc>
          <w:tcPr>
            <w:tcW w:w="1333" w:type="dxa"/>
            <w:tcBorders>
              <w:top w:val="single" w:color="000000" w:sz="10" w:space="0"/>
            </w:tcBorders>
            <w:vAlign w:val="top"/>
          </w:tcPr>
          <w:p w14:paraId="52F4AB14">
            <w:pPr>
              <w:spacing w:line="274" w:lineRule="auto"/>
              <w:rPr>
                <w:rFonts w:ascii="Arial"/>
                <w:color w:val="auto"/>
                <w:sz w:val="21"/>
                <w:highlight w:val="none"/>
              </w:rPr>
            </w:pPr>
          </w:p>
          <w:p w14:paraId="11B5535B">
            <w:pPr>
              <w:pStyle w:val="14"/>
              <w:spacing w:before="78" w:line="219" w:lineRule="auto"/>
              <w:ind w:left="441"/>
              <w:rPr>
                <w:color w:val="auto"/>
                <w:highlight w:val="none"/>
              </w:rPr>
            </w:pPr>
            <w:r>
              <w:rPr>
                <w:color w:val="auto"/>
                <w:spacing w:val="-5"/>
                <w:highlight w:val="none"/>
              </w:rPr>
              <w:t>偏差</w:t>
            </w:r>
          </w:p>
        </w:tc>
        <w:tc>
          <w:tcPr>
            <w:tcW w:w="988" w:type="dxa"/>
            <w:tcBorders>
              <w:top w:val="single" w:color="000000" w:sz="10" w:space="0"/>
              <w:right w:val="single" w:color="000000" w:sz="10" w:space="0"/>
            </w:tcBorders>
            <w:vAlign w:val="top"/>
          </w:tcPr>
          <w:p w14:paraId="3318B6AA">
            <w:pPr>
              <w:spacing w:line="273" w:lineRule="auto"/>
              <w:rPr>
                <w:rFonts w:ascii="Arial"/>
                <w:color w:val="auto"/>
                <w:sz w:val="21"/>
                <w:highlight w:val="none"/>
              </w:rPr>
            </w:pPr>
          </w:p>
          <w:p w14:paraId="7B08338D">
            <w:pPr>
              <w:pStyle w:val="14"/>
              <w:spacing w:before="78" w:line="221" w:lineRule="auto"/>
              <w:ind w:left="268"/>
              <w:rPr>
                <w:color w:val="auto"/>
                <w:highlight w:val="none"/>
              </w:rPr>
            </w:pPr>
            <w:r>
              <w:rPr>
                <w:color w:val="auto"/>
                <w:spacing w:val="-7"/>
                <w:highlight w:val="none"/>
              </w:rPr>
              <w:t>备注</w:t>
            </w:r>
          </w:p>
        </w:tc>
      </w:tr>
      <w:tr w14:paraId="792EA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66" w:type="dxa"/>
            <w:tcBorders>
              <w:left w:val="single" w:color="000000" w:sz="10" w:space="0"/>
            </w:tcBorders>
            <w:vAlign w:val="top"/>
          </w:tcPr>
          <w:p w14:paraId="5836CAB8">
            <w:pPr>
              <w:rPr>
                <w:rFonts w:ascii="Arial"/>
                <w:color w:val="auto"/>
                <w:sz w:val="21"/>
                <w:highlight w:val="none"/>
              </w:rPr>
            </w:pPr>
          </w:p>
        </w:tc>
        <w:tc>
          <w:tcPr>
            <w:tcW w:w="2095" w:type="dxa"/>
            <w:vAlign w:val="top"/>
          </w:tcPr>
          <w:p w14:paraId="03AA86F5">
            <w:pPr>
              <w:rPr>
                <w:rFonts w:ascii="Arial"/>
                <w:color w:val="auto"/>
                <w:sz w:val="21"/>
                <w:highlight w:val="none"/>
              </w:rPr>
            </w:pPr>
          </w:p>
        </w:tc>
        <w:tc>
          <w:tcPr>
            <w:tcW w:w="1702" w:type="dxa"/>
            <w:vAlign w:val="top"/>
          </w:tcPr>
          <w:p w14:paraId="21D80723">
            <w:pPr>
              <w:rPr>
                <w:rFonts w:ascii="Arial"/>
                <w:color w:val="auto"/>
                <w:sz w:val="21"/>
                <w:highlight w:val="none"/>
              </w:rPr>
            </w:pPr>
          </w:p>
        </w:tc>
        <w:tc>
          <w:tcPr>
            <w:tcW w:w="1333" w:type="dxa"/>
            <w:vAlign w:val="top"/>
          </w:tcPr>
          <w:p w14:paraId="6EC315E1">
            <w:pPr>
              <w:rPr>
                <w:rFonts w:ascii="Arial"/>
                <w:color w:val="auto"/>
                <w:sz w:val="21"/>
                <w:highlight w:val="none"/>
              </w:rPr>
            </w:pPr>
          </w:p>
        </w:tc>
        <w:tc>
          <w:tcPr>
            <w:tcW w:w="1333" w:type="dxa"/>
            <w:vAlign w:val="top"/>
          </w:tcPr>
          <w:p w14:paraId="6A7069A3">
            <w:pPr>
              <w:rPr>
                <w:rFonts w:ascii="Arial"/>
                <w:color w:val="auto"/>
                <w:sz w:val="21"/>
                <w:highlight w:val="none"/>
              </w:rPr>
            </w:pPr>
          </w:p>
        </w:tc>
        <w:tc>
          <w:tcPr>
            <w:tcW w:w="988" w:type="dxa"/>
            <w:tcBorders>
              <w:right w:val="single" w:color="000000" w:sz="10" w:space="0"/>
            </w:tcBorders>
            <w:vAlign w:val="top"/>
          </w:tcPr>
          <w:p w14:paraId="15454ED8">
            <w:pPr>
              <w:rPr>
                <w:rFonts w:ascii="Arial"/>
                <w:color w:val="auto"/>
                <w:sz w:val="21"/>
                <w:highlight w:val="none"/>
              </w:rPr>
            </w:pPr>
          </w:p>
        </w:tc>
      </w:tr>
      <w:tr w14:paraId="5632F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966" w:type="dxa"/>
            <w:tcBorders>
              <w:left w:val="single" w:color="000000" w:sz="10" w:space="0"/>
            </w:tcBorders>
            <w:vAlign w:val="top"/>
          </w:tcPr>
          <w:p w14:paraId="2CBDCAC9">
            <w:pPr>
              <w:rPr>
                <w:rFonts w:ascii="Arial"/>
                <w:color w:val="auto"/>
                <w:sz w:val="21"/>
                <w:highlight w:val="none"/>
              </w:rPr>
            </w:pPr>
          </w:p>
        </w:tc>
        <w:tc>
          <w:tcPr>
            <w:tcW w:w="2095" w:type="dxa"/>
            <w:vAlign w:val="top"/>
          </w:tcPr>
          <w:p w14:paraId="771FA472">
            <w:pPr>
              <w:rPr>
                <w:rFonts w:ascii="Arial"/>
                <w:color w:val="auto"/>
                <w:sz w:val="21"/>
                <w:highlight w:val="none"/>
              </w:rPr>
            </w:pPr>
          </w:p>
        </w:tc>
        <w:tc>
          <w:tcPr>
            <w:tcW w:w="1702" w:type="dxa"/>
            <w:vAlign w:val="top"/>
          </w:tcPr>
          <w:p w14:paraId="3A604325">
            <w:pPr>
              <w:rPr>
                <w:rFonts w:ascii="Arial"/>
                <w:color w:val="auto"/>
                <w:sz w:val="21"/>
                <w:highlight w:val="none"/>
              </w:rPr>
            </w:pPr>
          </w:p>
        </w:tc>
        <w:tc>
          <w:tcPr>
            <w:tcW w:w="1333" w:type="dxa"/>
            <w:vAlign w:val="top"/>
          </w:tcPr>
          <w:p w14:paraId="517AF8F4">
            <w:pPr>
              <w:rPr>
                <w:rFonts w:ascii="Arial"/>
                <w:color w:val="auto"/>
                <w:sz w:val="21"/>
                <w:highlight w:val="none"/>
              </w:rPr>
            </w:pPr>
          </w:p>
        </w:tc>
        <w:tc>
          <w:tcPr>
            <w:tcW w:w="1333" w:type="dxa"/>
            <w:vAlign w:val="top"/>
          </w:tcPr>
          <w:p w14:paraId="36DC7016">
            <w:pPr>
              <w:rPr>
                <w:rFonts w:ascii="Arial"/>
                <w:color w:val="auto"/>
                <w:sz w:val="21"/>
                <w:highlight w:val="none"/>
              </w:rPr>
            </w:pPr>
          </w:p>
        </w:tc>
        <w:tc>
          <w:tcPr>
            <w:tcW w:w="988" w:type="dxa"/>
            <w:tcBorders>
              <w:right w:val="single" w:color="000000" w:sz="10" w:space="0"/>
            </w:tcBorders>
            <w:vAlign w:val="top"/>
          </w:tcPr>
          <w:p w14:paraId="56A38D1E">
            <w:pPr>
              <w:rPr>
                <w:rFonts w:ascii="Arial"/>
                <w:color w:val="auto"/>
                <w:sz w:val="21"/>
                <w:highlight w:val="none"/>
              </w:rPr>
            </w:pPr>
          </w:p>
        </w:tc>
      </w:tr>
      <w:tr w14:paraId="7556E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966" w:type="dxa"/>
            <w:tcBorders>
              <w:left w:val="single" w:color="000000" w:sz="10" w:space="0"/>
              <w:bottom w:val="single" w:color="000000" w:sz="10" w:space="0"/>
            </w:tcBorders>
            <w:vAlign w:val="top"/>
          </w:tcPr>
          <w:p w14:paraId="2F0576FD">
            <w:pPr>
              <w:rPr>
                <w:rFonts w:ascii="Arial"/>
                <w:color w:val="auto"/>
                <w:sz w:val="21"/>
                <w:highlight w:val="none"/>
              </w:rPr>
            </w:pPr>
          </w:p>
        </w:tc>
        <w:tc>
          <w:tcPr>
            <w:tcW w:w="2095" w:type="dxa"/>
            <w:tcBorders>
              <w:bottom w:val="single" w:color="000000" w:sz="10" w:space="0"/>
            </w:tcBorders>
            <w:vAlign w:val="top"/>
          </w:tcPr>
          <w:p w14:paraId="3A446049">
            <w:pPr>
              <w:rPr>
                <w:rFonts w:ascii="Arial"/>
                <w:color w:val="auto"/>
                <w:sz w:val="21"/>
                <w:highlight w:val="none"/>
              </w:rPr>
            </w:pPr>
          </w:p>
        </w:tc>
        <w:tc>
          <w:tcPr>
            <w:tcW w:w="1702" w:type="dxa"/>
            <w:tcBorders>
              <w:bottom w:val="single" w:color="000000" w:sz="10" w:space="0"/>
            </w:tcBorders>
            <w:vAlign w:val="top"/>
          </w:tcPr>
          <w:p w14:paraId="4568597D">
            <w:pPr>
              <w:rPr>
                <w:rFonts w:ascii="Arial"/>
                <w:color w:val="auto"/>
                <w:sz w:val="21"/>
                <w:highlight w:val="none"/>
              </w:rPr>
            </w:pPr>
          </w:p>
        </w:tc>
        <w:tc>
          <w:tcPr>
            <w:tcW w:w="1333" w:type="dxa"/>
            <w:tcBorders>
              <w:bottom w:val="single" w:color="000000" w:sz="10" w:space="0"/>
            </w:tcBorders>
            <w:vAlign w:val="top"/>
          </w:tcPr>
          <w:p w14:paraId="53140AA2">
            <w:pPr>
              <w:rPr>
                <w:rFonts w:ascii="Arial"/>
                <w:color w:val="auto"/>
                <w:sz w:val="21"/>
                <w:highlight w:val="none"/>
              </w:rPr>
            </w:pPr>
          </w:p>
        </w:tc>
        <w:tc>
          <w:tcPr>
            <w:tcW w:w="1333" w:type="dxa"/>
            <w:tcBorders>
              <w:bottom w:val="single" w:color="000000" w:sz="10" w:space="0"/>
            </w:tcBorders>
            <w:vAlign w:val="top"/>
          </w:tcPr>
          <w:p w14:paraId="74E5CA36">
            <w:pPr>
              <w:rPr>
                <w:rFonts w:ascii="Arial"/>
                <w:color w:val="auto"/>
                <w:sz w:val="21"/>
                <w:highlight w:val="none"/>
              </w:rPr>
            </w:pPr>
          </w:p>
        </w:tc>
        <w:tc>
          <w:tcPr>
            <w:tcW w:w="988" w:type="dxa"/>
            <w:tcBorders>
              <w:bottom w:val="single" w:color="000000" w:sz="10" w:space="0"/>
              <w:right w:val="single" w:color="000000" w:sz="10" w:space="0"/>
            </w:tcBorders>
            <w:vAlign w:val="top"/>
          </w:tcPr>
          <w:p w14:paraId="2D362F78">
            <w:pPr>
              <w:rPr>
                <w:rFonts w:ascii="Arial"/>
                <w:color w:val="auto"/>
                <w:sz w:val="21"/>
                <w:highlight w:val="none"/>
              </w:rPr>
            </w:pPr>
          </w:p>
        </w:tc>
      </w:tr>
    </w:tbl>
    <w:p w14:paraId="7986F0E0">
      <w:pPr>
        <w:pStyle w:val="2"/>
        <w:spacing w:line="249" w:lineRule="auto"/>
        <w:rPr>
          <w:color w:val="auto"/>
          <w:highlight w:val="none"/>
        </w:rPr>
      </w:pPr>
    </w:p>
    <w:p w14:paraId="5B81300F">
      <w:pPr>
        <w:pStyle w:val="2"/>
        <w:spacing w:line="250" w:lineRule="auto"/>
        <w:rPr>
          <w:color w:val="auto"/>
          <w:highlight w:val="none"/>
        </w:rPr>
      </w:pPr>
    </w:p>
    <w:p w14:paraId="648EE572">
      <w:pPr>
        <w:spacing w:before="78" w:line="219" w:lineRule="auto"/>
        <w:ind w:left="352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投标人（盖章</w:t>
      </w:r>
      <w:r>
        <w:rPr>
          <w:rFonts w:ascii="宋体" w:hAnsi="宋体" w:eastAsia="宋体" w:cs="宋体"/>
          <w:color w:val="auto"/>
          <w:spacing w:val="2"/>
          <w:sz w:val="24"/>
          <w:szCs w:val="24"/>
          <w:highlight w:val="none"/>
        </w:rPr>
        <w:t>）：</w:t>
      </w:r>
    </w:p>
    <w:p w14:paraId="7AA9B007">
      <w:pPr>
        <w:pStyle w:val="2"/>
        <w:spacing w:line="258" w:lineRule="auto"/>
        <w:rPr>
          <w:color w:val="auto"/>
          <w:highlight w:val="none"/>
        </w:rPr>
      </w:pPr>
    </w:p>
    <w:p w14:paraId="6C6AFA79">
      <w:pPr>
        <w:pStyle w:val="2"/>
        <w:spacing w:line="258" w:lineRule="auto"/>
        <w:rPr>
          <w:color w:val="auto"/>
          <w:highlight w:val="none"/>
        </w:rPr>
      </w:pPr>
    </w:p>
    <w:p w14:paraId="62BB7090">
      <w:pPr>
        <w:pStyle w:val="2"/>
        <w:spacing w:line="259" w:lineRule="auto"/>
        <w:rPr>
          <w:color w:val="auto"/>
          <w:highlight w:val="none"/>
        </w:rPr>
      </w:pPr>
    </w:p>
    <w:p w14:paraId="329A1DF1">
      <w:pPr>
        <w:pStyle w:val="2"/>
        <w:spacing w:line="259" w:lineRule="auto"/>
        <w:rPr>
          <w:color w:val="auto"/>
          <w:highlight w:val="none"/>
        </w:rPr>
      </w:pPr>
    </w:p>
    <w:p w14:paraId="25DDA1DD">
      <w:pPr>
        <w:spacing w:before="79" w:line="219" w:lineRule="auto"/>
        <w:ind w:left="352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法定代表人（签字和盖章</w:t>
      </w:r>
      <w:r>
        <w:rPr>
          <w:rFonts w:ascii="宋体" w:hAnsi="宋体" w:eastAsia="宋体" w:cs="宋体"/>
          <w:color w:val="auto"/>
          <w:sz w:val="24"/>
          <w:szCs w:val="24"/>
          <w:highlight w:val="none"/>
        </w:rPr>
        <w:t>）：</w:t>
      </w:r>
    </w:p>
    <w:p w14:paraId="77A09926">
      <w:pPr>
        <w:pStyle w:val="2"/>
        <w:spacing w:line="258" w:lineRule="auto"/>
        <w:rPr>
          <w:color w:val="auto"/>
          <w:highlight w:val="none"/>
        </w:rPr>
      </w:pPr>
    </w:p>
    <w:p w14:paraId="4BBC2019">
      <w:pPr>
        <w:pStyle w:val="2"/>
        <w:spacing w:line="259" w:lineRule="auto"/>
        <w:rPr>
          <w:color w:val="auto"/>
          <w:highlight w:val="none"/>
        </w:rPr>
      </w:pPr>
    </w:p>
    <w:p w14:paraId="0FEB4BC5">
      <w:pPr>
        <w:pStyle w:val="2"/>
        <w:spacing w:line="259" w:lineRule="auto"/>
        <w:rPr>
          <w:color w:val="auto"/>
          <w:highlight w:val="none"/>
        </w:rPr>
      </w:pPr>
    </w:p>
    <w:p w14:paraId="4FF2EBAE">
      <w:pPr>
        <w:pStyle w:val="2"/>
        <w:spacing w:line="259" w:lineRule="auto"/>
        <w:rPr>
          <w:color w:val="auto"/>
          <w:highlight w:val="none"/>
        </w:rPr>
      </w:pPr>
    </w:p>
    <w:p w14:paraId="49BF3AB9">
      <w:pPr>
        <w:spacing w:before="78" w:line="219" w:lineRule="auto"/>
        <w:ind w:left="3566"/>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3"/>
          <w:sz w:val="24"/>
          <w:szCs w:val="24"/>
          <w:highlight w:val="none"/>
        </w:rPr>
        <w:t>日</w:t>
      </w:r>
    </w:p>
    <w:p w14:paraId="5F314B41">
      <w:pPr>
        <w:spacing w:line="219" w:lineRule="auto"/>
        <w:rPr>
          <w:rFonts w:ascii="宋体" w:hAnsi="宋体" w:eastAsia="宋体" w:cs="宋体"/>
          <w:color w:val="auto"/>
          <w:sz w:val="24"/>
          <w:szCs w:val="24"/>
          <w:highlight w:val="none"/>
        </w:rPr>
        <w:sectPr>
          <w:footerReference r:id="rId48" w:type="default"/>
          <w:pgSz w:w="11906" w:h="16839"/>
          <w:pgMar w:top="1440" w:right="1800" w:bottom="1440" w:left="1800" w:header="0" w:footer="973" w:gutter="0"/>
          <w:pgNumType w:fmt="decimal"/>
          <w:cols w:space="720" w:num="1"/>
        </w:sectPr>
      </w:pPr>
    </w:p>
    <w:p w14:paraId="254B5060">
      <w:pPr>
        <w:pStyle w:val="2"/>
        <w:spacing w:line="269" w:lineRule="auto"/>
        <w:rPr>
          <w:color w:val="auto"/>
          <w:highlight w:val="none"/>
        </w:rPr>
      </w:pPr>
    </w:p>
    <w:p w14:paraId="7BBD0AE3">
      <w:pPr>
        <w:pStyle w:val="2"/>
        <w:spacing w:line="269" w:lineRule="auto"/>
        <w:rPr>
          <w:color w:val="auto"/>
          <w:highlight w:val="none"/>
        </w:rPr>
      </w:pPr>
    </w:p>
    <w:p w14:paraId="74103195">
      <w:pPr>
        <w:pStyle w:val="2"/>
        <w:spacing w:line="269" w:lineRule="auto"/>
        <w:rPr>
          <w:color w:val="auto"/>
          <w:highlight w:val="none"/>
        </w:rPr>
      </w:pPr>
    </w:p>
    <w:p w14:paraId="3E92DCF5">
      <w:pPr>
        <w:pStyle w:val="2"/>
        <w:spacing w:line="269" w:lineRule="auto"/>
        <w:rPr>
          <w:color w:val="auto"/>
          <w:highlight w:val="none"/>
        </w:rPr>
      </w:pPr>
    </w:p>
    <w:p w14:paraId="4CC6E313">
      <w:pPr>
        <w:pStyle w:val="2"/>
        <w:spacing w:line="270" w:lineRule="auto"/>
        <w:rPr>
          <w:color w:val="auto"/>
          <w:highlight w:val="none"/>
        </w:rPr>
      </w:pPr>
    </w:p>
    <w:p w14:paraId="4EBA3F5F">
      <w:pPr>
        <w:spacing w:before="100" w:line="225" w:lineRule="auto"/>
        <w:ind w:left="3278"/>
        <w:outlineLvl w:val="0"/>
        <w:rPr>
          <w:rFonts w:ascii="宋体" w:hAnsi="宋体" w:eastAsia="宋体" w:cs="宋体"/>
          <w:color w:val="auto"/>
          <w:sz w:val="31"/>
          <w:szCs w:val="31"/>
          <w:highlight w:val="none"/>
        </w:rPr>
      </w:pPr>
      <w:bookmarkStart w:id="36" w:name="_Toc6327"/>
      <w:r>
        <w:rPr>
          <w:rFonts w:ascii="宋体" w:hAnsi="宋体" w:eastAsia="宋体" w:cs="宋体"/>
          <w:b/>
          <w:bCs/>
          <w:color w:val="auto"/>
          <w:spacing w:val="5"/>
          <w:sz w:val="31"/>
          <w:szCs w:val="31"/>
          <w:highlight w:val="none"/>
        </w:rPr>
        <w:t>第二节</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技术标</w:t>
      </w:r>
      <w:bookmarkEnd w:id="36"/>
    </w:p>
    <w:p w14:paraId="233E8E3B">
      <w:pPr>
        <w:pStyle w:val="2"/>
        <w:spacing w:line="244" w:lineRule="auto"/>
        <w:rPr>
          <w:color w:val="auto"/>
          <w:highlight w:val="none"/>
        </w:rPr>
      </w:pPr>
    </w:p>
    <w:p w14:paraId="2936448F">
      <w:pPr>
        <w:pStyle w:val="2"/>
        <w:spacing w:line="244" w:lineRule="auto"/>
        <w:rPr>
          <w:color w:val="auto"/>
          <w:highlight w:val="none"/>
        </w:rPr>
      </w:pPr>
    </w:p>
    <w:p w14:paraId="3ECD0FD8">
      <w:pPr>
        <w:pStyle w:val="2"/>
        <w:spacing w:line="244" w:lineRule="auto"/>
        <w:rPr>
          <w:color w:val="auto"/>
          <w:highlight w:val="none"/>
        </w:rPr>
      </w:pPr>
    </w:p>
    <w:p w14:paraId="1043CB0E">
      <w:pPr>
        <w:pStyle w:val="2"/>
        <w:spacing w:line="244" w:lineRule="auto"/>
        <w:rPr>
          <w:color w:val="auto"/>
          <w:highlight w:val="none"/>
        </w:rPr>
      </w:pPr>
    </w:p>
    <w:p w14:paraId="2095F15F">
      <w:pPr>
        <w:pStyle w:val="2"/>
        <w:spacing w:line="244" w:lineRule="auto"/>
        <w:rPr>
          <w:color w:val="auto"/>
          <w:highlight w:val="none"/>
        </w:rPr>
      </w:pPr>
    </w:p>
    <w:p w14:paraId="269F7898">
      <w:pPr>
        <w:pStyle w:val="2"/>
        <w:spacing w:line="244" w:lineRule="auto"/>
        <w:rPr>
          <w:color w:val="auto"/>
          <w:highlight w:val="none"/>
        </w:rPr>
      </w:pPr>
    </w:p>
    <w:p w14:paraId="7B33A221">
      <w:pPr>
        <w:pStyle w:val="2"/>
        <w:spacing w:line="244" w:lineRule="auto"/>
        <w:rPr>
          <w:color w:val="auto"/>
          <w:highlight w:val="none"/>
        </w:rPr>
      </w:pPr>
    </w:p>
    <w:p w14:paraId="339200CA">
      <w:pPr>
        <w:pStyle w:val="2"/>
        <w:spacing w:line="244" w:lineRule="auto"/>
        <w:rPr>
          <w:color w:val="auto"/>
          <w:highlight w:val="none"/>
        </w:rPr>
      </w:pPr>
    </w:p>
    <w:p w14:paraId="1BC55AAC">
      <w:pPr>
        <w:pStyle w:val="2"/>
        <w:spacing w:line="244" w:lineRule="auto"/>
        <w:rPr>
          <w:color w:val="auto"/>
          <w:highlight w:val="none"/>
        </w:rPr>
      </w:pPr>
    </w:p>
    <w:p w14:paraId="46ED135C">
      <w:pPr>
        <w:pStyle w:val="2"/>
        <w:spacing w:line="244" w:lineRule="auto"/>
        <w:rPr>
          <w:color w:val="auto"/>
          <w:highlight w:val="none"/>
        </w:rPr>
      </w:pPr>
    </w:p>
    <w:p w14:paraId="0B9B461F">
      <w:pPr>
        <w:pStyle w:val="2"/>
        <w:spacing w:line="244" w:lineRule="auto"/>
        <w:rPr>
          <w:color w:val="auto"/>
          <w:highlight w:val="none"/>
        </w:rPr>
      </w:pPr>
    </w:p>
    <w:p w14:paraId="02E49408">
      <w:pPr>
        <w:pStyle w:val="2"/>
        <w:spacing w:line="244" w:lineRule="auto"/>
        <w:rPr>
          <w:color w:val="auto"/>
          <w:highlight w:val="none"/>
        </w:rPr>
      </w:pPr>
    </w:p>
    <w:p w14:paraId="05FBC810">
      <w:pPr>
        <w:pStyle w:val="2"/>
        <w:spacing w:line="244" w:lineRule="auto"/>
        <w:rPr>
          <w:color w:val="auto"/>
          <w:highlight w:val="none"/>
        </w:rPr>
      </w:pPr>
    </w:p>
    <w:p w14:paraId="7C0B9075">
      <w:pPr>
        <w:pStyle w:val="2"/>
        <w:spacing w:line="244" w:lineRule="auto"/>
        <w:rPr>
          <w:color w:val="auto"/>
          <w:highlight w:val="none"/>
        </w:rPr>
      </w:pPr>
    </w:p>
    <w:p w14:paraId="4FADA49A">
      <w:pPr>
        <w:pStyle w:val="2"/>
        <w:spacing w:line="244" w:lineRule="auto"/>
        <w:rPr>
          <w:color w:val="auto"/>
          <w:highlight w:val="none"/>
        </w:rPr>
      </w:pPr>
    </w:p>
    <w:p w14:paraId="765FE694">
      <w:pPr>
        <w:pStyle w:val="2"/>
        <w:spacing w:line="244" w:lineRule="auto"/>
        <w:rPr>
          <w:color w:val="auto"/>
          <w:highlight w:val="none"/>
        </w:rPr>
      </w:pPr>
    </w:p>
    <w:p w14:paraId="533D2C11">
      <w:pPr>
        <w:pStyle w:val="2"/>
        <w:spacing w:line="244" w:lineRule="auto"/>
        <w:rPr>
          <w:color w:val="auto"/>
          <w:highlight w:val="none"/>
        </w:rPr>
      </w:pPr>
    </w:p>
    <w:p w14:paraId="13F3188C">
      <w:pPr>
        <w:pStyle w:val="2"/>
        <w:spacing w:line="244" w:lineRule="auto"/>
        <w:rPr>
          <w:color w:val="auto"/>
          <w:highlight w:val="none"/>
        </w:rPr>
      </w:pPr>
    </w:p>
    <w:p w14:paraId="301C55EF">
      <w:pPr>
        <w:pStyle w:val="2"/>
        <w:spacing w:line="244" w:lineRule="auto"/>
        <w:rPr>
          <w:color w:val="auto"/>
          <w:highlight w:val="none"/>
        </w:rPr>
      </w:pPr>
    </w:p>
    <w:p w14:paraId="77123719">
      <w:pPr>
        <w:pStyle w:val="2"/>
        <w:spacing w:line="244" w:lineRule="auto"/>
        <w:rPr>
          <w:color w:val="auto"/>
          <w:highlight w:val="none"/>
        </w:rPr>
      </w:pPr>
    </w:p>
    <w:p w14:paraId="4C0EC649">
      <w:pPr>
        <w:pStyle w:val="2"/>
        <w:spacing w:line="244" w:lineRule="auto"/>
        <w:rPr>
          <w:color w:val="auto"/>
          <w:highlight w:val="none"/>
        </w:rPr>
      </w:pPr>
    </w:p>
    <w:p w14:paraId="09C2EB6A">
      <w:pPr>
        <w:pStyle w:val="2"/>
        <w:spacing w:line="244" w:lineRule="auto"/>
        <w:rPr>
          <w:color w:val="auto"/>
          <w:highlight w:val="none"/>
        </w:rPr>
      </w:pPr>
    </w:p>
    <w:p w14:paraId="11B7A850">
      <w:pPr>
        <w:pStyle w:val="2"/>
        <w:spacing w:line="244" w:lineRule="auto"/>
        <w:rPr>
          <w:color w:val="auto"/>
          <w:highlight w:val="none"/>
        </w:rPr>
      </w:pPr>
    </w:p>
    <w:p w14:paraId="7DA62252">
      <w:pPr>
        <w:pStyle w:val="2"/>
        <w:spacing w:line="244" w:lineRule="auto"/>
        <w:rPr>
          <w:color w:val="auto"/>
          <w:highlight w:val="none"/>
        </w:rPr>
      </w:pPr>
    </w:p>
    <w:p w14:paraId="3F3D3141">
      <w:pPr>
        <w:pStyle w:val="2"/>
        <w:spacing w:line="245" w:lineRule="auto"/>
        <w:rPr>
          <w:color w:val="auto"/>
          <w:highlight w:val="none"/>
        </w:rPr>
      </w:pPr>
    </w:p>
    <w:p w14:paraId="5485A97C">
      <w:pPr>
        <w:pStyle w:val="2"/>
        <w:spacing w:line="245" w:lineRule="auto"/>
        <w:rPr>
          <w:color w:val="auto"/>
          <w:highlight w:val="none"/>
        </w:rPr>
      </w:pPr>
    </w:p>
    <w:p w14:paraId="11CDFDA4">
      <w:pPr>
        <w:spacing w:before="101" w:line="225" w:lineRule="auto"/>
        <w:ind w:left="3278"/>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第三节</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经济标</w:t>
      </w:r>
    </w:p>
    <w:p w14:paraId="3F6E86A8">
      <w:pPr>
        <w:spacing w:line="225" w:lineRule="auto"/>
        <w:rPr>
          <w:rFonts w:ascii="宋体" w:hAnsi="宋体" w:eastAsia="宋体" w:cs="宋体"/>
          <w:color w:val="auto"/>
          <w:sz w:val="31"/>
          <w:szCs w:val="31"/>
          <w:highlight w:val="none"/>
        </w:rPr>
        <w:sectPr>
          <w:footerReference r:id="rId49" w:type="default"/>
          <w:pgSz w:w="11906" w:h="16839"/>
          <w:pgMar w:top="1440" w:right="1800" w:bottom="1440" w:left="1800" w:header="0" w:footer="973" w:gutter="0"/>
          <w:pgNumType w:fmt="decimal"/>
          <w:cols w:space="720" w:num="1"/>
        </w:sectPr>
      </w:pPr>
    </w:p>
    <w:p w14:paraId="261F71DD">
      <w:pPr>
        <w:pStyle w:val="2"/>
        <w:spacing w:line="269" w:lineRule="auto"/>
        <w:rPr>
          <w:color w:val="auto"/>
          <w:highlight w:val="none"/>
        </w:rPr>
      </w:pPr>
    </w:p>
    <w:p w14:paraId="7EAA7287">
      <w:pPr>
        <w:pStyle w:val="2"/>
        <w:spacing w:line="269" w:lineRule="auto"/>
        <w:rPr>
          <w:color w:val="auto"/>
          <w:highlight w:val="none"/>
        </w:rPr>
      </w:pPr>
    </w:p>
    <w:p w14:paraId="29D3F9F6">
      <w:pPr>
        <w:pStyle w:val="2"/>
        <w:spacing w:line="269" w:lineRule="auto"/>
        <w:rPr>
          <w:color w:val="auto"/>
          <w:highlight w:val="none"/>
        </w:rPr>
      </w:pPr>
    </w:p>
    <w:p w14:paraId="3F1A3712">
      <w:pPr>
        <w:pStyle w:val="2"/>
        <w:spacing w:line="269" w:lineRule="auto"/>
        <w:rPr>
          <w:color w:val="auto"/>
          <w:highlight w:val="none"/>
        </w:rPr>
      </w:pPr>
    </w:p>
    <w:p w14:paraId="71188464">
      <w:pPr>
        <w:pStyle w:val="2"/>
        <w:spacing w:line="270" w:lineRule="auto"/>
        <w:rPr>
          <w:color w:val="auto"/>
          <w:highlight w:val="none"/>
        </w:rPr>
      </w:pPr>
    </w:p>
    <w:p w14:paraId="3AEDDB0A">
      <w:pPr>
        <w:spacing w:before="101" w:line="224" w:lineRule="auto"/>
        <w:ind w:left="2883"/>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第九章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补充条款</w:t>
      </w:r>
    </w:p>
    <w:p w14:paraId="43535D28">
      <w:pPr>
        <w:pStyle w:val="2"/>
        <w:spacing w:line="450" w:lineRule="auto"/>
        <w:rPr>
          <w:color w:val="auto"/>
          <w:highlight w:val="none"/>
        </w:rPr>
      </w:pPr>
    </w:p>
    <w:p w14:paraId="4604E8F8">
      <w:pPr>
        <w:spacing w:before="91" w:line="220" w:lineRule="auto"/>
        <w:ind w:left="3552"/>
        <w:outlineLvl w:val="1"/>
        <w:rPr>
          <w:rFonts w:ascii="宋体" w:hAnsi="宋体" w:eastAsia="宋体" w:cs="宋体"/>
          <w:color w:val="auto"/>
          <w:sz w:val="28"/>
          <w:szCs w:val="28"/>
          <w:highlight w:val="none"/>
        </w:rPr>
      </w:pPr>
      <w:bookmarkStart w:id="37" w:name="_Toc9045"/>
      <w:r>
        <w:rPr>
          <w:rFonts w:ascii="宋体" w:hAnsi="宋体" w:eastAsia="宋体" w:cs="宋体"/>
          <w:b/>
          <w:bCs/>
          <w:color w:val="auto"/>
          <w:spacing w:val="-4"/>
          <w:sz w:val="28"/>
          <w:szCs w:val="28"/>
          <w:highlight w:val="none"/>
        </w:rPr>
        <w:t>其他补充文件</w:t>
      </w:r>
      <w:bookmarkEnd w:id="37"/>
    </w:p>
    <w:p w14:paraId="64B0B431">
      <w:pPr>
        <w:pStyle w:val="2"/>
        <w:spacing w:line="445" w:lineRule="auto"/>
        <w:rPr>
          <w:color w:val="auto"/>
          <w:highlight w:val="none"/>
        </w:rPr>
      </w:pPr>
    </w:p>
    <w:p w14:paraId="69ED9FDF">
      <w:pPr>
        <w:spacing w:before="78" w:line="298" w:lineRule="auto"/>
        <w:ind w:firstLine="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投标人应当仔细核对磋商文件中有关废标条款和评标标准等相关内容，提供投标人认</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为应当附加的其它内容，以充分证明其投标响应符合磋商文件规定，并为评标打分提</w:t>
      </w:r>
      <w:r>
        <w:rPr>
          <w:rFonts w:ascii="宋体" w:hAnsi="宋体" w:eastAsia="宋体" w:cs="宋体"/>
          <w:color w:val="auto"/>
          <w:spacing w:val="-2"/>
          <w:sz w:val="24"/>
          <w:szCs w:val="24"/>
          <w:highlight w:val="none"/>
        </w:rPr>
        <w:t>供充分依据。</w:t>
      </w:r>
    </w:p>
    <w:sectPr>
      <w:footerReference r:id="rId50" w:type="default"/>
      <w:pgSz w:w="11906" w:h="16839"/>
      <w:pgMar w:top="1440" w:right="1800" w:bottom="1440" w:left="1800" w:header="0" w:footer="97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CA4539-458E-415C-BAC1-7834FD4362E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4B9DB8B-E411-499C-9BCF-EA3884A721E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embedRegular r:id="rId3" w:fontKey="{60463E2E-675B-422A-BA38-93613F820C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9C54">
    <w:pPr>
      <w:spacing w:line="163" w:lineRule="auto"/>
      <w:ind w:left="4075"/>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CDC39">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2CDC39">
                    <w:pPr>
                      <w:pStyle w:val="6"/>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80A0">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8BC30">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AE8BC30">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E07D">
    <w:pPr>
      <w:spacing w:line="163" w:lineRule="auto"/>
      <w:ind w:left="4027"/>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D24FA">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5D24FA">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04329">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A27B8">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AFA27B8">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2A1C">
    <w:pPr>
      <w:spacing w:line="163" w:lineRule="auto"/>
      <w:ind w:left="427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1708D">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91708D">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1EB4">
    <w:pPr>
      <w:spacing w:line="163" w:lineRule="auto"/>
      <w:ind w:left="3980"/>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B2009">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59B2009">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265D">
    <w:pPr>
      <w:spacing w:line="163" w:lineRule="auto"/>
      <w:ind w:left="3980"/>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45CE2">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5F45CE2">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E79">
    <w:pPr>
      <w:spacing w:line="163" w:lineRule="auto"/>
      <w:ind w:left="4211"/>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C106">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9EAC106">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4FCA">
    <w:pPr>
      <w:spacing w:line="163" w:lineRule="auto"/>
      <w:ind w:left="4211"/>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B2AC4">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56B2AC4">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EB42">
    <w:pPr>
      <w:spacing w:line="162" w:lineRule="auto"/>
      <w:ind w:left="4211"/>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79CEC">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3579CEC">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C14F">
    <w:pPr>
      <w:spacing w:line="163" w:lineRule="auto"/>
      <w:ind w:left="4028"/>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6A14AE">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C6A14AE">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4E02">
    <w:pPr>
      <w:spacing w:line="163" w:lineRule="auto"/>
      <w:ind w:left="407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2A0AC">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42A0AC">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1376A">
    <w:pPr>
      <w:spacing w:line="161" w:lineRule="auto"/>
      <w:ind w:left="4028"/>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75420">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0E75420">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24A6D">
    <w:pPr>
      <w:spacing w:line="163" w:lineRule="auto"/>
      <w:ind w:left="4207"/>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EE5B7">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6EE5B7">
                    <w:pPr>
                      <w:pStyle w:val="6"/>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6B48">
    <w:pPr>
      <w:spacing w:line="161" w:lineRule="auto"/>
      <w:ind w:left="3953"/>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736A2">
                          <w:pPr>
                            <w:pStyle w:val="6"/>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31736A2">
                    <w:pPr>
                      <w:pStyle w:val="6"/>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FF35E">
    <w:pPr>
      <w:spacing w:line="163" w:lineRule="auto"/>
      <w:ind w:left="4038"/>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6889C">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286889C">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32E7">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80066">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6B80066">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E9141">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390E7">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65390E7">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2415">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A53EA">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50A53EA">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C0F1D">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A7C7">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E58A7C7">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0744">
    <w:pPr>
      <w:spacing w:line="163" w:lineRule="auto"/>
      <w:ind w:left="4027"/>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7E1A0">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687E1A0">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45C4">
    <w:pPr>
      <w:spacing w:line="163" w:lineRule="auto"/>
      <w:ind w:left="4028"/>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99E1D">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899E1D">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1214">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3EA24">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83EA24">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25D3">
    <w:pPr>
      <w:spacing w:line="162" w:lineRule="auto"/>
      <w:ind w:left="4028"/>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D035C">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73D035C">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6758">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129E4">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09129E4">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3DDB">
    <w:pPr>
      <w:spacing w:line="163" w:lineRule="auto"/>
      <w:ind w:left="4028"/>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98BC1">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4F98BC1">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620B">
    <w:pPr>
      <w:spacing w:line="162" w:lineRule="auto"/>
      <w:ind w:left="4029"/>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4C2C">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5DF4C2C">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3BE5">
    <w:pPr>
      <w:spacing w:line="161" w:lineRule="auto"/>
      <w:ind w:left="4030"/>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797B3">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79797B3">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A774E">
    <w:pPr>
      <w:spacing w:line="163" w:lineRule="auto"/>
      <w:ind w:left="4028"/>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25C35">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20D25C35">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F2EA">
    <w:pPr>
      <w:spacing w:line="161" w:lineRule="auto"/>
      <w:ind w:left="4029"/>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F5E1">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CDCF5E1">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6EAC">
    <w:pPr>
      <w:spacing w:line="163" w:lineRule="auto"/>
      <w:ind w:left="4026"/>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57F06">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D457F06">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3AC6">
    <w:pPr>
      <w:spacing w:line="163" w:lineRule="auto"/>
      <w:ind w:left="4274"/>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E7374">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7AE7374">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800C">
    <w:pPr>
      <w:spacing w:line="163" w:lineRule="auto"/>
      <w:ind w:left="4275"/>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41967">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4641967">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9B05">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CC211">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4CC211">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6996">
    <w:pPr>
      <w:spacing w:line="163" w:lineRule="auto"/>
      <w:ind w:left="4150"/>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8F3B2">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008F3B2">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FA22">
    <w:pPr>
      <w:spacing w:line="163" w:lineRule="auto"/>
      <w:ind w:left="3953"/>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73F6B">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DA73F6B">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5B1CF">
    <w:pPr>
      <w:spacing w:line="163" w:lineRule="auto"/>
      <w:ind w:left="3953"/>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54628">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1254628">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94866">
    <w:pPr>
      <w:spacing w:line="163" w:lineRule="auto"/>
      <w:ind w:left="4028"/>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BAC32">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E2BAC32">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111E">
    <w:pPr>
      <w:spacing w:line="162" w:lineRule="auto"/>
      <w:ind w:left="402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E8370">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1E8370">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3D48">
    <w:pPr>
      <w:spacing w:line="163" w:lineRule="auto"/>
      <w:ind w:left="4030"/>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AA2C">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46AA2C">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7EFF">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CEB63">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5CEB63">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3788">
    <w:pPr>
      <w:spacing w:line="163" w:lineRule="auto"/>
      <w:ind w:left="4029"/>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E757B">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A6E757B">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C05AF">
    <w:pPr>
      <w:spacing w:line="163" w:lineRule="auto"/>
      <w:ind w:left="4028"/>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1C9E7">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D1C9E7">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46AA">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9D87">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4D6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23CA6"/>
    <w:multiLevelType w:val="singleLevel"/>
    <w:tmpl w:val="09A23CA6"/>
    <w:lvl w:ilvl="0" w:tentative="0">
      <w:start w:val="1"/>
      <w:numFmt w:val="decimal"/>
      <w:lvlText w:val="%1."/>
      <w:lvlJc w:val="left"/>
      <w:pPr>
        <w:tabs>
          <w:tab w:val="left" w:pos="312"/>
        </w:tabs>
      </w:pPr>
    </w:lvl>
  </w:abstractNum>
  <w:abstractNum w:abstractNumId="1">
    <w:nsid w:val="5D3235D7"/>
    <w:multiLevelType w:val="singleLevel"/>
    <w:tmpl w:val="5D3235D7"/>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33154E"/>
    <w:rsid w:val="027223BA"/>
    <w:rsid w:val="02B84116"/>
    <w:rsid w:val="031E451D"/>
    <w:rsid w:val="049B210D"/>
    <w:rsid w:val="04B93D10"/>
    <w:rsid w:val="04C2712A"/>
    <w:rsid w:val="075C6446"/>
    <w:rsid w:val="07913B30"/>
    <w:rsid w:val="091D75BB"/>
    <w:rsid w:val="09547CC7"/>
    <w:rsid w:val="09850FEC"/>
    <w:rsid w:val="0B026D94"/>
    <w:rsid w:val="0FA17020"/>
    <w:rsid w:val="0FED6616"/>
    <w:rsid w:val="11AD791B"/>
    <w:rsid w:val="151C705B"/>
    <w:rsid w:val="15AF6136"/>
    <w:rsid w:val="18694035"/>
    <w:rsid w:val="1962557A"/>
    <w:rsid w:val="1D535612"/>
    <w:rsid w:val="2360305F"/>
    <w:rsid w:val="24530749"/>
    <w:rsid w:val="252F4721"/>
    <w:rsid w:val="25A71B6D"/>
    <w:rsid w:val="262A3E7B"/>
    <w:rsid w:val="26607858"/>
    <w:rsid w:val="26997399"/>
    <w:rsid w:val="2786250D"/>
    <w:rsid w:val="2B0E0B33"/>
    <w:rsid w:val="2CCD473A"/>
    <w:rsid w:val="2D9E2992"/>
    <w:rsid w:val="30B46ACE"/>
    <w:rsid w:val="35CF2FCF"/>
    <w:rsid w:val="361E3794"/>
    <w:rsid w:val="375E1680"/>
    <w:rsid w:val="3B9823B7"/>
    <w:rsid w:val="3D8B6E33"/>
    <w:rsid w:val="3DA24D4C"/>
    <w:rsid w:val="3EEB27FE"/>
    <w:rsid w:val="406D7B1D"/>
    <w:rsid w:val="44E96829"/>
    <w:rsid w:val="4578783A"/>
    <w:rsid w:val="46481EE7"/>
    <w:rsid w:val="47644C85"/>
    <w:rsid w:val="48A851CF"/>
    <w:rsid w:val="4B272B2C"/>
    <w:rsid w:val="4CAA25AF"/>
    <w:rsid w:val="51173AE3"/>
    <w:rsid w:val="51AD72C8"/>
    <w:rsid w:val="52E46908"/>
    <w:rsid w:val="532F4056"/>
    <w:rsid w:val="55160CB7"/>
    <w:rsid w:val="55340A97"/>
    <w:rsid w:val="57BC2B32"/>
    <w:rsid w:val="58D345D7"/>
    <w:rsid w:val="58E10AA2"/>
    <w:rsid w:val="5E0D5844"/>
    <w:rsid w:val="5EFD5918"/>
    <w:rsid w:val="62C55A02"/>
    <w:rsid w:val="62CC167B"/>
    <w:rsid w:val="6369635F"/>
    <w:rsid w:val="6BCF0118"/>
    <w:rsid w:val="6CC8757A"/>
    <w:rsid w:val="78246442"/>
    <w:rsid w:val="7B0F7A3C"/>
    <w:rsid w:val="7FB45505"/>
    <w:rsid w:val="7FCD7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next w:val="4"/>
    <w:qFormat/>
    <w:uiPriority w:val="0"/>
    <w:pPr>
      <w:ind w:firstLine="630"/>
    </w:pPr>
    <w:rPr>
      <w:rFonts w:ascii="Calibri" w:hAnsi="Calibri" w:eastAsia="楷体_GB2312" w:cs="Times New Roman"/>
      <w:kern w:val="0"/>
      <w:sz w:val="30"/>
    </w:rPr>
  </w:style>
  <w:style w:type="paragraph" w:styleId="4">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3"/>
    <w:next w:val="10"/>
    <w:qFormat/>
    <w:uiPriority w:val="0"/>
    <w:pPr>
      <w:spacing w:after="120"/>
      <w:ind w:left="420" w:leftChars="200" w:firstLine="420" w:firstLineChars="200"/>
    </w:pPr>
    <w:rPr>
      <w:rFonts w:ascii="Times New Roman" w:hAnsi="Times New Roman" w:eastAsia="宋体" w:cs="Times New Roman"/>
      <w:sz w:val="21"/>
      <w:lang w:val="en-US" w:eastAsia="zh-CN"/>
    </w:rPr>
  </w:style>
  <w:style w:type="paragraph" w:customStyle="1" w:styleId="10">
    <w:name w:val="样式 正文首行缩进 2 + Arial"/>
    <w:next w:val="1"/>
    <w:qFormat/>
    <w:uiPriority w:val="0"/>
    <w:pPr>
      <w:spacing w:after="120" w:line="320" w:lineRule="atLeast"/>
      <w:ind w:firstLine="200" w:firstLineChars="200"/>
    </w:pPr>
    <w:rPr>
      <w:rFonts w:ascii="Arial" w:hAnsi="Arial" w:eastAsia="宋体" w:cs="Times New Roman"/>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0" Type="http://schemas.openxmlformats.org/officeDocument/2006/relationships/fontTable" Target="fontTable.xml"/><Relationship Id="rId6" Type="http://schemas.openxmlformats.org/officeDocument/2006/relationships/header" Target="head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6.png"/><Relationship Id="rId56" Type="http://schemas.openxmlformats.org/officeDocument/2006/relationships/image" Target="media/image5.pn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3.xml"/><Relationship Id="rId5" Type="http://schemas.openxmlformats.org/officeDocument/2006/relationships/header" Target="head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header" Target="header3.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Info spid="_x0000_s1029"/>
    <customShpInfo spid="_x0000_s1030"/>
    <customShpInfo spid="_x0000_s1027"/>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1"/>
    <customShpInfo spid="_x0000_s1042"/>
    <customShpInfo spid="_x0000_s1040"/>
    <customShpInfo spid="_x0000_s1044"/>
    <customShpInfo spid="_x0000_s1045"/>
    <customShpInfo spid="_x0000_s1043"/>
    <customShpInfo spid="_x0000_s1047"/>
    <customShpInfo spid="_x0000_s1048"/>
    <customShpInfo spid="_x0000_s1046"/>
    <customShpInfo spid="_x0000_s1050"/>
    <customShpInfo spid="_x0000_s1051"/>
    <customShpInfo spid="_x0000_s1049"/>
    <customShpInfo spid="_x0000_s1053"/>
    <customShpInfo spid="_x0000_s1054"/>
    <customShpInfo spid="_x0000_s1052"/>
    <customShpInfo spid="_x0000_s1056"/>
    <customShpInfo spid="_x0000_s1057"/>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15397</Words>
  <Characters>16576</Characters>
  <TotalTime>17</TotalTime>
  <ScaleCrop>false</ScaleCrop>
  <LinksUpToDate>false</LinksUpToDate>
  <CharactersWithSpaces>17265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2024-07-24T17:34:00Z</dcterms:created>
  <dc:creator>Administrator</dc:creator>
  <cp:lastModifiedBy>猫猫晒太阳哦</cp:lastModifiedBy>
  <dcterms:modified xsi:type="dcterms:W3CDTF">2025-06-18T08:12:49Z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2025-04-21T10:31:41Z</vt:filetime>
  </property>
  <property fmtid="{D5CDD505-2E9C-101B-9397-08002B2CF9AE}" pid="4" name="KSOTemplateDocerSaveRecord">
    <vt:lpwstr>eyJoZGlkIjoiMTliMDljOTk0NTI1ZmM1YTY2Mjk4MjZiNTZhNDk5OTIiLCJ1c2VySWQiOiI1Nzk5ODg4NzYifQ==</vt:lpwstr>
  </property>
  <property fmtid="{D5CDD505-2E9C-101B-9397-08002B2CF9AE}" pid="5" name="KSOProductBuildVer">
    <vt:lpwstr>2052-12.1.0.21541</vt:lpwstr>
  </property>
  <property fmtid="{D5CDD505-2E9C-101B-9397-08002B2CF9AE}" pid="6" name="ICV">
    <vt:lpwstr>6BA21511E6564D378B496107A572B3D2_12</vt:lpwstr>
  </property>
</Properties>
</file>