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33BA">
      <w:pPr>
        <w:spacing w:line="266" w:lineRule="auto"/>
        <w:rPr>
          <w:rFonts w:ascii="Arial"/>
          <w:color w:val="auto"/>
          <w:sz w:val="21"/>
          <w:highlight w:val="none"/>
        </w:rPr>
      </w:pPr>
    </w:p>
    <w:p w14:paraId="2A5C2C86">
      <w:pPr>
        <w:spacing w:line="266" w:lineRule="auto"/>
        <w:rPr>
          <w:rFonts w:ascii="Arial"/>
          <w:color w:val="auto"/>
          <w:sz w:val="21"/>
          <w:highlight w:val="none"/>
        </w:rPr>
      </w:pPr>
    </w:p>
    <w:p w14:paraId="38C0914A">
      <w:pPr>
        <w:spacing w:line="266" w:lineRule="auto"/>
        <w:rPr>
          <w:rFonts w:ascii="Arial"/>
          <w:color w:val="auto"/>
          <w:sz w:val="21"/>
          <w:highlight w:val="none"/>
        </w:rPr>
      </w:pPr>
    </w:p>
    <w:p w14:paraId="784C3859">
      <w:pPr>
        <w:spacing w:line="267" w:lineRule="auto"/>
        <w:rPr>
          <w:rFonts w:ascii="Arial"/>
          <w:color w:val="auto"/>
          <w:sz w:val="21"/>
          <w:highlight w:val="none"/>
        </w:rPr>
      </w:pPr>
    </w:p>
    <w:p w14:paraId="46A2A38C">
      <w:pPr>
        <w:spacing w:line="267" w:lineRule="auto"/>
        <w:rPr>
          <w:rFonts w:ascii="Arial"/>
          <w:color w:val="auto"/>
          <w:sz w:val="21"/>
          <w:highlight w:val="none"/>
        </w:rPr>
      </w:pPr>
    </w:p>
    <w:p w14:paraId="21B2D00A">
      <w:pPr>
        <w:jc w:val="center"/>
        <w:rPr>
          <w:b/>
          <w:bCs/>
          <w:color w:val="auto"/>
          <w:spacing w:val="-3"/>
          <w:sz w:val="54"/>
          <w:szCs w:val="54"/>
          <w:highlight w:val="none"/>
        </w:rPr>
      </w:pPr>
      <w:r>
        <w:rPr>
          <w:rFonts w:hint="eastAsia"/>
          <w:b/>
          <w:bCs/>
          <w:color w:val="auto"/>
          <w:spacing w:val="-3"/>
          <w:sz w:val="54"/>
          <w:szCs w:val="54"/>
          <w:highlight w:val="none"/>
          <w:lang w:val="en-US" w:eastAsia="zh-CN"/>
        </w:rPr>
        <w:t>伊犁哈萨克自治州纤维检验所2025年棉花公证检验设备配件及空调辅助设备维护服务项目</w:t>
      </w:r>
    </w:p>
    <w:p w14:paraId="1E94E5A0">
      <w:pPr>
        <w:spacing w:line="318" w:lineRule="auto"/>
        <w:rPr>
          <w:rFonts w:ascii="Arial"/>
          <w:color w:val="auto"/>
          <w:sz w:val="21"/>
          <w:highlight w:val="none"/>
        </w:rPr>
      </w:pPr>
    </w:p>
    <w:p w14:paraId="4C5E5387">
      <w:pPr>
        <w:spacing w:line="319" w:lineRule="auto"/>
        <w:rPr>
          <w:rFonts w:ascii="Arial"/>
          <w:color w:val="auto"/>
          <w:sz w:val="21"/>
          <w:highlight w:val="none"/>
        </w:rPr>
      </w:pPr>
    </w:p>
    <w:p w14:paraId="62A7D11A">
      <w:pPr>
        <w:pStyle w:val="8"/>
        <w:spacing w:before="103" w:line="188" w:lineRule="auto"/>
        <w:jc w:val="center"/>
        <w:rPr>
          <w:rFonts w:hint="default" w:eastAsia="微软雅黑"/>
          <w:color w:val="auto"/>
          <w:sz w:val="24"/>
          <w:szCs w:val="24"/>
          <w:highlight w:val="none"/>
          <w:lang w:val="en-US" w:eastAsia="zh-CN"/>
        </w:rPr>
      </w:pPr>
      <w:r>
        <w:rPr>
          <w:b/>
          <w:bCs/>
          <w:color w:val="auto"/>
          <w:spacing w:val="-29"/>
          <w:sz w:val="24"/>
          <w:szCs w:val="24"/>
          <w:highlight w:val="none"/>
        </w:rPr>
        <w:t>项目编码：</w:t>
      </w:r>
      <w:r>
        <w:rPr>
          <w:rFonts w:hint="eastAsia"/>
          <w:b/>
          <w:bCs/>
          <w:color w:val="auto"/>
          <w:spacing w:val="-29"/>
          <w:sz w:val="24"/>
          <w:szCs w:val="24"/>
          <w:highlight w:val="none"/>
          <w:lang w:val="en-US" w:eastAsia="zh-CN"/>
        </w:rPr>
        <w:t>MHGZJC-2025-001</w:t>
      </w:r>
    </w:p>
    <w:p w14:paraId="0CF7CE4D">
      <w:pPr>
        <w:rPr>
          <w:rFonts w:ascii="Arial"/>
          <w:color w:val="auto"/>
          <w:sz w:val="21"/>
          <w:highlight w:val="none"/>
        </w:rPr>
      </w:pPr>
    </w:p>
    <w:p w14:paraId="19353848">
      <w:pPr>
        <w:rPr>
          <w:rFonts w:ascii="Arial"/>
          <w:color w:val="auto"/>
          <w:sz w:val="21"/>
          <w:highlight w:val="none"/>
        </w:rPr>
      </w:pPr>
    </w:p>
    <w:p w14:paraId="0B229035">
      <w:pPr>
        <w:rPr>
          <w:rFonts w:ascii="Arial"/>
          <w:color w:val="auto"/>
          <w:sz w:val="21"/>
          <w:highlight w:val="none"/>
        </w:rPr>
      </w:pPr>
    </w:p>
    <w:p w14:paraId="33976E65">
      <w:pPr>
        <w:rPr>
          <w:rFonts w:ascii="Arial"/>
          <w:color w:val="auto"/>
          <w:sz w:val="21"/>
          <w:highlight w:val="none"/>
        </w:rPr>
      </w:pPr>
    </w:p>
    <w:p w14:paraId="3F72CC36">
      <w:pPr>
        <w:rPr>
          <w:rFonts w:ascii="Arial"/>
          <w:color w:val="auto"/>
          <w:sz w:val="21"/>
          <w:highlight w:val="none"/>
        </w:rPr>
      </w:pPr>
    </w:p>
    <w:p w14:paraId="527263D3">
      <w:pPr>
        <w:rPr>
          <w:rFonts w:ascii="Arial"/>
          <w:color w:val="auto"/>
          <w:sz w:val="21"/>
          <w:highlight w:val="none"/>
        </w:rPr>
      </w:pPr>
    </w:p>
    <w:p w14:paraId="7DEA82D9">
      <w:pPr>
        <w:rPr>
          <w:rFonts w:ascii="Arial"/>
          <w:color w:val="auto"/>
          <w:sz w:val="21"/>
          <w:highlight w:val="none"/>
        </w:rPr>
      </w:pPr>
    </w:p>
    <w:p w14:paraId="0A20905C">
      <w:pPr>
        <w:pStyle w:val="8"/>
        <w:spacing w:before="361" w:line="189" w:lineRule="auto"/>
        <w:ind w:left="2770"/>
        <w:outlineLvl w:val="0"/>
        <w:rPr>
          <w:color w:val="auto"/>
          <w:sz w:val="84"/>
          <w:szCs w:val="84"/>
          <w:highlight w:val="none"/>
        </w:rPr>
      </w:pPr>
      <w:r>
        <w:rPr>
          <w:b/>
          <w:bCs/>
          <w:color w:val="auto"/>
          <w:spacing w:val="-20"/>
          <w:w w:val="97"/>
          <w:sz w:val="84"/>
          <w:szCs w:val="84"/>
          <w:highlight w:val="none"/>
        </w:rPr>
        <w:t>招</w:t>
      </w:r>
      <w:r>
        <w:rPr>
          <w:b/>
          <w:bCs/>
          <w:color w:val="auto"/>
          <w:spacing w:val="241"/>
          <w:sz w:val="84"/>
          <w:szCs w:val="84"/>
          <w:highlight w:val="none"/>
        </w:rPr>
        <w:t xml:space="preserve"> </w:t>
      </w:r>
      <w:r>
        <w:rPr>
          <w:b/>
          <w:bCs/>
          <w:color w:val="auto"/>
          <w:spacing w:val="-20"/>
          <w:w w:val="97"/>
          <w:sz w:val="84"/>
          <w:szCs w:val="84"/>
          <w:highlight w:val="none"/>
        </w:rPr>
        <w:t>标</w:t>
      </w:r>
      <w:r>
        <w:rPr>
          <w:b/>
          <w:bCs/>
          <w:color w:val="auto"/>
          <w:spacing w:val="225"/>
          <w:sz w:val="84"/>
          <w:szCs w:val="84"/>
          <w:highlight w:val="none"/>
        </w:rPr>
        <w:t xml:space="preserve"> </w:t>
      </w:r>
      <w:r>
        <w:rPr>
          <w:b/>
          <w:bCs/>
          <w:color w:val="auto"/>
          <w:spacing w:val="-20"/>
          <w:w w:val="97"/>
          <w:sz w:val="84"/>
          <w:szCs w:val="84"/>
          <w:highlight w:val="none"/>
        </w:rPr>
        <w:t>文</w:t>
      </w:r>
      <w:r>
        <w:rPr>
          <w:b/>
          <w:bCs/>
          <w:color w:val="auto"/>
          <w:spacing w:val="225"/>
          <w:sz w:val="84"/>
          <w:szCs w:val="84"/>
          <w:highlight w:val="none"/>
        </w:rPr>
        <w:t xml:space="preserve"> </w:t>
      </w:r>
      <w:r>
        <w:rPr>
          <w:b/>
          <w:bCs/>
          <w:color w:val="auto"/>
          <w:spacing w:val="-20"/>
          <w:w w:val="97"/>
          <w:sz w:val="84"/>
          <w:szCs w:val="84"/>
          <w:highlight w:val="none"/>
        </w:rPr>
        <w:t>件</w:t>
      </w:r>
    </w:p>
    <w:p w14:paraId="42711FDA">
      <w:pPr>
        <w:spacing w:line="246" w:lineRule="auto"/>
        <w:rPr>
          <w:rFonts w:ascii="Arial"/>
          <w:color w:val="auto"/>
          <w:sz w:val="21"/>
          <w:highlight w:val="none"/>
        </w:rPr>
      </w:pPr>
    </w:p>
    <w:p w14:paraId="61B943F8">
      <w:pPr>
        <w:spacing w:line="246" w:lineRule="auto"/>
        <w:rPr>
          <w:rFonts w:ascii="Arial"/>
          <w:color w:val="auto"/>
          <w:sz w:val="21"/>
          <w:highlight w:val="none"/>
        </w:rPr>
      </w:pPr>
    </w:p>
    <w:p w14:paraId="13CB9DC8">
      <w:pPr>
        <w:spacing w:line="246" w:lineRule="auto"/>
        <w:rPr>
          <w:rFonts w:ascii="Arial"/>
          <w:color w:val="auto"/>
          <w:sz w:val="21"/>
          <w:highlight w:val="none"/>
        </w:rPr>
      </w:pPr>
    </w:p>
    <w:p w14:paraId="3F11EF74">
      <w:pPr>
        <w:spacing w:line="246" w:lineRule="auto"/>
        <w:rPr>
          <w:rFonts w:ascii="Arial"/>
          <w:color w:val="auto"/>
          <w:sz w:val="21"/>
          <w:highlight w:val="none"/>
        </w:rPr>
      </w:pPr>
    </w:p>
    <w:p w14:paraId="5C259719">
      <w:pPr>
        <w:spacing w:line="246" w:lineRule="auto"/>
        <w:rPr>
          <w:rFonts w:ascii="Arial"/>
          <w:color w:val="auto"/>
          <w:sz w:val="21"/>
          <w:highlight w:val="none"/>
        </w:rPr>
      </w:pPr>
    </w:p>
    <w:p w14:paraId="17CBF20B">
      <w:pPr>
        <w:spacing w:line="246" w:lineRule="auto"/>
        <w:rPr>
          <w:rFonts w:ascii="Arial"/>
          <w:color w:val="auto"/>
          <w:sz w:val="21"/>
          <w:highlight w:val="none"/>
        </w:rPr>
      </w:pPr>
    </w:p>
    <w:p w14:paraId="48C80D8E">
      <w:pPr>
        <w:spacing w:line="247" w:lineRule="auto"/>
        <w:rPr>
          <w:rFonts w:ascii="Arial"/>
          <w:color w:val="auto"/>
          <w:sz w:val="21"/>
          <w:highlight w:val="none"/>
        </w:rPr>
      </w:pPr>
    </w:p>
    <w:p w14:paraId="01569609">
      <w:pPr>
        <w:pStyle w:val="8"/>
        <w:spacing w:before="137" w:line="184" w:lineRule="auto"/>
        <w:ind w:left="285"/>
        <w:rPr>
          <w:rFonts w:hint="eastAsia" w:eastAsia="微软雅黑"/>
          <w:color w:val="auto"/>
          <w:highlight w:val="none"/>
          <w:lang w:eastAsia="zh-CN"/>
        </w:rPr>
      </w:pPr>
      <w:r>
        <w:rPr>
          <w:b/>
          <w:bCs/>
          <w:color w:val="auto"/>
          <w:spacing w:val="-2"/>
          <w:highlight w:val="none"/>
        </w:rPr>
        <w:t>招标人：</w:t>
      </w:r>
      <w:r>
        <w:rPr>
          <w:rFonts w:hint="eastAsia"/>
          <w:b/>
          <w:bCs/>
          <w:color w:val="auto"/>
          <w:spacing w:val="-2"/>
          <w:highlight w:val="none"/>
          <w:u w:val="single" w:color="auto"/>
          <w:lang w:eastAsia="zh-CN"/>
        </w:rPr>
        <w:t>伊犁哈萨克自治州纤维检验所</w:t>
      </w:r>
      <w:r>
        <w:rPr>
          <w:b/>
          <w:bCs/>
          <w:color w:val="auto"/>
          <w:spacing w:val="-2"/>
          <w:highlight w:val="none"/>
        </w:rPr>
        <w:t>（盖章）</w:t>
      </w:r>
    </w:p>
    <w:p w14:paraId="292EBC3D">
      <w:pPr>
        <w:pStyle w:val="8"/>
        <w:spacing w:before="202" w:line="188" w:lineRule="auto"/>
        <w:ind w:left="287"/>
        <w:rPr>
          <w:color w:val="auto"/>
          <w:highlight w:val="none"/>
        </w:rPr>
      </w:pPr>
      <w:r>
        <w:rPr>
          <w:b/>
          <w:bCs/>
          <w:color w:val="auto"/>
          <w:spacing w:val="-11"/>
          <w:highlight w:val="none"/>
        </w:rPr>
        <w:t>项目联系人:</w:t>
      </w:r>
      <w:r>
        <w:rPr>
          <w:b/>
          <w:bCs/>
          <w:color w:val="auto"/>
          <w:spacing w:val="-39"/>
          <w:highlight w:val="none"/>
          <w:u w:val="single" w:color="auto"/>
        </w:rPr>
        <w:t xml:space="preserve"> </w:t>
      </w:r>
      <w:r>
        <w:rPr>
          <w:b/>
          <w:bCs/>
          <w:color w:val="auto"/>
          <w:spacing w:val="-11"/>
          <w:highlight w:val="none"/>
          <w:u w:val="single" w:color="auto"/>
        </w:rPr>
        <w:t>曲志勇</w:t>
      </w:r>
      <w:r>
        <w:rPr>
          <w:b/>
          <w:bCs/>
          <w:color w:val="auto"/>
          <w:spacing w:val="65"/>
          <w:highlight w:val="none"/>
          <w:u w:val="single" w:color="auto"/>
        </w:rPr>
        <w:t xml:space="preserve"> </w:t>
      </w:r>
      <w:r>
        <w:rPr>
          <w:b/>
          <w:bCs/>
          <w:color w:val="auto"/>
          <w:spacing w:val="-11"/>
          <w:highlight w:val="none"/>
        </w:rPr>
        <w:t xml:space="preserve">                </w:t>
      </w:r>
      <w:r>
        <w:rPr>
          <w:b/>
          <w:bCs/>
          <w:color w:val="auto"/>
          <w:spacing w:val="-12"/>
          <w:highlight w:val="none"/>
        </w:rPr>
        <w:t>联系电话：</w:t>
      </w:r>
      <w:r>
        <w:rPr>
          <w:b/>
          <w:bCs/>
          <w:color w:val="auto"/>
          <w:spacing w:val="-12"/>
          <w:highlight w:val="none"/>
          <w:u w:val="single" w:color="auto"/>
        </w:rPr>
        <w:t>18009991686</w:t>
      </w:r>
    </w:p>
    <w:p w14:paraId="70926A7E">
      <w:pPr>
        <w:pStyle w:val="8"/>
        <w:spacing w:before="192" w:line="184" w:lineRule="auto"/>
        <w:ind w:left="285"/>
        <w:rPr>
          <w:color w:val="auto"/>
          <w:highlight w:val="none"/>
        </w:rPr>
      </w:pPr>
      <w:r>
        <w:rPr>
          <w:rFonts w:hint="eastAsia"/>
          <w:b/>
          <w:bCs/>
          <w:color w:val="auto"/>
          <w:spacing w:val="-2"/>
          <w:highlight w:val="none"/>
          <w:lang w:eastAsia="zh-CN"/>
        </w:rPr>
        <w:t>采购代理机构</w:t>
      </w:r>
      <w:r>
        <w:rPr>
          <w:b/>
          <w:bCs/>
          <w:color w:val="auto"/>
          <w:spacing w:val="-2"/>
          <w:highlight w:val="none"/>
        </w:rPr>
        <w:t>：</w:t>
      </w:r>
      <w:r>
        <w:rPr>
          <w:rFonts w:hint="eastAsia"/>
          <w:b/>
          <w:bCs/>
          <w:color w:val="auto"/>
          <w:spacing w:val="-2"/>
          <w:highlight w:val="none"/>
          <w:u w:val="single" w:color="auto"/>
          <w:lang w:eastAsia="zh-CN"/>
        </w:rPr>
        <w:t>乌鲁木齐鑫盛开源工程项目管理有限公司</w:t>
      </w:r>
      <w:r>
        <w:rPr>
          <w:b/>
          <w:bCs/>
          <w:color w:val="auto"/>
          <w:spacing w:val="-2"/>
          <w:highlight w:val="none"/>
        </w:rPr>
        <w:t>（盖章）</w:t>
      </w:r>
    </w:p>
    <w:p w14:paraId="623E87E6">
      <w:pPr>
        <w:pStyle w:val="8"/>
        <w:spacing w:before="202" w:line="188" w:lineRule="auto"/>
        <w:ind w:left="287"/>
        <w:rPr>
          <w:rFonts w:hint="eastAsia" w:eastAsia="微软雅黑"/>
          <w:color w:val="auto"/>
          <w:highlight w:val="none"/>
          <w:lang w:eastAsia="zh-CN"/>
        </w:rPr>
      </w:pPr>
      <w:r>
        <w:rPr>
          <w:b/>
          <w:bCs/>
          <w:color w:val="auto"/>
          <w:spacing w:val="-12"/>
          <w:highlight w:val="none"/>
        </w:rPr>
        <w:t>项目联系人：</w:t>
      </w:r>
      <w:r>
        <w:rPr>
          <w:rFonts w:hint="eastAsia"/>
          <w:b/>
          <w:bCs/>
          <w:color w:val="auto"/>
          <w:spacing w:val="-12"/>
          <w:highlight w:val="none"/>
          <w:u w:val="single" w:color="auto"/>
          <w:lang w:eastAsia="zh-CN"/>
        </w:rPr>
        <w:t>蔡琰</w:t>
      </w:r>
      <w:r>
        <w:rPr>
          <w:b/>
          <w:bCs/>
          <w:color w:val="auto"/>
          <w:spacing w:val="-12"/>
          <w:highlight w:val="none"/>
        </w:rPr>
        <w:t xml:space="preserve">                联系电话：</w:t>
      </w:r>
      <w:r>
        <w:rPr>
          <w:rFonts w:hint="eastAsia"/>
          <w:b/>
          <w:bCs/>
          <w:color w:val="auto"/>
          <w:spacing w:val="-12"/>
          <w:highlight w:val="none"/>
          <w:u w:val="single" w:color="auto"/>
          <w:lang w:eastAsia="zh-CN"/>
        </w:rPr>
        <w:t>13679942122</w:t>
      </w:r>
    </w:p>
    <w:p w14:paraId="488263A5">
      <w:pPr>
        <w:spacing w:line="337" w:lineRule="auto"/>
        <w:rPr>
          <w:rFonts w:ascii="Arial"/>
          <w:color w:val="auto"/>
          <w:sz w:val="21"/>
          <w:highlight w:val="none"/>
        </w:rPr>
      </w:pPr>
    </w:p>
    <w:p w14:paraId="29F0803F">
      <w:pPr>
        <w:spacing w:line="337" w:lineRule="auto"/>
        <w:rPr>
          <w:rFonts w:ascii="Arial"/>
          <w:color w:val="auto"/>
          <w:sz w:val="21"/>
          <w:highlight w:val="none"/>
        </w:rPr>
      </w:pPr>
    </w:p>
    <w:p w14:paraId="57A49075">
      <w:pPr>
        <w:pStyle w:val="8"/>
        <w:spacing w:before="138" w:line="188" w:lineRule="auto"/>
        <w:ind w:left="4032"/>
        <w:rPr>
          <w:color w:val="auto"/>
          <w:highlight w:val="none"/>
        </w:rPr>
      </w:pPr>
      <w:r>
        <w:rPr>
          <w:rFonts w:hint="eastAsia"/>
          <w:b/>
          <w:bCs/>
          <w:color w:val="auto"/>
          <w:spacing w:val="-25"/>
          <w:highlight w:val="none"/>
          <w:lang w:eastAsia="zh-CN"/>
        </w:rPr>
        <w:t>2025年</w:t>
      </w:r>
      <w:r>
        <w:rPr>
          <w:rFonts w:hint="eastAsia"/>
          <w:b/>
          <w:bCs/>
          <w:color w:val="auto"/>
          <w:spacing w:val="-25"/>
          <w:highlight w:val="none"/>
          <w:lang w:val="en-US" w:eastAsia="zh-CN"/>
        </w:rPr>
        <w:t>6</w:t>
      </w:r>
      <w:r>
        <w:rPr>
          <w:b/>
          <w:bCs/>
          <w:color w:val="auto"/>
          <w:spacing w:val="-25"/>
          <w:highlight w:val="none"/>
        </w:rPr>
        <w:t>月</w:t>
      </w:r>
    </w:p>
    <w:p w14:paraId="53AF4DAD">
      <w:pPr>
        <w:spacing w:line="188" w:lineRule="auto"/>
        <w:rPr>
          <w:color w:val="auto"/>
          <w:highlight w:val="none"/>
        </w:rPr>
        <w:sectPr>
          <w:headerReference r:id="rId5" w:type="default"/>
          <w:pgSz w:w="11906" w:h="16839"/>
          <w:pgMar w:top="400" w:right="1092" w:bottom="0" w:left="1135" w:header="0" w:footer="0" w:gutter="0"/>
          <w:pgNumType w:fmt="decimal"/>
          <w:cols w:space="720" w:num="1"/>
        </w:sectPr>
      </w:pPr>
    </w:p>
    <w:p w14:paraId="213DF329">
      <w:pPr>
        <w:spacing w:line="252" w:lineRule="auto"/>
        <w:rPr>
          <w:rFonts w:ascii="Arial"/>
          <w:color w:val="auto"/>
          <w:sz w:val="21"/>
          <w:highlight w:val="none"/>
        </w:rPr>
      </w:pPr>
    </w:p>
    <w:p w14:paraId="67D2F3BE">
      <w:pPr>
        <w:spacing w:line="252" w:lineRule="auto"/>
        <w:rPr>
          <w:rFonts w:ascii="Arial"/>
          <w:color w:val="auto"/>
          <w:sz w:val="21"/>
          <w:highlight w:val="none"/>
        </w:rPr>
      </w:pPr>
    </w:p>
    <w:p w14:paraId="58402A90">
      <w:pPr>
        <w:spacing w:line="252" w:lineRule="auto"/>
        <w:rPr>
          <w:rFonts w:ascii="Arial"/>
          <w:color w:val="auto"/>
          <w:sz w:val="21"/>
          <w:highlight w:val="none"/>
        </w:rPr>
      </w:pPr>
    </w:p>
    <w:p w14:paraId="036601DB">
      <w:pPr>
        <w:spacing w:line="252" w:lineRule="auto"/>
        <w:rPr>
          <w:rFonts w:ascii="Arial"/>
          <w:color w:val="auto"/>
          <w:sz w:val="21"/>
          <w:highlight w:val="none"/>
        </w:rPr>
      </w:pPr>
    </w:p>
    <w:p w14:paraId="4D1BD69B">
      <w:pPr>
        <w:spacing w:line="252" w:lineRule="auto"/>
        <w:rPr>
          <w:rFonts w:ascii="Arial"/>
          <w:color w:val="auto"/>
          <w:sz w:val="21"/>
          <w:highlight w:val="none"/>
        </w:rPr>
      </w:pPr>
    </w:p>
    <w:p w14:paraId="2273C06F">
      <w:pPr>
        <w:spacing w:line="253" w:lineRule="auto"/>
        <w:rPr>
          <w:rFonts w:ascii="Arial"/>
          <w:color w:val="auto"/>
          <w:sz w:val="21"/>
          <w:highlight w:val="none"/>
        </w:rPr>
      </w:pPr>
    </w:p>
    <w:p w14:paraId="2EF14150">
      <w:pPr>
        <w:spacing w:line="253" w:lineRule="auto"/>
        <w:rPr>
          <w:rFonts w:ascii="Arial"/>
          <w:color w:val="auto"/>
          <w:sz w:val="21"/>
          <w:highlight w:val="none"/>
        </w:rPr>
      </w:pPr>
    </w:p>
    <w:sdt>
      <w:sdtPr>
        <w:rPr>
          <w:rFonts w:ascii="微软雅黑" w:hAnsi="微软雅黑" w:eastAsia="微软雅黑" w:cs="微软雅黑"/>
          <w:color w:val="auto"/>
          <w:sz w:val="44"/>
          <w:szCs w:val="44"/>
          <w:highlight w:val="none"/>
        </w:rPr>
        <w:id w:val="147477387"/>
        <w:docPartObj>
          <w:docPartGallery w:val="Table of Contents"/>
          <w:docPartUnique/>
        </w:docPartObj>
      </w:sdtPr>
      <w:sdtEndPr>
        <w:rPr>
          <w:rFonts w:ascii="新宋体" w:hAnsi="新宋体" w:eastAsia="新宋体" w:cs="新宋体"/>
          <w:color w:val="auto"/>
          <w:sz w:val="24"/>
          <w:szCs w:val="24"/>
          <w:highlight w:val="none"/>
        </w:rPr>
      </w:sdtEndPr>
      <w:sdtContent>
        <w:p w14:paraId="742E3F88">
          <w:pPr>
            <w:pStyle w:val="8"/>
            <w:spacing w:before="189" w:line="188" w:lineRule="auto"/>
            <w:ind w:left="4293"/>
            <w:rPr>
              <w:color w:val="auto"/>
              <w:sz w:val="44"/>
              <w:szCs w:val="44"/>
              <w:highlight w:val="none"/>
            </w:rPr>
          </w:pPr>
          <w:bookmarkStart w:id="0" w:name="bookmark1"/>
          <w:bookmarkEnd w:id="0"/>
          <w:r>
            <w:rPr>
              <w:b/>
              <w:bCs/>
              <w:color w:val="auto"/>
              <w:spacing w:val="-54"/>
              <w:sz w:val="44"/>
              <w:szCs w:val="44"/>
              <w:highlight w:val="none"/>
            </w:rPr>
            <w:t>目</w:t>
          </w:r>
          <w:r>
            <w:rPr>
              <w:b/>
              <w:bCs/>
              <w:color w:val="auto"/>
              <w:spacing w:val="30"/>
              <w:sz w:val="44"/>
              <w:szCs w:val="44"/>
              <w:highlight w:val="none"/>
            </w:rPr>
            <w:t xml:space="preserve">   </w:t>
          </w:r>
          <w:r>
            <w:rPr>
              <w:b/>
              <w:bCs/>
              <w:color w:val="auto"/>
              <w:spacing w:val="-54"/>
              <w:sz w:val="44"/>
              <w:szCs w:val="44"/>
              <w:highlight w:val="none"/>
            </w:rPr>
            <w:t>录</w:t>
          </w:r>
        </w:p>
        <w:p w14:paraId="65547DFF">
          <w:pPr>
            <w:tabs>
              <w:tab w:val="right" w:leader="dot" w:pos="9530"/>
            </w:tabs>
            <w:spacing w:before="232" w:line="222" w:lineRule="auto"/>
            <w:rPr>
              <w:rFonts w:ascii="新宋体" w:hAnsi="新宋体" w:eastAsia="新宋体" w:cs="新宋体"/>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6"/>
              <w:sz w:val="24"/>
              <w:szCs w:val="24"/>
              <w:highlight w:val="none"/>
              <w:u w:val="single" w:color="auto"/>
            </w:rPr>
            <w:t>第一章</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pacing w:val="-6"/>
              <w:sz w:val="24"/>
              <w:szCs w:val="24"/>
              <w:highlight w:val="none"/>
              <w:u w:val="single" w:color="auto"/>
            </w:rPr>
            <w:t>招标公告</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1</w:t>
          </w:r>
          <w:r>
            <w:rPr>
              <w:rFonts w:ascii="新宋体" w:hAnsi="新宋体" w:eastAsia="新宋体" w:cs="新宋体"/>
              <w:color w:val="auto"/>
              <w:sz w:val="24"/>
              <w:szCs w:val="24"/>
              <w:highlight w:val="none"/>
              <w:u w:val="single" w:color="auto"/>
            </w:rPr>
            <w:fldChar w:fldCharType="end"/>
          </w:r>
        </w:p>
        <w:p w14:paraId="5DB5872F">
          <w:pPr>
            <w:spacing w:line="253" w:lineRule="auto"/>
            <w:rPr>
              <w:rFonts w:ascii="Arial"/>
              <w:color w:val="auto"/>
              <w:sz w:val="21"/>
              <w:highlight w:val="none"/>
            </w:rPr>
          </w:pPr>
        </w:p>
        <w:p w14:paraId="366C06A4">
          <w:pPr>
            <w:tabs>
              <w:tab w:val="right" w:leader="dot" w:pos="9530"/>
            </w:tabs>
            <w:spacing w:before="78" w:line="223" w:lineRule="auto"/>
            <w:rPr>
              <w:rFonts w:hint="eastAsia" w:ascii="新宋体" w:hAnsi="新宋体" w:eastAsia="新宋体" w:cs="新宋体"/>
              <w:color w:val="auto"/>
              <w:sz w:val="24"/>
              <w:szCs w:val="24"/>
              <w:highlight w:val="none"/>
              <w:lang w:eastAsia="zh-CN"/>
            </w:rPr>
          </w:pPr>
          <w:bookmarkStart w:id="2" w:name="bookmark3"/>
          <w:bookmarkEnd w:id="2"/>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第二章 投标人须知</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w:t>
          </w:r>
        </w:p>
        <w:p w14:paraId="63954FB4">
          <w:pPr>
            <w:spacing w:line="253" w:lineRule="auto"/>
            <w:rPr>
              <w:rFonts w:ascii="Arial"/>
              <w:color w:val="auto"/>
              <w:sz w:val="21"/>
              <w:highlight w:val="none"/>
            </w:rPr>
          </w:pPr>
        </w:p>
        <w:p w14:paraId="583F0AA8">
          <w:pPr>
            <w:tabs>
              <w:tab w:val="right" w:leader="dot" w:pos="9530"/>
            </w:tabs>
            <w:spacing w:before="78" w:line="223" w:lineRule="auto"/>
            <w:rPr>
              <w:rFonts w:hint="eastAsia" w:ascii="新宋体" w:hAnsi="新宋体" w:eastAsia="新宋体" w:cs="新宋体"/>
              <w:color w:val="auto"/>
              <w:sz w:val="24"/>
              <w:szCs w:val="24"/>
              <w:highlight w:val="none"/>
              <w:lang w:eastAsia="zh-CN"/>
            </w:rPr>
          </w:pPr>
          <w:bookmarkStart w:id="3" w:name="bookmark4"/>
          <w:bookmarkEnd w:id="3"/>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 xml:space="preserve">第三章 评标办法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2</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3</w:t>
          </w:r>
        </w:p>
        <w:p w14:paraId="0F5653CD">
          <w:pPr>
            <w:spacing w:line="253" w:lineRule="auto"/>
            <w:rPr>
              <w:rFonts w:ascii="Arial"/>
              <w:color w:val="auto"/>
              <w:sz w:val="21"/>
              <w:highlight w:val="none"/>
            </w:rPr>
          </w:pPr>
        </w:p>
        <w:p w14:paraId="66BECAC4">
          <w:pPr>
            <w:tabs>
              <w:tab w:val="right" w:leader="dot" w:pos="9530"/>
            </w:tabs>
            <w:spacing w:before="78" w:line="223" w:lineRule="auto"/>
            <w:rPr>
              <w:rFonts w:hint="eastAsia" w:ascii="新宋体" w:hAnsi="新宋体" w:eastAsia="新宋体" w:cs="新宋体"/>
              <w:color w:val="auto"/>
              <w:sz w:val="24"/>
              <w:szCs w:val="24"/>
              <w:highlight w:val="none"/>
              <w:lang w:val="en-US" w:eastAsia="zh-CN"/>
            </w:rPr>
          </w:pPr>
          <w:bookmarkStart w:id="4" w:name="bookmark6"/>
          <w:bookmarkEnd w:id="4"/>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第四章 采购清单及技术参数</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3</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40DFB60F">
          <w:pPr>
            <w:spacing w:line="253" w:lineRule="auto"/>
            <w:rPr>
              <w:rFonts w:ascii="Arial"/>
              <w:color w:val="auto"/>
              <w:sz w:val="21"/>
              <w:highlight w:val="none"/>
            </w:rPr>
          </w:pPr>
        </w:p>
        <w:p w14:paraId="60567E0E">
          <w:pPr>
            <w:tabs>
              <w:tab w:val="right" w:leader="dot" w:pos="9530"/>
            </w:tabs>
            <w:spacing w:before="78" w:line="223" w:lineRule="auto"/>
            <w:rPr>
              <w:rFonts w:hint="eastAsia" w:ascii="新宋体" w:hAnsi="新宋体" w:eastAsia="新宋体" w:cs="新宋体"/>
              <w:color w:val="auto"/>
              <w:sz w:val="24"/>
              <w:szCs w:val="24"/>
              <w:highlight w:val="none"/>
              <w:lang w:val="en-US" w:eastAsia="zh-CN"/>
            </w:rPr>
          </w:pPr>
          <w:bookmarkStart w:id="5" w:name="bookmark7"/>
          <w:bookmarkEnd w:id="5"/>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新宋体" w:hAnsi="新宋体" w:eastAsia="新宋体" w:cs="新宋体"/>
              <w:color w:val="auto"/>
              <w:spacing w:val="-5"/>
              <w:sz w:val="24"/>
              <w:szCs w:val="24"/>
              <w:highlight w:val="none"/>
              <w:u w:val="single" w:color="auto"/>
            </w:rPr>
            <w:t>第五章</w:t>
          </w:r>
          <w:r>
            <w:rPr>
              <w:rFonts w:ascii="新宋体" w:hAnsi="新宋体" w:eastAsia="新宋体" w:cs="新宋体"/>
              <w:color w:val="auto"/>
              <w:spacing w:val="22"/>
              <w:sz w:val="24"/>
              <w:szCs w:val="24"/>
              <w:highlight w:val="none"/>
              <w:u w:val="single" w:color="auto"/>
            </w:rPr>
            <w:t xml:space="preserve"> </w:t>
          </w:r>
          <w:r>
            <w:rPr>
              <w:rFonts w:ascii="新宋体" w:hAnsi="新宋体" w:eastAsia="新宋体" w:cs="新宋体"/>
              <w:color w:val="auto"/>
              <w:spacing w:val="-5"/>
              <w:sz w:val="24"/>
              <w:szCs w:val="24"/>
              <w:highlight w:val="none"/>
              <w:u w:val="single" w:color="auto"/>
            </w:rPr>
            <w:t>合同条款及格式</w:t>
          </w:r>
          <w:r>
            <w:rPr>
              <w:rFonts w:ascii="新宋体" w:hAnsi="新宋体" w:eastAsia="新宋体" w:cs="新宋体"/>
              <w:color w:val="auto"/>
              <w:spacing w:val="-26"/>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4</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2716C3F9">
          <w:pPr>
            <w:spacing w:line="253" w:lineRule="auto"/>
            <w:rPr>
              <w:rFonts w:ascii="Arial"/>
              <w:color w:val="auto"/>
              <w:sz w:val="21"/>
              <w:highlight w:val="none"/>
            </w:rPr>
          </w:pPr>
        </w:p>
        <w:p w14:paraId="70DE784B">
          <w:pPr>
            <w:tabs>
              <w:tab w:val="right" w:leader="dot" w:pos="9530"/>
            </w:tabs>
            <w:spacing w:before="78" w:line="223" w:lineRule="auto"/>
            <w:rPr>
              <w:rFonts w:ascii="新宋体" w:hAnsi="新宋体" w:eastAsia="新宋体" w:cs="新宋体"/>
              <w:color w:val="auto"/>
              <w:sz w:val="24"/>
              <w:szCs w:val="24"/>
              <w:highlight w:val="none"/>
            </w:rPr>
          </w:pPr>
          <w:bookmarkStart w:id="6" w:name="bookmark8"/>
          <w:bookmarkEnd w:id="6"/>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第六章 投标文件格式</w:t>
          </w:r>
          <w:r>
            <w:rPr>
              <w:rFonts w:ascii="新宋体" w:hAnsi="新宋体" w:eastAsia="新宋体" w:cs="新宋体"/>
              <w:color w:val="auto"/>
              <w:spacing w:val="-24"/>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52</w:t>
          </w:r>
        </w:p>
      </w:sdtContent>
    </w:sdt>
    <w:p w14:paraId="501D03A2">
      <w:pPr>
        <w:spacing w:line="223" w:lineRule="auto"/>
        <w:rPr>
          <w:rFonts w:ascii="新宋体" w:hAnsi="新宋体" w:eastAsia="新宋体" w:cs="新宋体"/>
          <w:color w:val="auto"/>
          <w:sz w:val="24"/>
          <w:szCs w:val="24"/>
          <w:highlight w:val="none"/>
        </w:rPr>
        <w:sectPr>
          <w:headerReference r:id="rId6" w:type="default"/>
          <w:pgSz w:w="11906" w:h="16839"/>
          <w:pgMar w:top="400" w:right="1267" w:bottom="0" w:left="1106" w:header="0" w:footer="0" w:gutter="0"/>
          <w:pgNumType w:fmt="decimal"/>
          <w:cols w:space="720" w:num="1"/>
        </w:sectPr>
      </w:pPr>
    </w:p>
    <w:p w14:paraId="5908A4A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z w:val="30"/>
          <w:szCs w:val="30"/>
          <w:highlight w:val="none"/>
        </w:rPr>
      </w:pPr>
      <w:bookmarkStart w:id="7" w:name="bookmark2"/>
      <w:bookmarkEnd w:id="7"/>
      <w:r>
        <w:rPr>
          <w:b/>
          <w:bCs/>
          <w:color w:val="auto"/>
          <w:spacing w:val="-7"/>
          <w:sz w:val="30"/>
          <w:szCs w:val="30"/>
          <w:highlight w:val="none"/>
        </w:rPr>
        <w:t>第一章</w:t>
      </w:r>
      <w:r>
        <w:rPr>
          <w:b/>
          <w:bCs/>
          <w:color w:val="auto"/>
          <w:spacing w:val="80"/>
          <w:sz w:val="30"/>
          <w:szCs w:val="30"/>
          <w:highlight w:val="none"/>
        </w:rPr>
        <w:t xml:space="preserve"> </w:t>
      </w:r>
      <w:r>
        <w:rPr>
          <w:b/>
          <w:bCs/>
          <w:color w:val="auto"/>
          <w:spacing w:val="-7"/>
          <w:sz w:val="30"/>
          <w:szCs w:val="30"/>
          <w:highlight w:val="none"/>
        </w:rPr>
        <w:t>招标公告</w:t>
      </w:r>
    </w:p>
    <w:p w14:paraId="70D9395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color w:val="auto"/>
          <w:sz w:val="30"/>
          <w:szCs w:val="30"/>
          <w:highlight w:val="none"/>
        </w:rPr>
      </w:pPr>
      <w:r>
        <w:rPr>
          <w:rFonts w:hint="eastAsia"/>
          <w:b/>
          <w:bCs/>
          <w:color w:val="auto"/>
          <w:spacing w:val="-1"/>
          <w:sz w:val="30"/>
          <w:szCs w:val="30"/>
          <w:highlight w:val="none"/>
          <w:lang w:eastAsia="zh-CN"/>
        </w:rPr>
        <w:t>伊犁哈萨克自治州纤维检验所2025年棉花公证检验设备配件及空调辅助设备维护服务项目</w:t>
      </w:r>
      <w:r>
        <w:rPr>
          <w:b/>
          <w:bCs/>
          <w:color w:val="auto"/>
          <w:spacing w:val="-1"/>
          <w:sz w:val="30"/>
          <w:szCs w:val="30"/>
          <w:highlight w:val="none"/>
        </w:rPr>
        <w:t>招标公告</w:t>
      </w:r>
    </w:p>
    <w:p w14:paraId="29FC3B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5"/>
        <w:tblW w:w="996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4B6A00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440" w:hRule="atLeast"/>
        </w:trPr>
        <w:tc>
          <w:tcPr>
            <w:tcW w:w="9966" w:type="dxa"/>
            <w:vAlign w:val="top"/>
          </w:tcPr>
          <w:p w14:paraId="43DC447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项目概况</w:t>
            </w:r>
          </w:p>
          <w:p w14:paraId="646E28B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color w:val="auto"/>
                <w:highlight w:val="none"/>
              </w:rPr>
            </w:pPr>
            <w:r>
              <w:rPr>
                <w:rFonts w:hint="eastAsia"/>
                <w:color w:val="auto"/>
                <w:spacing w:val="3"/>
                <w:highlight w:val="none"/>
                <w:u w:val="single" w:color="auto"/>
                <w:lang w:eastAsia="zh-CN"/>
              </w:rPr>
              <w:t>伊犁哈萨克自治州纤维检验所2025年棉花公证检验设备配件及空调辅助设备维护服务项目</w:t>
            </w:r>
            <w:r>
              <w:rPr>
                <w:color w:val="auto"/>
                <w:spacing w:val="3"/>
                <w:highlight w:val="none"/>
              </w:rPr>
              <w:t>的潜在供应商应在</w:t>
            </w:r>
            <w:r>
              <w:rPr>
                <w:color w:val="auto"/>
                <w:spacing w:val="3"/>
                <w:highlight w:val="none"/>
                <w:u w:val="single" w:color="auto"/>
              </w:rPr>
              <w:t>政采云平</w:t>
            </w:r>
            <w:r>
              <w:rPr>
                <w:color w:val="auto"/>
                <w:spacing w:val="-7"/>
                <w:highlight w:val="none"/>
                <w:u w:val="single" w:color="auto"/>
              </w:rPr>
              <w:t>台</w:t>
            </w:r>
            <w:r>
              <w:rPr>
                <w:color w:val="auto"/>
                <w:spacing w:val="-7"/>
                <w:highlight w:val="none"/>
              </w:rPr>
              <w:t>线上获取采购文件，并于</w:t>
            </w:r>
            <w:r>
              <w:rPr>
                <w:color w:val="auto"/>
                <w:spacing w:val="-49"/>
                <w:highlight w:val="none"/>
              </w:rPr>
              <w:t xml:space="preserve"> </w:t>
            </w:r>
            <w:r>
              <w:rPr>
                <w:color w:val="auto"/>
                <w:spacing w:val="-7"/>
                <w:highlight w:val="none"/>
                <w:u w:val="single" w:color="auto"/>
              </w:rPr>
              <w:t>202</w:t>
            </w:r>
            <w:r>
              <w:rPr>
                <w:rFonts w:hint="eastAsia"/>
                <w:color w:val="auto"/>
                <w:spacing w:val="-7"/>
                <w:highlight w:val="none"/>
                <w:u w:val="single" w:color="auto"/>
                <w:lang w:val="en-US" w:eastAsia="zh-CN"/>
              </w:rPr>
              <w:t>5</w:t>
            </w:r>
            <w:r>
              <w:rPr>
                <w:color w:val="auto"/>
                <w:spacing w:val="-7"/>
                <w:highlight w:val="none"/>
                <w:u w:val="single" w:color="auto"/>
              </w:rPr>
              <w:t>年</w:t>
            </w:r>
            <w:r>
              <w:rPr>
                <w:rFonts w:hint="eastAsia"/>
                <w:color w:val="auto"/>
                <w:spacing w:val="-7"/>
                <w:highlight w:val="none"/>
                <w:u w:val="single" w:color="auto"/>
                <w:lang w:val="en-US" w:eastAsia="zh-CN"/>
              </w:rPr>
              <w:t>7</w:t>
            </w:r>
            <w:r>
              <w:rPr>
                <w:color w:val="auto"/>
                <w:spacing w:val="-7"/>
                <w:highlight w:val="none"/>
                <w:u w:val="single" w:color="auto"/>
              </w:rPr>
              <w:t>月</w:t>
            </w:r>
            <w:r>
              <w:rPr>
                <w:rFonts w:hint="eastAsia"/>
                <w:color w:val="auto"/>
                <w:spacing w:val="-34"/>
                <w:highlight w:val="none"/>
                <w:u w:val="single" w:color="auto"/>
                <w:lang w:val="en-US" w:eastAsia="zh-CN"/>
              </w:rPr>
              <w:t>8</w:t>
            </w:r>
            <w:r>
              <w:rPr>
                <w:color w:val="auto"/>
                <w:spacing w:val="-7"/>
                <w:highlight w:val="none"/>
                <w:u w:val="single" w:color="auto"/>
              </w:rPr>
              <w:t>日</w:t>
            </w:r>
            <w:r>
              <w:rPr>
                <w:rFonts w:hint="eastAsia"/>
                <w:color w:val="auto"/>
                <w:spacing w:val="-7"/>
                <w:highlight w:val="none"/>
                <w:u w:val="single" w:color="auto"/>
                <w:lang w:val="en-US" w:eastAsia="zh-CN"/>
              </w:rPr>
              <w:t>11</w:t>
            </w:r>
            <w:r>
              <w:rPr>
                <w:color w:val="auto"/>
                <w:spacing w:val="-7"/>
                <w:highlight w:val="none"/>
                <w:u w:val="single" w:color="auto"/>
              </w:rPr>
              <w:t>点</w:t>
            </w:r>
            <w:r>
              <w:rPr>
                <w:rFonts w:hint="eastAsia"/>
                <w:color w:val="auto"/>
                <w:spacing w:val="-8"/>
                <w:highlight w:val="none"/>
                <w:u w:val="single" w:color="auto"/>
                <w:lang w:val="en-US" w:eastAsia="zh-CN"/>
              </w:rPr>
              <w:t>00</w:t>
            </w:r>
            <w:r>
              <w:rPr>
                <w:color w:val="auto"/>
                <w:spacing w:val="-8"/>
                <w:highlight w:val="none"/>
                <w:u w:val="single" w:color="auto"/>
              </w:rPr>
              <w:t>分</w:t>
            </w:r>
            <w:r>
              <w:rPr>
                <w:color w:val="auto"/>
                <w:spacing w:val="-8"/>
                <w:highlight w:val="none"/>
              </w:rPr>
              <w:t>（北京时间）前提交投标文件。</w:t>
            </w:r>
          </w:p>
        </w:tc>
      </w:tr>
    </w:tbl>
    <w:p w14:paraId="5F88D7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DAA3A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一、项目基本情况</w:t>
      </w:r>
    </w:p>
    <w:p w14:paraId="4186B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ascii="新宋体" w:hAnsi="新宋体" w:eastAsia="新宋体" w:cs="新宋体"/>
          <w:color w:val="auto"/>
          <w:spacing w:val="-2"/>
          <w:sz w:val="24"/>
          <w:szCs w:val="24"/>
          <w:highlight w:val="none"/>
          <w:lang w:val="en-US" w:eastAsia="zh-CN"/>
        </w:rPr>
        <w:t>MHGZJC-2025-001</w:t>
      </w:r>
    </w:p>
    <w:p w14:paraId="4520BDA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3"/>
          <w:sz w:val="24"/>
          <w:szCs w:val="24"/>
          <w:highlight w:val="none"/>
          <w:lang w:eastAsia="zh-CN"/>
        </w:rPr>
        <w:t>伊犁哈萨克自治州纤维检验所2025年棉花公证检验设备配件及空调辅助设备维护服务项目</w:t>
      </w:r>
      <w:r>
        <w:rPr>
          <w:rFonts w:ascii="新宋体" w:hAnsi="新宋体" w:eastAsia="新宋体" w:cs="新宋体"/>
          <w:color w:val="auto"/>
          <w:spacing w:val="-3"/>
          <w:sz w:val="24"/>
          <w:szCs w:val="24"/>
          <w:highlight w:val="none"/>
        </w:rPr>
        <w:t xml:space="preserve"> </w:t>
      </w:r>
    </w:p>
    <w:p w14:paraId="4FF59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预算金额：</w:t>
      </w:r>
      <w:r>
        <w:rPr>
          <w:rFonts w:hint="eastAsia" w:ascii="新宋体" w:hAnsi="新宋体" w:eastAsia="新宋体" w:cs="新宋体"/>
          <w:color w:val="auto"/>
          <w:spacing w:val="-2"/>
          <w:sz w:val="24"/>
          <w:szCs w:val="24"/>
          <w:highlight w:val="none"/>
          <w:lang w:val="en-US" w:eastAsia="zh-CN"/>
        </w:rPr>
        <w:t>3970000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0A6A2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最高限价：</w:t>
      </w:r>
      <w:r>
        <w:rPr>
          <w:rFonts w:hint="eastAsia" w:ascii="新宋体" w:hAnsi="新宋体" w:eastAsia="新宋体" w:cs="新宋体"/>
          <w:color w:val="auto"/>
          <w:spacing w:val="-2"/>
          <w:sz w:val="24"/>
          <w:szCs w:val="24"/>
          <w:highlight w:val="none"/>
          <w:lang w:val="en-US" w:eastAsia="zh-CN"/>
        </w:rPr>
        <w:t>3970000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7EB4AF0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eastAsia="zh-CN"/>
        </w:rPr>
      </w:pPr>
      <w:r>
        <w:rPr>
          <w:rFonts w:ascii="新宋体" w:hAnsi="新宋体" w:eastAsia="新宋体" w:cs="新宋体"/>
          <w:color w:val="auto"/>
          <w:spacing w:val="-3"/>
          <w:sz w:val="24"/>
          <w:szCs w:val="24"/>
          <w:highlight w:val="none"/>
        </w:rPr>
        <w:t>采购需求：</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p>
    <w:p w14:paraId="21C5FD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a）实验室辅助设备的维护保养；</w:t>
      </w:r>
    </w:p>
    <w:p w14:paraId="3559669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b）实验室检验设备的配件、升级保养；</w:t>
      </w:r>
    </w:p>
    <w:p w14:paraId="399E3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c）HVI1000型棉花大容量快速测试仪的维护大保养服务（颜色头准确性核查服务）；</w:t>
      </w:r>
    </w:p>
    <w:p w14:paraId="001E95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52" w:firstLineChars="7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w:t>
      </w:r>
      <w:r>
        <w:rPr>
          <w:rFonts w:hint="eastAsia" w:ascii="新宋体" w:hAnsi="新宋体" w:eastAsia="新宋体" w:cs="新宋体"/>
          <w:color w:val="auto"/>
          <w:spacing w:val="-2"/>
          <w:sz w:val="24"/>
          <w:szCs w:val="24"/>
          <w:highlight w:val="none"/>
          <w:lang w:val="en-US" w:eastAsia="zh-CN"/>
        </w:rPr>
        <w:t>具体内容</w:t>
      </w: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15A102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合同履行期限：</w:t>
      </w:r>
    </w:p>
    <w:p w14:paraId="24E4884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①实验室辅助设备维护保养部分服务期限：365日（自合同签订之日起计）。</w:t>
      </w:r>
    </w:p>
    <w:p w14:paraId="7DB589A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②实验室检验设备的配件、升级保养及准确性调整核查服务：实验室检验设备配件到位时间90日（自合同签订之日起计）；升级保养及准确性调整核查服务于60日内完成（自合同签订之日起计）。</w:t>
      </w:r>
    </w:p>
    <w:p w14:paraId="1587A9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③HVI1000型棉花大容量快速测试仪的维护大保养服务的服务期限：2025年9月前完成。</w:t>
      </w:r>
    </w:p>
    <w:p w14:paraId="5536A8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02" w:firstLineChars="3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本项目不接受联合体投标。</w:t>
      </w:r>
    </w:p>
    <w:p w14:paraId="49A304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二、申请人的资格要求：</w:t>
      </w:r>
    </w:p>
    <w:p w14:paraId="69A42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1.满足《中华人民共和国政府采购法》第二十二条规定；</w:t>
      </w:r>
    </w:p>
    <w:p w14:paraId="05F38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2.落实政府采购政策需满足的资格要求：标项1：</w:t>
      </w:r>
      <w:r>
        <w:rPr>
          <w:rFonts w:hint="eastAsia" w:ascii="新宋体" w:hAnsi="新宋体" w:eastAsia="新宋体" w:cs="新宋体"/>
          <w:color w:val="auto"/>
          <w:spacing w:val="-3"/>
          <w:sz w:val="24"/>
          <w:szCs w:val="24"/>
          <w:highlight w:val="none"/>
        </w:rPr>
        <w:t>本项目不专门面向中小企业</w:t>
      </w:r>
      <w:r>
        <w:rPr>
          <w:rFonts w:ascii="新宋体" w:hAnsi="新宋体" w:eastAsia="新宋体" w:cs="新宋体"/>
          <w:color w:val="auto"/>
          <w:spacing w:val="-3"/>
          <w:sz w:val="24"/>
          <w:szCs w:val="24"/>
          <w:highlight w:val="none"/>
        </w:rPr>
        <w:t>；</w:t>
      </w:r>
    </w:p>
    <w:p w14:paraId="0B63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3.本项目的特定资格要求：</w:t>
      </w:r>
    </w:p>
    <w:p w14:paraId="68E2E8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1、进口产品需提供质保确认函、原产地证明及报关单凭证。</w:t>
      </w:r>
    </w:p>
    <w:p w14:paraId="27137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default"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2、</w:t>
      </w:r>
      <w:r>
        <w:rPr>
          <w:rFonts w:hint="eastAsia"/>
          <w:color w:val="auto"/>
          <w:sz w:val="24"/>
          <w:szCs w:val="24"/>
          <w:highlight w:val="none"/>
          <w:lang w:val="en-US" w:eastAsia="zh-CN"/>
        </w:rPr>
        <w:t>所投进口设备若不是供应商自己制造的，应提供制造厂家的项目授权原件，或者提供合法获得该货物及售后服务支持的有效证明。</w:t>
      </w:r>
    </w:p>
    <w:p w14:paraId="6A8A68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三、获取招标文件</w:t>
      </w:r>
    </w:p>
    <w:p w14:paraId="7075A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时间：</w:t>
      </w:r>
      <w:r>
        <w:rPr>
          <w:color w:val="auto"/>
          <w:spacing w:val="-49"/>
          <w:sz w:val="24"/>
          <w:szCs w:val="24"/>
          <w:highlight w:val="none"/>
        </w:rPr>
        <w:t xml:space="preserve"> </w:t>
      </w:r>
      <w:r>
        <w:rPr>
          <w:rFonts w:ascii="新宋体" w:hAnsi="新宋体" w:eastAsia="新宋体" w:cs="新宋体"/>
          <w:color w:val="auto"/>
          <w:spacing w:val="-8"/>
          <w:sz w:val="24"/>
          <w:szCs w:val="24"/>
          <w:highlight w:val="none"/>
          <w:u w:val="single" w:color="auto"/>
        </w:rPr>
        <w:t>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6</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18</w:t>
      </w:r>
      <w:r>
        <w:rPr>
          <w:rFonts w:ascii="新宋体" w:hAnsi="新宋体" w:eastAsia="新宋体" w:cs="新宋体"/>
          <w:color w:val="auto"/>
          <w:spacing w:val="-8"/>
          <w:sz w:val="24"/>
          <w:szCs w:val="24"/>
          <w:highlight w:val="none"/>
          <w:u w:val="single" w:color="auto"/>
        </w:rPr>
        <w:t>日至202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6</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25</w:t>
      </w:r>
      <w:r>
        <w:rPr>
          <w:rFonts w:ascii="新宋体" w:hAnsi="新宋体" w:eastAsia="新宋体" w:cs="新宋体"/>
          <w:color w:val="auto"/>
          <w:spacing w:val="-8"/>
          <w:sz w:val="24"/>
          <w:szCs w:val="24"/>
          <w:highlight w:val="none"/>
          <w:u w:val="single" w:color="auto"/>
        </w:rPr>
        <w:t>日，每天</w:t>
      </w:r>
      <w:r>
        <w:rPr>
          <w:rFonts w:ascii="新宋体" w:hAnsi="新宋体" w:eastAsia="新宋体" w:cs="新宋体"/>
          <w:color w:val="auto"/>
          <w:spacing w:val="-9"/>
          <w:sz w:val="24"/>
          <w:szCs w:val="24"/>
          <w:highlight w:val="none"/>
          <w:u w:val="single" w:color="auto"/>
        </w:rPr>
        <w:t>上午</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0</w:t>
      </w:r>
      <w:r>
        <w:rPr>
          <w:rFonts w:ascii="新宋体" w:hAnsi="新宋体" w:eastAsia="新宋体" w:cs="新宋体"/>
          <w:color w:val="auto"/>
          <w:spacing w:val="-9"/>
          <w:sz w:val="24"/>
          <w:szCs w:val="24"/>
          <w:highlight w:val="none"/>
          <w:u w:val="single" w:color="auto"/>
        </w:rPr>
        <w:t>0：00</w:t>
      </w:r>
      <w:r>
        <w:rPr>
          <w:rFonts w:ascii="新宋体" w:hAnsi="新宋体" w:eastAsia="新宋体" w:cs="新宋体"/>
          <w:color w:val="auto"/>
          <w:spacing w:val="-37"/>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14：00，下午</w:t>
      </w:r>
      <w:r>
        <w:rPr>
          <w:rFonts w:ascii="新宋体" w:hAnsi="新宋体" w:eastAsia="新宋体" w:cs="新宋体"/>
          <w:color w:val="auto"/>
          <w:spacing w:val="-33"/>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14</w:t>
      </w:r>
      <w:r>
        <w:rPr>
          <w:rFonts w:ascii="新宋体" w:hAnsi="新宋体" w:eastAsia="新宋体" w:cs="新宋体"/>
          <w:color w:val="auto"/>
          <w:spacing w:val="-9"/>
          <w:sz w:val="24"/>
          <w:szCs w:val="24"/>
          <w:highlight w:val="none"/>
          <w:u w:val="single" w:color="auto"/>
        </w:rPr>
        <w:t>：</w:t>
      </w:r>
      <w:r>
        <w:rPr>
          <w:rFonts w:hint="eastAsia" w:ascii="新宋体" w:hAnsi="新宋体" w:eastAsia="新宋体" w:cs="新宋体"/>
          <w:color w:val="auto"/>
          <w:sz w:val="24"/>
          <w:szCs w:val="24"/>
          <w:highlight w:val="none"/>
          <w:lang w:val="en-US" w:eastAsia="zh-CN"/>
        </w:rPr>
        <w:t>0</w:t>
      </w:r>
      <w:r>
        <w:rPr>
          <w:rFonts w:ascii="新宋体" w:hAnsi="新宋体" w:eastAsia="新宋体" w:cs="新宋体"/>
          <w:color w:val="auto"/>
          <w:spacing w:val="-3"/>
          <w:sz w:val="24"/>
          <w:szCs w:val="24"/>
          <w:highlight w:val="none"/>
          <w:u w:val="single" w:color="auto"/>
        </w:rPr>
        <w:t>0</w:t>
      </w:r>
      <w:r>
        <w:rPr>
          <w:rFonts w:ascii="新宋体" w:hAnsi="新宋体" w:eastAsia="新宋体" w:cs="新宋体"/>
          <w:color w:val="auto"/>
          <w:spacing w:val="-32"/>
          <w:sz w:val="24"/>
          <w:szCs w:val="24"/>
          <w:highlight w:val="none"/>
          <w:u w:val="single" w:color="auto"/>
        </w:rPr>
        <w:t xml:space="preserve"> </w:t>
      </w:r>
      <w:r>
        <w:rPr>
          <w:rFonts w:ascii="新宋体" w:hAnsi="新宋体" w:eastAsia="新宋体" w:cs="新宋体"/>
          <w:color w:val="auto"/>
          <w:spacing w:val="-3"/>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3"/>
          <w:sz w:val="24"/>
          <w:szCs w:val="24"/>
          <w:highlight w:val="none"/>
          <w:u w:val="single" w:color="auto"/>
          <w:lang w:val="en-US" w:eastAsia="zh-CN"/>
        </w:rPr>
        <w:t>23</w:t>
      </w:r>
      <w:r>
        <w:rPr>
          <w:rFonts w:ascii="新宋体" w:hAnsi="新宋体" w:eastAsia="新宋体" w:cs="新宋体"/>
          <w:color w:val="auto"/>
          <w:spacing w:val="-3"/>
          <w:sz w:val="24"/>
          <w:szCs w:val="24"/>
          <w:highlight w:val="none"/>
          <w:u w:val="single" w:color="auto"/>
        </w:rPr>
        <w:t>：</w:t>
      </w:r>
      <w:r>
        <w:rPr>
          <w:rFonts w:hint="eastAsia" w:ascii="新宋体" w:hAnsi="新宋体" w:eastAsia="新宋体" w:cs="新宋体"/>
          <w:color w:val="auto"/>
          <w:spacing w:val="-3"/>
          <w:sz w:val="24"/>
          <w:szCs w:val="24"/>
          <w:highlight w:val="none"/>
          <w:u w:val="single" w:color="auto"/>
          <w:lang w:val="en-US" w:eastAsia="zh-CN"/>
        </w:rPr>
        <w:t>59</w:t>
      </w:r>
      <w:r>
        <w:rPr>
          <w:rFonts w:ascii="新宋体" w:hAnsi="新宋体" w:eastAsia="新宋体" w:cs="新宋体"/>
          <w:color w:val="auto"/>
          <w:spacing w:val="-3"/>
          <w:sz w:val="24"/>
          <w:szCs w:val="24"/>
          <w:highlight w:val="none"/>
          <w:u w:val="single" w:color="auto"/>
        </w:rPr>
        <w:t>（北京时间，法定节假日除外）</w:t>
      </w:r>
      <w:r>
        <w:rPr>
          <w:rFonts w:ascii="新宋体" w:hAnsi="新宋体" w:eastAsia="新宋体" w:cs="新宋体"/>
          <w:color w:val="auto"/>
          <w:spacing w:val="-3"/>
          <w:sz w:val="24"/>
          <w:szCs w:val="24"/>
          <w:highlight w:val="none"/>
        </w:rPr>
        <w:t>。</w:t>
      </w:r>
    </w:p>
    <w:p w14:paraId="52F11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地点：新疆政采云平台线上获取。</w:t>
      </w:r>
    </w:p>
    <w:p w14:paraId="4969B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方式：供应商登录政采云平台</w:t>
      </w:r>
      <w:r>
        <w:rPr>
          <w:rFonts w:ascii="新宋体" w:hAnsi="新宋体" w:eastAsia="新宋体" w:cs="新宋体"/>
          <w:color w:val="auto"/>
          <w:spacing w:val="-54"/>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新宋体" w:hAnsi="新宋体" w:eastAsia="新宋体" w:cs="新宋体"/>
          <w:color w:val="auto"/>
          <w:spacing w:val="-5"/>
          <w:sz w:val="24"/>
          <w:szCs w:val="24"/>
          <w:highlight w:val="none"/>
        </w:rPr>
        <w:t>https://www.zcygov.cn/</w:t>
      </w:r>
      <w:r>
        <w:rPr>
          <w:rFonts w:ascii="新宋体" w:hAnsi="新宋体" w:eastAsia="新宋体" w:cs="新宋体"/>
          <w:color w:val="auto"/>
          <w:spacing w:val="-5"/>
          <w:sz w:val="24"/>
          <w:szCs w:val="24"/>
          <w:highlight w:val="none"/>
        </w:rPr>
        <w:fldChar w:fldCharType="end"/>
      </w:r>
      <w:r>
        <w:rPr>
          <w:rFonts w:ascii="新宋体" w:hAnsi="新宋体" w:eastAsia="新宋体" w:cs="新宋体"/>
          <w:color w:val="auto"/>
          <w:spacing w:val="-5"/>
          <w:sz w:val="24"/>
          <w:szCs w:val="24"/>
          <w:highlight w:val="none"/>
        </w:rPr>
        <w:t>在线申请获取采购文件（进入“项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目采购”应用，在获取采购文件菜单中选择项目，</w:t>
      </w:r>
      <w:r>
        <w:rPr>
          <w:rFonts w:ascii="新宋体" w:hAnsi="新宋体" w:eastAsia="新宋体" w:cs="新宋体"/>
          <w:color w:val="auto"/>
          <w:spacing w:val="-4"/>
          <w:sz w:val="24"/>
          <w:szCs w:val="24"/>
          <w:highlight w:val="none"/>
        </w:rPr>
        <w:t>申请获取采购文件），或者点击采购公告底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部潜在供应商“获取采购文件”，页面跳转后登陆，直接获取采购文件。</w:t>
      </w:r>
    </w:p>
    <w:p w14:paraId="523F2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售价：0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6"/>
          <w:sz w:val="24"/>
          <w:szCs w:val="24"/>
          <w:highlight w:val="none"/>
        </w:rPr>
        <w:t>元</w:t>
      </w:r>
    </w:p>
    <w:p w14:paraId="1D0A39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r>
        <w:rPr>
          <w:b/>
          <w:bCs/>
          <w:color w:val="auto"/>
          <w:spacing w:val="-3"/>
          <w:sz w:val="24"/>
          <w:szCs w:val="24"/>
          <w:highlight w:val="none"/>
        </w:rPr>
        <w:t>四、提交投标文件截止时间、开标时间和地点</w:t>
      </w:r>
    </w:p>
    <w:p w14:paraId="59129E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新宋体" w:hAnsi="新宋体" w:eastAsia="新宋体" w:cs="新宋体"/>
          <w:color w:val="auto"/>
          <w:sz w:val="24"/>
          <w:szCs w:val="24"/>
          <w:highlight w:val="none"/>
        </w:rPr>
      </w:pPr>
      <w:bookmarkStart w:id="8" w:name="bookmark10"/>
      <w:bookmarkEnd w:id="8"/>
      <w:r>
        <w:rPr>
          <w:rFonts w:ascii="新宋体" w:hAnsi="新宋体" w:eastAsia="新宋体" w:cs="新宋体"/>
          <w:color w:val="auto"/>
          <w:spacing w:val="-10"/>
          <w:sz w:val="24"/>
          <w:szCs w:val="24"/>
          <w:highlight w:val="none"/>
        </w:rPr>
        <w:t>截止时间： 202</w:t>
      </w:r>
      <w:r>
        <w:rPr>
          <w:rFonts w:hint="eastAsia" w:ascii="新宋体" w:hAnsi="新宋体" w:eastAsia="新宋体" w:cs="新宋体"/>
          <w:color w:val="auto"/>
          <w:spacing w:val="-10"/>
          <w:sz w:val="24"/>
          <w:szCs w:val="24"/>
          <w:highlight w:val="none"/>
          <w:lang w:val="en-US" w:eastAsia="zh-CN"/>
        </w:rPr>
        <w:t>5</w:t>
      </w:r>
      <w:r>
        <w:rPr>
          <w:rFonts w:ascii="新宋体" w:hAnsi="新宋体" w:eastAsia="新宋体" w:cs="新宋体"/>
          <w:color w:val="auto"/>
          <w:spacing w:val="-10"/>
          <w:sz w:val="24"/>
          <w:szCs w:val="24"/>
          <w:highlight w:val="none"/>
        </w:rPr>
        <w:t>年</w:t>
      </w:r>
      <w:r>
        <w:rPr>
          <w:rFonts w:hint="eastAsia" w:ascii="新宋体" w:hAnsi="新宋体" w:eastAsia="新宋体" w:cs="新宋体"/>
          <w:color w:val="auto"/>
          <w:spacing w:val="-10"/>
          <w:sz w:val="24"/>
          <w:szCs w:val="24"/>
          <w:highlight w:val="none"/>
          <w:u w:val="single"/>
          <w:lang w:val="en-US" w:eastAsia="zh-CN"/>
        </w:rPr>
        <w:t xml:space="preserve"> 7</w:t>
      </w:r>
      <w:r>
        <w:rPr>
          <w:rFonts w:ascii="新宋体" w:hAnsi="新宋体" w:eastAsia="新宋体" w:cs="新宋体"/>
          <w:color w:val="auto"/>
          <w:spacing w:val="-10"/>
          <w:sz w:val="24"/>
          <w:szCs w:val="24"/>
          <w:highlight w:val="none"/>
          <w:u w:val="single"/>
        </w:rPr>
        <w:t xml:space="preserve"> </w:t>
      </w:r>
      <w:r>
        <w:rPr>
          <w:rFonts w:ascii="新宋体" w:hAnsi="新宋体" w:eastAsia="新宋体" w:cs="新宋体"/>
          <w:color w:val="auto"/>
          <w:spacing w:val="-10"/>
          <w:sz w:val="24"/>
          <w:szCs w:val="24"/>
          <w:highlight w:val="none"/>
        </w:rPr>
        <w:t>月</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8</w:t>
      </w:r>
      <w:r>
        <w:rPr>
          <w:rFonts w:ascii="新宋体" w:hAnsi="新宋体" w:eastAsia="新宋体" w:cs="新宋体"/>
          <w:color w:val="auto"/>
          <w:spacing w:val="-10"/>
          <w:sz w:val="24"/>
          <w:szCs w:val="24"/>
          <w:highlight w:val="none"/>
          <w:u w:val="single"/>
        </w:rPr>
        <w:t xml:space="preserve"> </w:t>
      </w:r>
      <w:r>
        <w:rPr>
          <w:rFonts w:ascii="新宋体" w:hAnsi="新宋体" w:eastAsia="新宋体" w:cs="新宋体"/>
          <w:color w:val="auto"/>
          <w:spacing w:val="-10"/>
          <w:sz w:val="24"/>
          <w:szCs w:val="24"/>
          <w:highlight w:val="none"/>
        </w:rPr>
        <w:t>日</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11 </w:t>
      </w:r>
      <w:r>
        <w:rPr>
          <w:rFonts w:hint="eastAsia" w:ascii="新宋体" w:hAnsi="新宋体" w:eastAsia="新宋体" w:cs="新宋体"/>
          <w:color w:val="auto"/>
          <w:spacing w:val="-10"/>
          <w:sz w:val="24"/>
          <w:szCs w:val="24"/>
          <w:highlight w:val="none"/>
          <w:lang w:eastAsia="zh-CN"/>
        </w:rPr>
        <w:t>时</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00 </w:t>
      </w:r>
      <w:r>
        <w:rPr>
          <w:rFonts w:ascii="新宋体" w:hAnsi="新宋体" w:eastAsia="新宋体" w:cs="新宋体"/>
          <w:color w:val="auto"/>
          <w:spacing w:val="-10"/>
          <w:sz w:val="24"/>
          <w:szCs w:val="24"/>
          <w:highlight w:val="none"/>
        </w:rPr>
        <w:t>分（北京时间）</w:t>
      </w:r>
    </w:p>
    <w:p w14:paraId="07502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投标地点（网址</w:t>
      </w:r>
      <w:r>
        <w:rPr>
          <w:rFonts w:ascii="新宋体" w:hAnsi="新宋体" w:eastAsia="新宋体" w:cs="新宋体"/>
          <w:color w:val="auto"/>
          <w:spacing w:val="-37"/>
          <w:sz w:val="24"/>
          <w:szCs w:val="24"/>
          <w:highlight w:val="none"/>
        </w:rPr>
        <w:t>）：</w:t>
      </w:r>
      <w:r>
        <w:rPr>
          <w:rFonts w:ascii="新宋体" w:hAnsi="新宋体" w:eastAsia="新宋体" w:cs="新宋体"/>
          <w:color w:val="auto"/>
          <w:spacing w:val="-1"/>
          <w:sz w:val="24"/>
          <w:szCs w:val="24"/>
          <w:highlight w:val="none"/>
        </w:rPr>
        <w:t>请登录政采云投标客户端，在截止时间前将加密的</w:t>
      </w:r>
      <w:r>
        <w:rPr>
          <w:rFonts w:ascii="新宋体" w:hAnsi="新宋体" w:eastAsia="新宋体" w:cs="新宋体"/>
          <w:color w:val="auto"/>
          <w:spacing w:val="-2"/>
          <w:sz w:val="24"/>
          <w:szCs w:val="24"/>
          <w:highlight w:val="none"/>
        </w:rPr>
        <w:t>电子响应文件上传</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9"/>
          <w:sz w:val="24"/>
          <w:szCs w:val="24"/>
          <w:highlight w:val="none"/>
        </w:rPr>
        <w:t>到新疆政府采购网对应的位置（逾期上传或者未上传指定地点的响应文件，采购人不予受</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12"/>
          <w:sz w:val="24"/>
          <w:szCs w:val="24"/>
          <w:highlight w:val="none"/>
        </w:rPr>
        <w:t>理）。</w:t>
      </w:r>
    </w:p>
    <w:p w14:paraId="16EC0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开标方式：不见面开标。</w:t>
      </w:r>
    </w:p>
    <w:p w14:paraId="3D2EDB1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五、公告期限</w:t>
      </w:r>
    </w:p>
    <w:p w14:paraId="20564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自本公告发布之日起</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5</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8"/>
          <w:sz w:val="24"/>
          <w:szCs w:val="24"/>
          <w:highlight w:val="none"/>
        </w:rPr>
        <w:t>个工作日。</w:t>
      </w:r>
    </w:p>
    <w:p w14:paraId="3DAC11A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六、其他补充事宜</w:t>
      </w:r>
    </w:p>
    <w:p w14:paraId="31AD6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21EB9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 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密投标文件，未按规定加密的投标文件，将被电子招投标供应商客户端拒收。</w:t>
      </w:r>
    </w:p>
    <w:p w14:paraId="2BF87E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2"/>
          <w:sz w:val="24"/>
          <w:szCs w:val="24"/>
          <w:highlight w:val="none"/>
        </w:rPr>
        <w:t>收。</w:t>
      </w:r>
    </w:p>
    <w:p w14:paraId="3D41A7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 在使用政采云投标客户端时，建议使用谷歌浏览器或</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360</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极速浏览器，电脑配置满足</w:t>
      </w:r>
      <w:r>
        <w:rPr>
          <w:rFonts w:ascii="新宋体" w:hAnsi="新宋体" w:eastAsia="新宋体" w:cs="新宋体"/>
          <w:color w:val="auto"/>
          <w:sz w:val="24"/>
          <w:szCs w:val="24"/>
          <w:highlight w:val="none"/>
        </w:rPr>
        <w:t xml:space="preserve"> win7+64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z w:val="24"/>
          <w:szCs w:val="24"/>
          <w:highlight w:val="none"/>
        </w:rPr>
        <w:t>位以上操作系统（不能用ma</w:t>
      </w:r>
      <w:r>
        <w:rPr>
          <w:rFonts w:ascii="新宋体" w:hAnsi="新宋体" w:eastAsia="新宋体" w:cs="新宋体"/>
          <w:color w:val="auto"/>
          <w:spacing w:val="-1"/>
          <w:sz w:val="24"/>
          <w:szCs w:val="24"/>
          <w:highlight w:val="none"/>
        </w:rPr>
        <w:t>c</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1"/>
          <w:sz w:val="24"/>
          <w:szCs w:val="24"/>
          <w:highlight w:val="none"/>
        </w:rPr>
        <w:t>或者</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linux</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系统）。客户端请至新疆政府采购网</w:t>
      </w:r>
    </w:p>
    <w:p w14:paraId="63F1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新宋体" w:hAnsi="新宋体" w:eastAsia="新宋体" w:cs="新宋体"/>
          <w:color w:val="auto"/>
          <w:spacing w:val="-2"/>
          <w:sz w:val="24"/>
          <w:szCs w:val="24"/>
          <w:highlight w:val="none"/>
        </w:rPr>
        <w:t>http://www.ccgp-xinjiang.g</w:t>
      </w:r>
      <w:r>
        <w:rPr>
          <w:rFonts w:ascii="新宋体" w:hAnsi="新宋体" w:eastAsia="新宋体" w:cs="新宋体"/>
          <w:color w:val="auto"/>
          <w:spacing w:val="-3"/>
          <w:sz w:val="24"/>
          <w:szCs w:val="24"/>
          <w:highlight w:val="none"/>
        </w:rPr>
        <w:t>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）下载专区查看，如有问题可拨打政采云客户服务热线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95763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进行咨询。</w:t>
      </w:r>
    </w:p>
    <w:p w14:paraId="45992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5、供应商登录政采云平台，在投标截止时间后</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
          <w:sz w:val="24"/>
          <w:szCs w:val="24"/>
          <w:highlight w:val="none"/>
        </w:rPr>
        <w:t>30</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分钟内用“项目采购-</w:t>
      </w:r>
      <w:r>
        <w:rPr>
          <w:rFonts w:ascii="新宋体" w:hAnsi="新宋体" w:eastAsia="新宋体" w:cs="新宋体"/>
          <w:color w:val="auto"/>
          <w:spacing w:val="-2"/>
          <w:sz w:val="24"/>
          <w:szCs w:val="24"/>
          <w:highlight w:val="none"/>
        </w:rPr>
        <w:t>开标评标”功能</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进行解密响应文件。若供应商在规定时间内未按时解密的， 视为无效投标。解密与加密响应文</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4"/>
          <w:sz w:val="24"/>
          <w:szCs w:val="24"/>
          <w:highlight w:val="none"/>
        </w:rPr>
        <w:t>件须使用同一个</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4"/>
          <w:sz w:val="24"/>
          <w:szCs w:val="24"/>
          <w:highlight w:val="none"/>
        </w:rPr>
        <w:t>CA。</w:t>
      </w:r>
    </w:p>
    <w:p w14:paraId="698C5C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11"/>
          <w:sz w:val="24"/>
          <w:szCs w:val="24"/>
          <w:highlight w:val="none"/>
        </w:rPr>
        <w:t>特别提示：</w:t>
      </w:r>
    </w:p>
    <w:p w14:paraId="0DAFE09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textAlignment w:val="baseline"/>
        <w:rPr>
          <w:color w:val="auto"/>
          <w:sz w:val="24"/>
          <w:szCs w:val="24"/>
          <w:highlight w:val="none"/>
        </w:rPr>
      </w:pPr>
      <w:r>
        <w:rPr>
          <w:b/>
          <w:bCs/>
          <w:color w:val="auto"/>
          <w:spacing w:val="-10"/>
          <w:sz w:val="24"/>
          <w:szCs w:val="24"/>
          <w:highlight w:val="none"/>
        </w:rPr>
        <w:t>1、采购限额标准以上，</w:t>
      </w:r>
      <w:r>
        <w:rPr>
          <w:b/>
          <w:bCs/>
          <w:color w:val="auto"/>
          <w:spacing w:val="31"/>
          <w:sz w:val="24"/>
          <w:szCs w:val="24"/>
          <w:highlight w:val="none"/>
        </w:rPr>
        <w:t xml:space="preserve"> </w:t>
      </w:r>
      <w:r>
        <w:rPr>
          <w:b/>
          <w:bCs/>
          <w:color w:val="auto"/>
          <w:spacing w:val="-10"/>
          <w:sz w:val="24"/>
          <w:szCs w:val="24"/>
          <w:highlight w:val="none"/>
        </w:rPr>
        <w:t xml:space="preserve">200 万元以下的货物和服务采购项目、400 </w:t>
      </w:r>
      <w:r>
        <w:rPr>
          <w:b/>
          <w:bCs/>
          <w:color w:val="auto"/>
          <w:spacing w:val="-11"/>
          <w:sz w:val="24"/>
          <w:szCs w:val="24"/>
          <w:highlight w:val="none"/>
        </w:rPr>
        <w:t>万元以下的工程采购项</w:t>
      </w:r>
      <w:r>
        <w:rPr>
          <w:b/>
          <w:bCs/>
          <w:color w:val="auto"/>
          <w:sz w:val="24"/>
          <w:szCs w:val="24"/>
          <w:highlight w:val="none"/>
        </w:rPr>
        <w:t xml:space="preserve"> </w:t>
      </w:r>
      <w:r>
        <w:rPr>
          <w:b/>
          <w:bCs/>
          <w:color w:val="auto"/>
          <w:spacing w:val="-3"/>
          <w:sz w:val="24"/>
          <w:szCs w:val="24"/>
          <w:highlight w:val="none"/>
        </w:rPr>
        <w:t>目，适宜由中小企业提供的，采购人应当专门面向中小企业采购。</w:t>
      </w:r>
    </w:p>
    <w:p w14:paraId="4F8695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color w:val="auto"/>
          <w:sz w:val="24"/>
          <w:szCs w:val="24"/>
          <w:highlight w:val="none"/>
        </w:rPr>
      </w:pPr>
      <w:r>
        <w:rPr>
          <w:b/>
          <w:bCs/>
          <w:color w:val="auto"/>
          <w:spacing w:val="-7"/>
          <w:sz w:val="24"/>
          <w:szCs w:val="24"/>
          <w:highlight w:val="none"/>
        </w:rPr>
        <w:t>2、超过 200 万元的货物和服务采购项目，预留该部分采购项目预算</w:t>
      </w:r>
      <w:r>
        <w:rPr>
          <w:b/>
          <w:bCs/>
          <w:color w:val="auto"/>
          <w:spacing w:val="-8"/>
          <w:sz w:val="24"/>
          <w:szCs w:val="24"/>
          <w:highlight w:val="none"/>
        </w:rPr>
        <w:t>总额的 30%以上专门</w:t>
      </w:r>
      <w:r>
        <w:rPr>
          <w:b/>
          <w:bCs/>
          <w:color w:val="auto"/>
          <w:sz w:val="24"/>
          <w:szCs w:val="24"/>
          <w:highlight w:val="none"/>
        </w:rPr>
        <w:t xml:space="preserve"> </w:t>
      </w:r>
      <w:r>
        <w:rPr>
          <w:b/>
          <w:bCs/>
          <w:color w:val="auto"/>
          <w:spacing w:val="-6"/>
          <w:sz w:val="24"/>
          <w:szCs w:val="24"/>
          <w:highlight w:val="none"/>
        </w:rPr>
        <w:t>面向中小企业采购，其中预留给小微企业的比例不低于 60%。</w:t>
      </w:r>
    </w:p>
    <w:p w14:paraId="0DEF48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color w:val="auto"/>
          <w:sz w:val="24"/>
          <w:szCs w:val="24"/>
          <w:highlight w:val="none"/>
        </w:rPr>
      </w:pPr>
      <w:r>
        <w:rPr>
          <w:b/>
          <w:bCs/>
          <w:color w:val="auto"/>
          <w:spacing w:val="-4"/>
          <w:sz w:val="24"/>
          <w:szCs w:val="24"/>
          <w:highlight w:val="none"/>
        </w:rPr>
        <w:t>3、超过 400 万元的工程采购项目中适宜由中小企业提供的，预留该部分采购项目预算总</w:t>
      </w:r>
      <w:r>
        <w:rPr>
          <w:b/>
          <w:bCs/>
          <w:color w:val="auto"/>
          <w:spacing w:val="18"/>
          <w:w w:val="101"/>
          <w:sz w:val="24"/>
          <w:szCs w:val="24"/>
          <w:highlight w:val="none"/>
        </w:rPr>
        <w:t xml:space="preserve"> </w:t>
      </w:r>
      <w:r>
        <w:rPr>
          <w:b/>
          <w:bCs/>
          <w:color w:val="auto"/>
          <w:spacing w:val="-8"/>
          <w:sz w:val="24"/>
          <w:szCs w:val="24"/>
          <w:highlight w:val="none"/>
        </w:rPr>
        <w:t>额的 40%以上专门面向中小企业采购，其中预留给</w:t>
      </w:r>
      <w:r>
        <w:rPr>
          <w:b/>
          <w:bCs/>
          <w:color w:val="auto"/>
          <w:spacing w:val="-9"/>
          <w:sz w:val="24"/>
          <w:szCs w:val="24"/>
          <w:highlight w:val="none"/>
        </w:rPr>
        <w:t>小微企业的比例不低于 60%。</w:t>
      </w:r>
    </w:p>
    <w:p w14:paraId="51E97E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color w:val="auto"/>
          <w:sz w:val="24"/>
          <w:szCs w:val="24"/>
          <w:highlight w:val="none"/>
        </w:rPr>
      </w:pPr>
      <w:r>
        <w:rPr>
          <w:b/>
          <w:bCs/>
          <w:color w:val="auto"/>
          <w:spacing w:val="-1"/>
          <w:sz w:val="24"/>
          <w:szCs w:val="24"/>
          <w:highlight w:val="none"/>
        </w:rPr>
        <w:t>4、对于未预留份额专门面向中小企业的采购项目，以及预留份额项目中的非预留部分采</w:t>
      </w:r>
      <w:r>
        <w:rPr>
          <w:b/>
          <w:bCs/>
          <w:color w:val="auto"/>
          <w:sz w:val="24"/>
          <w:szCs w:val="24"/>
          <w:highlight w:val="none"/>
        </w:rPr>
        <w:t xml:space="preserve">    </w:t>
      </w:r>
      <w:r>
        <w:rPr>
          <w:b/>
          <w:bCs/>
          <w:color w:val="auto"/>
          <w:spacing w:val="-15"/>
          <w:w w:val="97"/>
          <w:sz w:val="24"/>
          <w:szCs w:val="24"/>
          <w:highlight w:val="none"/>
        </w:rPr>
        <w:t>购包，采购人、采购代理机构应当对符合规定的小微企业报价给予</w:t>
      </w:r>
      <w:r>
        <w:rPr>
          <w:b/>
          <w:bCs/>
          <w:color w:val="auto"/>
          <w:spacing w:val="57"/>
          <w:w w:val="101"/>
          <w:sz w:val="24"/>
          <w:szCs w:val="24"/>
          <w:highlight w:val="none"/>
        </w:rPr>
        <w:t xml:space="preserve"> </w:t>
      </w:r>
      <w:r>
        <w:rPr>
          <w:b/>
          <w:bCs/>
          <w:color w:val="auto"/>
          <w:spacing w:val="-15"/>
          <w:w w:val="97"/>
          <w:sz w:val="24"/>
          <w:szCs w:val="24"/>
          <w:highlight w:val="none"/>
        </w:rPr>
        <w:t>10%~20%（工程项目为 3%~5%）</w:t>
      </w:r>
      <w:r>
        <w:rPr>
          <w:b/>
          <w:bCs/>
          <w:color w:val="auto"/>
          <w:sz w:val="24"/>
          <w:szCs w:val="24"/>
          <w:highlight w:val="none"/>
        </w:rPr>
        <w:t xml:space="preserve"> </w:t>
      </w:r>
      <w:r>
        <w:rPr>
          <w:b/>
          <w:bCs/>
          <w:color w:val="auto"/>
          <w:spacing w:val="-3"/>
          <w:sz w:val="24"/>
          <w:szCs w:val="24"/>
          <w:highlight w:val="none"/>
        </w:rPr>
        <w:t>的扣除，用扣除后的价格参加评审。适用招标投标法的政府采购工程建设项目，采用综合评估</w:t>
      </w:r>
      <w:r>
        <w:rPr>
          <w:b/>
          <w:bCs/>
          <w:color w:val="auto"/>
          <w:spacing w:val="1"/>
          <w:sz w:val="24"/>
          <w:szCs w:val="24"/>
          <w:highlight w:val="none"/>
        </w:rPr>
        <w:t xml:space="preserve">    </w:t>
      </w:r>
      <w:r>
        <w:rPr>
          <w:b/>
          <w:bCs/>
          <w:color w:val="auto"/>
          <w:spacing w:val="-3"/>
          <w:sz w:val="24"/>
          <w:szCs w:val="24"/>
          <w:highlight w:val="none"/>
        </w:rPr>
        <w:t>法但未采用低价优先法计算价格分的，评标时应当在采用原报价进行评分的基础上增加其价格</w:t>
      </w:r>
      <w:r>
        <w:rPr>
          <w:b/>
          <w:bCs/>
          <w:color w:val="auto"/>
          <w:spacing w:val="1"/>
          <w:sz w:val="24"/>
          <w:szCs w:val="24"/>
          <w:highlight w:val="none"/>
        </w:rPr>
        <w:t xml:space="preserve">    </w:t>
      </w:r>
      <w:r>
        <w:rPr>
          <w:b/>
          <w:bCs/>
          <w:color w:val="auto"/>
          <w:spacing w:val="-18"/>
          <w:w w:val="98"/>
          <w:sz w:val="24"/>
          <w:szCs w:val="24"/>
          <w:highlight w:val="none"/>
        </w:rPr>
        <w:t>得分的 3%~5%作为其价格分。</w:t>
      </w:r>
    </w:p>
    <w:p w14:paraId="3C2776D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color w:val="auto"/>
          <w:sz w:val="24"/>
          <w:szCs w:val="24"/>
          <w:highlight w:val="none"/>
        </w:rPr>
      </w:pPr>
      <w:r>
        <w:rPr>
          <w:b/>
          <w:bCs/>
          <w:color w:val="auto"/>
          <w:spacing w:val="-1"/>
          <w:sz w:val="24"/>
          <w:szCs w:val="24"/>
          <w:highlight w:val="none"/>
        </w:rPr>
        <w:t>5、接受大中型企业与小微企业组成联合体或者允许大中型企业向一家或者多家</w:t>
      </w:r>
      <w:r>
        <w:rPr>
          <w:b/>
          <w:bCs/>
          <w:color w:val="auto"/>
          <w:spacing w:val="-2"/>
          <w:sz w:val="24"/>
          <w:szCs w:val="24"/>
          <w:highlight w:val="none"/>
        </w:rPr>
        <w:t>小微企业</w:t>
      </w:r>
      <w:r>
        <w:rPr>
          <w:b/>
          <w:bCs/>
          <w:color w:val="auto"/>
          <w:sz w:val="24"/>
          <w:szCs w:val="24"/>
          <w:highlight w:val="none"/>
        </w:rPr>
        <w:t xml:space="preserve"> 分包的采购项目，对于联合协议或者分包意向协议约定小</w:t>
      </w:r>
      <w:r>
        <w:rPr>
          <w:b/>
          <w:bCs/>
          <w:color w:val="auto"/>
          <w:spacing w:val="-1"/>
          <w:sz w:val="24"/>
          <w:szCs w:val="24"/>
          <w:highlight w:val="none"/>
        </w:rPr>
        <w:t>微企业的合同份额占到合同总金额</w:t>
      </w:r>
      <w:r>
        <w:rPr>
          <w:b/>
          <w:bCs/>
          <w:color w:val="auto"/>
          <w:sz w:val="24"/>
          <w:szCs w:val="24"/>
          <w:highlight w:val="none"/>
        </w:rPr>
        <w:t xml:space="preserve">   </w:t>
      </w:r>
      <w:r>
        <w:rPr>
          <w:b/>
          <w:bCs/>
          <w:color w:val="auto"/>
          <w:spacing w:val="-11"/>
          <w:sz w:val="24"/>
          <w:szCs w:val="24"/>
          <w:highlight w:val="none"/>
        </w:rPr>
        <w:t>30%以上的，采购人、采购代理机构应当对联合体或者大中型企</w:t>
      </w:r>
      <w:r>
        <w:rPr>
          <w:b/>
          <w:bCs/>
          <w:color w:val="auto"/>
          <w:spacing w:val="-12"/>
          <w:sz w:val="24"/>
          <w:szCs w:val="24"/>
          <w:highlight w:val="none"/>
        </w:rPr>
        <w:t>业的报价给予 4%~6%（工程项</w:t>
      </w:r>
      <w:r>
        <w:rPr>
          <w:b/>
          <w:bCs/>
          <w:color w:val="auto"/>
          <w:sz w:val="24"/>
          <w:szCs w:val="24"/>
          <w:highlight w:val="none"/>
        </w:rPr>
        <w:t xml:space="preserve">  </w:t>
      </w:r>
      <w:r>
        <w:rPr>
          <w:b/>
          <w:bCs/>
          <w:color w:val="auto"/>
          <w:spacing w:val="-9"/>
          <w:sz w:val="24"/>
          <w:szCs w:val="24"/>
          <w:highlight w:val="none"/>
        </w:rPr>
        <w:t>目为</w:t>
      </w:r>
      <w:r>
        <w:rPr>
          <w:b/>
          <w:bCs/>
          <w:color w:val="auto"/>
          <w:spacing w:val="15"/>
          <w:sz w:val="24"/>
          <w:szCs w:val="24"/>
          <w:highlight w:val="none"/>
        </w:rPr>
        <w:t xml:space="preserve"> </w:t>
      </w:r>
      <w:r>
        <w:rPr>
          <w:b/>
          <w:bCs/>
          <w:color w:val="auto"/>
          <w:spacing w:val="-9"/>
          <w:sz w:val="24"/>
          <w:szCs w:val="24"/>
          <w:highlight w:val="none"/>
        </w:rPr>
        <w:t>1%~2%）的扣除，用扣除后的价格参加评</w:t>
      </w:r>
      <w:r>
        <w:rPr>
          <w:b/>
          <w:bCs/>
          <w:color w:val="auto"/>
          <w:spacing w:val="-10"/>
          <w:sz w:val="24"/>
          <w:szCs w:val="24"/>
          <w:highlight w:val="none"/>
        </w:rPr>
        <w:t>审。适用招标投标法的政府采购工程建设项目，</w:t>
      </w:r>
      <w:r>
        <w:rPr>
          <w:b/>
          <w:bCs/>
          <w:color w:val="auto"/>
          <w:sz w:val="24"/>
          <w:szCs w:val="24"/>
          <w:highlight w:val="none"/>
        </w:rPr>
        <w:t xml:space="preserve"> </w:t>
      </w:r>
      <w:r>
        <w:rPr>
          <w:b/>
          <w:bCs/>
          <w:color w:val="auto"/>
          <w:spacing w:val="-3"/>
          <w:sz w:val="24"/>
          <w:szCs w:val="24"/>
          <w:highlight w:val="none"/>
        </w:rPr>
        <w:t>采用综合评估法但未采用低价优先法计算价格分的，评标时应当在采用原报价进行评分的基础</w:t>
      </w:r>
      <w:r>
        <w:rPr>
          <w:b/>
          <w:bCs/>
          <w:color w:val="auto"/>
          <w:spacing w:val="7"/>
          <w:sz w:val="24"/>
          <w:szCs w:val="24"/>
          <w:highlight w:val="none"/>
        </w:rPr>
        <w:t xml:space="preserve"> </w:t>
      </w:r>
      <w:r>
        <w:rPr>
          <w:b/>
          <w:bCs/>
          <w:color w:val="auto"/>
          <w:spacing w:val="-13"/>
          <w:w w:val="98"/>
          <w:sz w:val="24"/>
          <w:szCs w:val="24"/>
          <w:highlight w:val="none"/>
        </w:rPr>
        <w:t>上增加其价格得分的</w:t>
      </w:r>
      <w:r>
        <w:rPr>
          <w:b/>
          <w:bCs/>
          <w:color w:val="auto"/>
          <w:spacing w:val="20"/>
          <w:sz w:val="24"/>
          <w:szCs w:val="24"/>
          <w:highlight w:val="none"/>
        </w:rPr>
        <w:t xml:space="preserve"> </w:t>
      </w:r>
      <w:r>
        <w:rPr>
          <w:b/>
          <w:bCs/>
          <w:color w:val="auto"/>
          <w:spacing w:val="-13"/>
          <w:w w:val="98"/>
          <w:sz w:val="24"/>
          <w:szCs w:val="24"/>
          <w:highlight w:val="none"/>
        </w:rPr>
        <w:t>1%~2%作为其价格分。</w:t>
      </w:r>
    </w:p>
    <w:p w14:paraId="7B63EF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七、对本次招标提出询问，请按以下方式联系。</w:t>
      </w:r>
    </w:p>
    <w:p w14:paraId="30890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220D8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伊犁哈萨克自治州纤维检验所</w:t>
      </w:r>
      <w:r>
        <w:rPr>
          <w:rFonts w:hint="eastAsia" w:ascii="新宋体" w:hAnsi="新宋体" w:eastAsia="新宋体" w:cs="新宋体"/>
          <w:color w:val="auto"/>
          <w:sz w:val="24"/>
          <w:szCs w:val="24"/>
          <w:highlight w:val="none"/>
        </w:rPr>
        <w:t xml:space="preserve"> </w:t>
      </w:r>
    </w:p>
    <w:p w14:paraId="24541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w:t>
      </w:r>
    </w:p>
    <w:p w14:paraId="2FECF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联系方式：18009991686 </w:t>
      </w:r>
    </w:p>
    <w:p w14:paraId="15E05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60A6D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乌鲁木齐鑫盛开源工程项目管理有限公司</w:t>
      </w:r>
    </w:p>
    <w:p w14:paraId="15043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地址：伊宁市西环路306号开元新城3号楼12层（写字楼）</w:t>
      </w:r>
    </w:p>
    <w:p w14:paraId="7A32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eastAsia="zh-CN"/>
        </w:rPr>
        <w:t>13679942122</w:t>
      </w:r>
    </w:p>
    <w:p w14:paraId="3694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8B27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eastAsia="zh-CN"/>
        </w:rPr>
        <w:t>蔡琰</w:t>
      </w:r>
      <w:r>
        <w:rPr>
          <w:rFonts w:hint="eastAsia" w:ascii="新宋体" w:hAnsi="新宋体" w:eastAsia="新宋体" w:cs="新宋体"/>
          <w:color w:val="auto"/>
          <w:sz w:val="24"/>
          <w:szCs w:val="24"/>
          <w:highlight w:val="none"/>
        </w:rPr>
        <w:t xml:space="preserve">  </w:t>
      </w:r>
    </w:p>
    <w:p w14:paraId="06E58F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  话：</w:t>
      </w:r>
      <w:r>
        <w:rPr>
          <w:rFonts w:hint="eastAsia" w:ascii="新宋体" w:hAnsi="新宋体" w:eastAsia="新宋体" w:cs="新宋体"/>
          <w:color w:val="auto"/>
          <w:sz w:val="24"/>
          <w:szCs w:val="24"/>
          <w:highlight w:val="none"/>
          <w:lang w:eastAsia="zh-CN"/>
        </w:rPr>
        <w:t>13679942122</w:t>
      </w:r>
    </w:p>
    <w:p w14:paraId="0673C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sectPr>
          <w:footerReference r:id="rId7" w:type="default"/>
          <w:pgSz w:w="11905" w:h="16839"/>
          <w:pgMar w:top="1440" w:right="1080" w:bottom="1440" w:left="1080" w:header="0" w:footer="1090" w:gutter="0"/>
          <w:pgNumType w:fmt="numberInDash" w:start="1"/>
          <w:cols w:space="720" w:num="1"/>
        </w:sectPr>
      </w:pPr>
    </w:p>
    <w:p w14:paraId="658949F2">
      <w:pPr>
        <w:spacing w:line="249" w:lineRule="auto"/>
        <w:rPr>
          <w:rFonts w:ascii="Arial"/>
          <w:color w:val="auto"/>
          <w:sz w:val="21"/>
          <w:highlight w:val="none"/>
        </w:rPr>
      </w:pPr>
    </w:p>
    <w:p w14:paraId="31D028FD">
      <w:pPr>
        <w:spacing w:line="249" w:lineRule="auto"/>
        <w:rPr>
          <w:rFonts w:ascii="Arial"/>
          <w:color w:val="auto"/>
          <w:sz w:val="21"/>
          <w:highlight w:val="none"/>
        </w:rPr>
      </w:pPr>
    </w:p>
    <w:p w14:paraId="29C5C888">
      <w:pPr>
        <w:pStyle w:val="8"/>
        <w:keepNext w:val="0"/>
        <w:keepLines w:val="0"/>
        <w:pageBreakBefore w:val="0"/>
        <w:widowControl/>
        <w:kinsoku w:val="0"/>
        <w:wordWrap/>
        <w:overflowPunct/>
        <w:topLinePunct w:val="0"/>
        <w:autoSpaceDE w:val="0"/>
        <w:autoSpaceDN w:val="0"/>
        <w:bidi w:val="0"/>
        <w:adjustRightInd w:val="0"/>
        <w:snapToGrid w:val="0"/>
        <w:spacing w:before="129" w:line="360" w:lineRule="exact"/>
        <w:ind w:left="4012"/>
        <w:textAlignment w:val="baseline"/>
        <w:outlineLvl w:val="0"/>
        <w:rPr>
          <w:color w:val="auto"/>
          <w:sz w:val="30"/>
          <w:szCs w:val="30"/>
          <w:highlight w:val="none"/>
        </w:rPr>
      </w:pPr>
      <w:bookmarkStart w:id="9" w:name="bookmark3"/>
      <w:bookmarkEnd w:id="9"/>
      <w:r>
        <w:rPr>
          <w:b/>
          <w:bCs/>
          <w:color w:val="auto"/>
          <w:spacing w:val="-6"/>
          <w:sz w:val="30"/>
          <w:szCs w:val="30"/>
          <w:highlight w:val="none"/>
        </w:rPr>
        <w:t>第二章</w:t>
      </w:r>
      <w:r>
        <w:rPr>
          <w:b/>
          <w:bCs/>
          <w:color w:val="auto"/>
          <w:spacing w:val="16"/>
          <w:sz w:val="30"/>
          <w:szCs w:val="30"/>
          <w:highlight w:val="none"/>
        </w:rPr>
        <w:t xml:space="preserve">   </w:t>
      </w:r>
      <w:r>
        <w:rPr>
          <w:b/>
          <w:bCs/>
          <w:color w:val="auto"/>
          <w:spacing w:val="-6"/>
          <w:sz w:val="30"/>
          <w:szCs w:val="30"/>
          <w:highlight w:val="none"/>
        </w:rPr>
        <w:t>投标人须知</w:t>
      </w:r>
    </w:p>
    <w:p w14:paraId="132F92ED">
      <w:pPr>
        <w:pStyle w:val="8"/>
        <w:keepNext w:val="0"/>
        <w:keepLines w:val="0"/>
        <w:pageBreakBefore w:val="0"/>
        <w:widowControl/>
        <w:kinsoku w:val="0"/>
        <w:wordWrap/>
        <w:overflowPunct/>
        <w:topLinePunct w:val="0"/>
        <w:autoSpaceDE w:val="0"/>
        <w:autoSpaceDN w:val="0"/>
        <w:bidi w:val="0"/>
        <w:adjustRightInd w:val="0"/>
        <w:snapToGrid w:val="0"/>
        <w:spacing w:before="2" w:line="360" w:lineRule="exact"/>
        <w:ind w:left="236" w:right="3712" w:firstLine="3476"/>
        <w:textAlignment w:val="baseline"/>
        <w:rPr>
          <w:color w:val="auto"/>
          <w:sz w:val="21"/>
          <w:szCs w:val="21"/>
          <w:highlight w:val="none"/>
        </w:rPr>
      </w:pPr>
      <w:r>
        <w:rPr>
          <w:b/>
          <w:bCs/>
          <w:color w:val="auto"/>
          <w:spacing w:val="-5"/>
          <w:sz w:val="28"/>
          <w:szCs w:val="28"/>
          <w:highlight w:val="none"/>
        </w:rPr>
        <w:t>一、投标人须知前附表</w:t>
      </w:r>
      <w:r>
        <w:rPr>
          <w:b/>
          <w:bCs/>
          <w:color w:val="auto"/>
          <w:spacing w:val="3"/>
          <w:sz w:val="28"/>
          <w:szCs w:val="28"/>
          <w:highlight w:val="none"/>
        </w:rPr>
        <w:t xml:space="preserve"> </w:t>
      </w:r>
      <w:r>
        <w:rPr>
          <w:b/>
          <w:bCs/>
          <w:color w:val="auto"/>
          <w:spacing w:val="-2"/>
          <w:sz w:val="21"/>
          <w:szCs w:val="21"/>
          <w:highlight w:val="none"/>
        </w:rPr>
        <w:t>正文部分与前附表如有矛盾，以本须知前附表为准。</w:t>
      </w:r>
    </w:p>
    <w:tbl>
      <w:tblPr>
        <w:tblStyle w:val="15"/>
        <w:tblW w:w="10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742"/>
        <w:gridCol w:w="7462"/>
      </w:tblGrid>
      <w:tr w14:paraId="33BA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65" w:type="dxa"/>
            <w:vAlign w:val="top"/>
          </w:tcPr>
          <w:p w14:paraId="49CC1FC9">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279"/>
              <w:textAlignment w:val="baseline"/>
              <w:rPr>
                <w:color w:val="auto"/>
                <w:sz w:val="21"/>
                <w:szCs w:val="21"/>
                <w:highlight w:val="none"/>
              </w:rPr>
            </w:pPr>
            <w:r>
              <w:rPr>
                <w:color w:val="auto"/>
                <w:spacing w:val="-4"/>
                <w:sz w:val="21"/>
                <w:szCs w:val="21"/>
                <w:highlight w:val="none"/>
              </w:rPr>
              <w:t>序号</w:t>
            </w:r>
          </w:p>
        </w:tc>
        <w:tc>
          <w:tcPr>
            <w:tcW w:w="1742" w:type="dxa"/>
            <w:vAlign w:val="top"/>
          </w:tcPr>
          <w:p w14:paraId="577AD589">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692"/>
              <w:textAlignment w:val="baseline"/>
              <w:rPr>
                <w:color w:val="auto"/>
                <w:sz w:val="21"/>
                <w:szCs w:val="21"/>
                <w:highlight w:val="none"/>
              </w:rPr>
            </w:pPr>
            <w:r>
              <w:rPr>
                <w:color w:val="auto"/>
                <w:spacing w:val="-10"/>
                <w:sz w:val="21"/>
                <w:szCs w:val="21"/>
                <w:highlight w:val="none"/>
              </w:rPr>
              <w:t>内容</w:t>
            </w:r>
          </w:p>
        </w:tc>
        <w:tc>
          <w:tcPr>
            <w:tcW w:w="7462" w:type="dxa"/>
            <w:vAlign w:val="top"/>
          </w:tcPr>
          <w:p w14:paraId="31548985">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3215"/>
              <w:textAlignment w:val="baseline"/>
              <w:rPr>
                <w:color w:val="auto"/>
                <w:sz w:val="21"/>
                <w:szCs w:val="21"/>
                <w:highlight w:val="none"/>
              </w:rPr>
            </w:pPr>
            <w:r>
              <w:rPr>
                <w:color w:val="auto"/>
                <w:spacing w:val="-3"/>
                <w:sz w:val="21"/>
                <w:szCs w:val="21"/>
                <w:highlight w:val="none"/>
              </w:rPr>
              <w:t>说明与要求</w:t>
            </w:r>
          </w:p>
        </w:tc>
      </w:tr>
      <w:tr w14:paraId="14E0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65" w:type="dxa"/>
            <w:vAlign w:val="top"/>
          </w:tcPr>
          <w:p w14:paraId="3127FF0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742" w:type="dxa"/>
            <w:vAlign w:val="top"/>
          </w:tcPr>
          <w:p w14:paraId="6325819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项目名称</w:t>
            </w:r>
          </w:p>
        </w:tc>
        <w:tc>
          <w:tcPr>
            <w:tcW w:w="7462" w:type="dxa"/>
            <w:vAlign w:val="top"/>
          </w:tcPr>
          <w:p w14:paraId="42D77016">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lef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伊犁哈萨克自治州纤维检验所2025年棉花公证检验设备配件及空调辅助设备维护服务项目</w:t>
            </w:r>
          </w:p>
        </w:tc>
      </w:tr>
      <w:tr w14:paraId="62FA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65" w:type="dxa"/>
            <w:vAlign w:val="top"/>
          </w:tcPr>
          <w:p w14:paraId="47E676D8">
            <w:pPr>
              <w:pStyle w:val="16"/>
              <w:keepNext w:val="0"/>
              <w:keepLines w:val="0"/>
              <w:pageBreakBefore w:val="0"/>
              <w:widowControl/>
              <w:kinsoku w:val="0"/>
              <w:wordWrap/>
              <w:overflowPunct/>
              <w:topLinePunct w:val="0"/>
              <w:autoSpaceDE w:val="0"/>
              <w:autoSpaceDN w:val="0"/>
              <w:bidi w:val="0"/>
              <w:adjustRightInd w:val="0"/>
              <w:snapToGrid w:val="0"/>
              <w:spacing w:before="166" w:line="360" w:lineRule="exact"/>
              <w:ind w:left="432"/>
              <w:textAlignment w:val="baseline"/>
              <w:rPr>
                <w:color w:val="auto"/>
                <w:sz w:val="21"/>
                <w:szCs w:val="21"/>
                <w:highlight w:val="none"/>
              </w:rPr>
            </w:pPr>
            <w:r>
              <w:rPr>
                <w:color w:val="auto"/>
                <w:sz w:val="21"/>
                <w:szCs w:val="21"/>
                <w:highlight w:val="none"/>
              </w:rPr>
              <w:t>2</w:t>
            </w:r>
          </w:p>
        </w:tc>
        <w:tc>
          <w:tcPr>
            <w:tcW w:w="1742" w:type="dxa"/>
            <w:vAlign w:val="top"/>
          </w:tcPr>
          <w:p w14:paraId="6C06EC32">
            <w:pPr>
              <w:pStyle w:val="16"/>
              <w:keepNext w:val="0"/>
              <w:keepLines w:val="0"/>
              <w:pageBreakBefore w:val="0"/>
              <w:widowControl/>
              <w:kinsoku w:val="0"/>
              <w:wordWrap/>
              <w:overflowPunct/>
              <w:topLinePunct w:val="0"/>
              <w:autoSpaceDE w:val="0"/>
              <w:autoSpaceDN w:val="0"/>
              <w:bidi w:val="0"/>
              <w:adjustRightInd w:val="0"/>
              <w:snapToGrid w:val="0"/>
              <w:spacing w:before="127" w:line="360" w:lineRule="exact"/>
              <w:ind w:left="457"/>
              <w:textAlignment w:val="baseline"/>
              <w:rPr>
                <w:color w:val="auto"/>
                <w:sz w:val="21"/>
                <w:szCs w:val="21"/>
                <w:highlight w:val="none"/>
              </w:rPr>
            </w:pPr>
            <w:r>
              <w:rPr>
                <w:color w:val="auto"/>
                <w:spacing w:val="-3"/>
                <w:sz w:val="21"/>
                <w:szCs w:val="21"/>
                <w:highlight w:val="none"/>
              </w:rPr>
              <w:t>项目编号</w:t>
            </w:r>
          </w:p>
        </w:tc>
        <w:tc>
          <w:tcPr>
            <w:tcW w:w="7462" w:type="dxa"/>
            <w:vAlign w:val="top"/>
          </w:tcPr>
          <w:p w14:paraId="219E6E8A">
            <w:pPr>
              <w:pStyle w:val="16"/>
              <w:keepNext w:val="0"/>
              <w:keepLines w:val="0"/>
              <w:pageBreakBefore w:val="0"/>
              <w:widowControl/>
              <w:kinsoku w:val="0"/>
              <w:wordWrap/>
              <w:overflowPunct/>
              <w:topLinePunct w:val="0"/>
              <w:autoSpaceDE w:val="0"/>
              <w:autoSpaceDN w:val="0"/>
              <w:bidi w:val="0"/>
              <w:adjustRightInd w:val="0"/>
              <w:snapToGrid w:val="0"/>
              <w:spacing w:before="164" w:line="360" w:lineRule="exact"/>
              <w:textAlignment w:val="baseline"/>
              <w:rPr>
                <w:color w:val="auto"/>
                <w:sz w:val="21"/>
                <w:szCs w:val="21"/>
                <w:highlight w:val="none"/>
              </w:rPr>
            </w:pPr>
            <w:r>
              <w:rPr>
                <w:rFonts w:hint="eastAsia"/>
                <w:color w:val="auto"/>
                <w:spacing w:val="-1"/>
                <w:sz w:val="21"/>
                <w:szCs w:val="21"/>
                <w:highlight w:val="none"/>
                <w:lang w:val="en-US" w:eastAsia="zh-CN"/>
              </w:rPr>
              <w:t>MHGZJC-2025-001</w:t>
            </w:r>
          </w:p>
        </w:tc>
      </w:tr>
      <w:tr w14:paraId="67F4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965" w:type="dxa"/>
            <w:vAlign w:val="top"/>
          </w:tcPr>
          <w:p w14:paraId="3561411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C1AA5E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4"/>
              <w:textAlignment w:val="baseline"/>
              <w:rPr>
                <w:color w:val="auto"/>
                <w:sz w:val="21"/>
                <w:szCs w:val="21"/>
                <w:highlight w:val="none"/>
              </w:rPr>
            </w:pPr>
            <w:r>
              <w:rPr>
                <w:color w:val="auto"/>
                <w:sz w:val="21"/>
                <w:szCs w:val="21"/>
                <w:highlight w:val="none"/>
              </w:rPr>
              <w:t>3</w:t>
            </w:r>
          </w:p>
        </w:tc>
        <w:tc>
          <w:tcPr>
            <w:tcW w:w="1742" w:type="dxa"/>
            <w:vAlign w:val="center"/>
          </w:tcPr>
          <w:p w14:paraId="36EA7FB1">
            <w:pPr>
              <w:pStyle w:val="16"/>
              <w:keepNext w:val="0"/>
              <w:keepLines w:val="0"/>
              <w:pageBreakBefore w:val="0"/>
              <w:widowControl/>
              <w:kinsoku w:val="0"/>
              <w:wordWrap/>
              <w:overflowPunct/>
              <w:topLinePunct w:val="0"/>
              <w:autoSpaceDE w:val="0"/>
              <w:autoSpaceDN w:val="0"/>
              <w:bidi w:val="0"/>
              <w:adjustRightInd w:val="0"/>
              <w:snapToGrid w:val="0"/>
              <w:spacing w:before="283" w:line="360" w:lineRule="exact"/>
              <w:ind w:left="252"/>
              <w:jc w:val="both"/>
              <w:textAlignment w:val="baseline"/>
              <w:rPr>
                <w:color w:val="auto"/>
                <w:spacing w:val="-3"/>
                <w:sz w:val="21"/>
                <w:szCs w:val="21"/>
                <w:highlight w:val="none"/>
              </w:rPr>
            </w:pPr>
            <w:r>
              <w:rPr>
                <w:color w:val="auto"/>
                <w:spacing w:val="-3"/>
                <w:sz w:val="21"/>
                <w:szCs w:val="21"/>
                <w:highlight w:val="none"/>
              </w:rPr>
              <w:t>合同履行期限</w:t>
            </w:r>
          </w:p>
          <w:p w14:paraId="590A2DD3">
            <w:pPr>
              <w:pStyle w:val="16"/>
              <w:keepNext w:val="0"/>
              <w:keepLines w:val="0"/>
              <w:pageBreakBefore w:val="0"/>
              <w:widowControl/>
              <w:kinsoku w:val="0"/>
              <w:wordWrap/>
              <w:overflowPunct/>
              <w:topLinePunct w:val="0"/>
              <w:autoSpaceDE w:val="0"/>
              <w:autoSpaceDN w:val="0"/>
              <w:bidi w:val="0"/>
              <w:adjustRightInd w:val="0"/>
              <w:snapToGrid w:val="0"/>
              <w:spacing w:before="283" w:line="360" w:lineRule="exact"/>
              <w:jc w:val="center"/>
              <w:textAlignment w:val="baseline"/>
              <w:rPr>
                <w:rFonts w:hint="eastAsia" w:eastAsia="新宋体"/>
                <w:color w:val="auto"/>
                <w:spacing w:val="-3"/>
                <w:sz w:val="21"/>
                <w:szCs w:val="21"/>
                <w:highlight w:val="none"/>
                <w:lang w:eastAsia="zh-CN"/>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23AC73E7">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color w:val="auto"/>
                <w:spacing w:val="-3"/>
                <w:sz w:val="21"/>
                <w:szCs w:val="21"/>
                <w:highlight w:val="none"/>
              </w:rPr>
            </w:pPr>
            <w:r>
              <w:rPr>
                <w:rFonts w:hint="eastAsia"/>
                <w:color w:val="auto"/>
                <w:spacing w:val="-3"/>
                <w:sz w:val="21"/>
                <w:szCs w:val="21"/>
                <w:highlight w:val="none"/>
              </w:rPr>
              <w:t>①实验室辅助设备维护保养部分服务期限：365日历日（自合同签订之日起计）。</w:t>
            </w:r>
          </w:p>
          <w:p w14:paraId="3B5A5DE6">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eastAsia="新宋体"/>
                <w:color w:val="auto"/>
                <w:spacing w:val="-3"/>
                <w:sz w:val="21"/>
                <w:szCs w:val="21"/>
                <w:highlight w:val="none"/>
                <w:lang w:eastAsia="zh-CN"/>
              </w:rPr>
            </w:pPr>
            <w:r>
              <w:rPr>
                <w:rFonts w:hint="eastAsia"/>
                <w:color w:val="auto"/>
                <w:spacing w:val="-3"/>
                <w:sz w:val="21"/>
                <w:szCs w:val="21"/>
                <w:highlight w:val="none"/>
              </w:rPr>
              <w:t>②实验室检验设备的配件、升级保养：实验室检验设备配件到位时间90日（自合同签订之日起计）；升级保养于60日内完成（自合同签订之日起计）</w:t>
            </w:r>
            <w:r>
              <w:rPr>
                <w:rFonts w:hint="eastAsia"/>
                <w:color w:val="auto"/>
                <w:spacing w:val="-3"/>
                <w:sz w:val="21"/>
                <w:szCs w:val="21"/>
                <w:highlight w:val="none"/>
                <w:lang w:eastAsia="zh-CN"/>
              </w:rPr>
              <w:t>。</w:t>
            </w:r>
          </w:p>
          <w:p w14:paraId="7ACA9CB4">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color w:val="auto"/>
                <w:sz w:val="21"/>
                <w:szCs w:val="21"/>
                <w:highlight w:val="none"/>
              </w:rPr>
            </w:pPr>
            <w:r>
              <w:rPr>
                <w:rFonts w:hint="eastAsia"/>
                <w:color w:val="auto"/>
                <w:spacing w:val="-3"/>
                <w:sz w:val="21"/>
                <w:szCs w:val="21"/>
                <w:highlight w:val="none"/>
              </w:rPr>
              <w:t>③HVI1000型棉花大容量快速测试仪的维护大保养服务的服务期限：2025年9月前完成</w:t>
            </w:r>
            <w:r>
              <w:rPr>
                <w:rFonts w:hint="eastAsia"/>
                <w:color w:val="auto"/>
                <w:spacing w:val="-3"/>
                <w:sz w:val="21"/>
                <w:szCs w:val="21"/>
                <w:highlight w:val="none"/>
                <w:lang w:eastAsia="zh-CN"/>
              </w:rPr>
              <w:t>；</w:t>
            </w:r>
            <w:r>
              <w:rPr>
                <w:rFonts w:hint="eastAsia"/>
                <w:color w:val="auto"/>
                <w:spacing w:val="-3"/>
                <w:sz w:val="21"/>
                <w:szCs w:val="21"/>
                <w:highlight w:val="none"/>
              </w:rPr>
              <w:t>准确性调整核查服务于60日内完成（自合同签订之日起计）。</w:t>
            </w:r>
          </w:p>
        </w:tc>
      </w:tr>
      <w:tr w14:paraId="1A87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65" w:type="dxa"/>
            <w:vAlign w:val="top"/>
          </w:tcPr>
          <w:p w14:paraId="1FDDC19C">
            <w:pPr>
              <w:pStyle w:val="16"/>
              <w:keepNext w:val="0"/>
              <w:keepLines w:val="0"/>
              <w:pageBreakBefore w:val="0"/>
              <w:widowControl/>
              <w:kinsoku w:val="0"/>
              <w:wordWrap/>
              <w:overflowPunct/>
              <w:topLinePunct w:val="0"/>
              <w:autoSpaceDE w:val="0"/>
              <w:autoSpaceDN w:val="0"/>
              <w:bidi w:val="0"/>
              <w:adjustRightInd w:val="0"/>
              <w:snapToGrid w:val="0"/>
              <w:spacing w:before="150" w:line="360" w:lineRule="exact"/>
              <w:ind w:left="429"/>
              <w:textAlignment w:val="baseline"/>
              <w:rPr>
                <w:color w:val="auto"/>
                <w:sz w:val="21"/>
                <w:szCs w:val="21"/>
                <w:highlight w:val="none"/>
              </w:rPr>
            </w:pPr>
            <w:r>
              <w:rPr>
                <w:color w:val="auto"/>
                <w:sz w:val="21"/>
                <w:szCs w:val="21"/>
                <w:highlight w:val="none"/>
              </w:rPr>
              <w:t>4</w:t>
            </w:r>
          </w:p>
        </w:tc>
        <w:tc>
          <w:tcPr>
            <w:tcW w:w="1742" w:type="dxa"/>
            <w:vAlign w:val="top"/>
          </w:tcPr>
          <w:p w14:paraId="56EBEC25">
            <w:pPr>
              <w:pStyle w:val="16"/>
              <w:keepNext w:val="0"/>
              <w:keepLines w:val="0"/>
              <w:pageBreakBefore w:val="0"/>
              <w:widowControl/>
              <w:kinsoku w:val="0"/>
              <w:wordWrap/>
              <w:overflowPunct/>
              <w:topLinePunct w:val="0"/>
              <w:autoSpaceDE w:val="0"/>
              <w:autoSpaceDN w:val="0"/>
              <w:bidi w:val="0"/>
              <w:adjustRightInd w:val="0"/>
              <w:snapToGrid w:val="0"/>
              <w:spacing w:before="112" w:line="360" w:lineRule="exact"/>
              <w:ind w:left="457"/>
              <w:textAlignment w:val="baseline"/>
              <w:rPr>
                <w:color w:val="auto"/>
                <w:sz w:val="21"/>
                <w:szCs w:val="21"/>
                <w:highlight w:val="none"/>
              </w:rPr>
            </w:pPr>
            <w:r>
              <w:rPr>
                <w:color w:val="auto"/>
                <w:spacing w:val="-3"/>
                <w:sz w:val="21"/>
                <w:szCs w:val="21"/>
                <w:highlight w:val="none"/>
              </w:rPr>
              <w:t>项目地点</w:t>
            </w:r>
          </w:p>
        </w:tc>
        <w:tc>
          <w:tcPr>
            <w:tcW w:w="7462" w:type="dxa"/>
            <w:vAlign w:val="top"/>
          </w:tcPr>
          <w:p w14:paraId="046A5400">
            <w:pPr>
              <w:pStyle w:val="16"/>
              <w:keepNext w:val="0"/>
              <w:keepLines w:val="0"/>
              <w:pageBreakBefore w:val="0"/>
              <w:widowControl/>
              <w:kinsoku w:val="0"/>
              <w:wordWrap/>
              <w:overflowPunct/>
              <w:topLinePunct w:val="0"/>
              <w:autoSpaceDE w:val="0"/>
              <w:autoSpaceDN w:val="0"/>
              <w:bidi w:val="0"/>
              <w:adjustRightInd w:val="0"/>
              <w:snapToGrid w:val="0"/>
              <w:spacing w:before="111" w:line="360" w:lineRule="exact"/>
              <w:textAlignment w:val="baseline"/>
              <w:rPr>
                <w:color w:val="auto"/>
                <w:sz w:val="21"/>
                <w:szCs w:val="21"/>
                <w:highlight w:val="none"/>
              </w:rPr>
            </w:pPr>
            <w:r>
              <w:rPr>
                <w:rFonts w:hint="eastAsia"/>
                <w:color w:val="auto"/>
                <w:spacing w:val="-3"/>
                <w:sz w:val="21"/>
                <w:szCs w:val="21"/>
                <w:highlight w:val="none"/>
                <w:lang w:val="en-US" w:eastAsia="zh-CN"/>
              </w:rPr>
              <w:t>奎屯市和伊宁市两地</w:t>
            </w:r>
          </w:p>
        </w:tc>
      </w:tr>
      <w:tr w14:paraId="01F6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5C62855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6272FF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4"/>
              <w:textAlignment w:val="baseline"/>
              <w:rPr>
                <w:color w:val="auto"/>
                <w:sz w:val="21"/>
                <w:szCs w:val="21"/>
                <w:highlight w:val="none"/>
              </w:rPr>
            </w:pPr>
            <w:r>
              <w:rPr>
                <w:color w:val="auto"/>
                <w:sz w:val="21"/>
                <w:szCs w:val="21"/>
                <w:highlight w:val="none"/>
              </w:rPr>
              <w:t>5</w:t>
            </w:r>
          </w:p>
        </w:tc>
        <w:tc>
          <w:tcPr>
            <w:tcW w:w="1742" w:type="dxa"/>
            <w:vAlign w:val="top"/>
          </w:tcPr>
          <w:p w14:paraId="50715732">
            <w:pPr>
              <w:pStyle w:val="16"/>
              <w:keepNext w:val="0"/>
              <w:keepLines w:val="0"/>
              <w:pageBreakBefore w:val="0"/>
              <w:widowControl/>
              <w:kinsoku w:val="0"/>
              <w:wordWrap/>
              <w:overflowPunct/>
              <w:topLinePunct w:val="0"/>
              <w:autoSpaceDE w:val="0"/>
              <w:autoSpaceDN w:val="0"/>
              <w:bidi w:val="0"/>
              <w:adjustRightInd w:val="0"/>
              <w:snapToGrid w:val="0"/>
              <w:spacing w:before="284" w:line="360" w:lineRule="exact"/>
              <w:ind w:left="141"/>
              <w:textAlignment w:val="baseline"/>
              <w:rPr>
                <w:color w:val="auto"/>
                <w:sz w:val="21"/>
                <w:szCs w:val="21"/>
                <w:highlight w:val="none"/>
              </w:rPr>
            </w:pPr>
            <w:r>
              <w:rPr>
                <w:color w:val="auto"/>
                <w:spacing w:val="-2"/>
                <w:sz w:val="21"/>
                <w:szCs w:val="21"/>
                <w:highlight w:val="none"/>
              </w:rPr>
              <w:t>招标人及联系人</w:t>
            </w:r>
          </w:p>
        </w:tc>
        <w:tc>
          <w:tcPr>
            <w:tcW w:w="7462" w:type="dxa"/>
            <w:vAlign w:val="top"/>
          </w:tcPr>
          <w:p w14:paraId="66D19A5E">
            <w:pPr>
              <w:pStyle w:val="16"/>
              <w:keepNext w:val="0"/>
              <w:keepLines w:val="0"/>
              <w:pageBreakBefore w:val="0"/>
              <w:widowControl/>
              <w:kinsoku w:val="0"/>
              <w:wordWrap/>
              <w:overflowPunct/>
              <w:topLinePunct w:val="0"/>
              <w:autoSpaceDE w:val="0"/>
              <w:autoSpaceDN w:val="0"/>
              <w:bidi w:val="0"/>
              <w:adjustRightInd w:val="0"/>
              <w:snapToGrid w:val="0"/>
              <w:spacing w:before="103" w:line="360" w:lineRule="exact"/>
              <w:textAlignment w:val="baseline"/>
              <w:rPr>
                <w:rFonts w:hint="eastAsia" w:eastAsia="新宋体"/>
                <w:color w:val="auto"/>
                <w:sz w:val="21"/>
                <w:szCs w:val="21"/>
                <w:highlight w:val="none"/>
                <w:lang w:eastAsia="zh-CN"/>
              </w:rPr>
            </w:pPr>
            <w:r>
              <w:rPr>
                <w:color w:val="auto"/>
                <w:spacing w:val="-1"/>
                <w:sz w:val="21"/>
                <w:szCs w:val="21"/>
                <w:highlight w:val="none"/>
              </w:rPr>
              <w:t>单位名称：</w:t>
            </w:r>
            <w:r>
              <w:rPr>
                <w:rFonts w:hint="eastAsia"/>
                <w:color w:val="auto"/>
                <w:spacing w:val="-1"/>
                <w:sz w:val="21"/>
                <w:szCs w:val="21"/>
                <w:highlight w:val="none"/>
                <w:lang w:eastAsia="zh-CN"/>
              </w:rPr>
              <w:t>伊犁哈萨克自治州纤维检验所</w:t>
            </w:r>
          </w:p>
          <w:p w14:paraId="1E63C3D2">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textAlignment w:val="baseline"/>
              <w:rPr>
                <w:color w:val="auto"/>
                <w:sz w:val="21"/>
                <w:szCs w:val="21"/>
                <w:highlight w:val="none"/>
              </w:rPr>
            </w:pPr>
            <w:r>
              <w:rPr>
                <w:color w:val="auto"/>
                <w:sz w:val="21"/>
                <w:szCs w:val="21"/>
                <w:highlight w:val="none"/>
              </w:rPr>
              <w:t>联系人：曲志勇        联系电</w:t>
            </w:r>
            <w:r>
              <w:rPr>
                <w:color w:val="auto"/>
                <w:spacing w:val="-1"/>
                <w:sz w:val="21"/>
                <w:szCs w:val="21"/>
                <w:highlight w:val="none"/>
              </w:rPr>
              <w:t>话：18009991686</w:t>
            </w:r>
          </w:p>
        </w:tc>
      </w:tr>
      <w:tr w14:paraId="6949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6071D85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FB4AA7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2"/>
              <w:textAlignment w:val="baseline"/>
              <w:rPr>
                <w:color w:val="auto"/>
                <w:sz w:val="21"/>
                <w:szCs w:val="21"/>
                <w:highlight w:val="none"/>
              </w:rPr>
            </w:pPr>
            <w:r>
              <w:rPr>
                <w:color w:val="auto"/>
                <w:sz w:val="21"/>
                <w:szCs w:val="21"/>
                <w:highlight w:val="none"/>
              </w:rPr>
              <w:t>6</w:t>
            </w:r>
          </w:p>
        </w:tc>
        <w:tc>
          <w:tcPr>
            <w:tcW w:w="1742" w:type="dxa"/>
            <w:vAlign w:val="top"/>
          </w:tcPr>
          <w:p w14:paraId="4DB0A159">
            <w:pPr>
              <w:pStyle w:val="16"/>
              <w:keepNext w:val="0"/>
              <w:keepLines w:val="0"/>
              <w:pageBreakBefore w:val="0"/>
              <w:widowControl/>
              <w:kinsoku w:val="0"/>
              <w:wordWrap/>
              <w:overflowPunct/>
              <w:topLinePunct w:val="0"/>
              <w:autoSpaceDE w:val="0"/>
              <w:autoSpaceDN w:val="0"/>
              <w:bidi w:val="0"/>
              <w:adjustRightInd w:val="0"/>
              <w:snapToGrid w:val="0"/>
              <w:spacing w:before="103" w:line="360" w:lineRule="exact"/>
              <w:ind w:left="459" w:right="448" w:firstLine="1"/>
              <w:textAlignment w:val="baseline"/>
              <w:rPr>
                <w:color w:val="auto"/>
                <w:sz w:val="21"/>
                <w:szCs w:val="21"/>
                <w:highlight w:val="none"/>
              </w:rPr>
            </w:pPr>
            <w:r>
              <w:rPr>
                <w:color w:val="auto"/>
                <w:spacing w:val="-5"/>
                <w:sz w:val="21"/>
                <w:szCs w:val="21"/>
                <w:highlight w:val="none"/>
              </w:rPr>
              <w:t>代理机构</w:t>
            </w:r>
            <w:r>
              <w:rPr>
                <w:color w:val="auto"/>
                <w:sz w:val="21"/>
                <w:szCs w:val="21"/>
                <w:highlight w:val="none"/>
              </w:rPr>
              <w:t xml:space="preserve"> </w:t>
            </w:r>
            <w:r>
              <w:rPr>
                <w:color w:val="auto"/>
                <w:spacing w:val="-5"/>
                <w:sz w:val="21"/>
                <w:szCs w:val="21"/>
                <w:highlight w:val="none"/>
              </w:rPr>
              <w:t>及联系人</w:t>
            </w:r>
          </w:p>
        </w:tc>
        <w:tc>
          <w:tcPr>
            <w:tcW w:w="7462" w:type="dxa"/>
            <w:vAlign w:val="top"/>
          </w:tcPr>
          <w:p w14:paraId="2311F30D">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textAlignment w:val="baseline"/>
              <w:rPr>
                <w:rFonts w:hint="eastAsia" w:eastAsia="新宋体"/>
                <w:color w:val="auto"/>
                <w:sz w:val="21"/>
                <w:szCs w:val="21"/>
                <w:highlight w:val="none"/>
                <w:lang w:eastAsia="zh-CN"/>
              </w:rPr>
            </w:pPr>
            <w:r>
              <w:rPr>
                <w:rFonts w:hint="eastAsia"/>
                <w:color w:val="auto"/>
                <w:spacing w:val="-1"/>
                <w:sz w:val="21"/>
                <w:szCs w:val="21"/>
                <w:highlight w:val="none"/>
                <w:lang w:eastAsia="zh-CN"/>
              </w:rPr>
              <w:t>采购代理机构</w:t>
            </w:r>
            <w:r>
              <w:rPr>
                <w:color w:val="auto"/>
                <w:spacing w:val="-1"/>
                <w:sz w:val="21"/>
                <w:szCs w:val="21"/>
                <w:highlight w:val="none"/>
              </w:rPr>
              <w:t>：</w:t>
            </w:r>
            <w:r>
              <w:rPr>
                <w:rFonts w:hint="eastAsia"/>
                <w:color w:val="auto"/>
                <w:spacing w:val="-1"/>
                <w:sz w:val="21"/>
                <w:szCs w:val="21"/>
                <w:highlight w:val="none"/>
                <w:lang w:eastAsia="zh-CN"/>
              </w:rPr>
              <w:t>乌鲁木齐鑫盛开源工程项目管理有限公司</w:t>
            </w:r>
          </w:p>
          <w:p w14:paraId="32EDA91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textAlignment w:val="baseline"/>
              <w:rPr>
                <w:rFonts w:hint="eastAsia" w:eastAsia="新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蔡琰</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联系电</w:t>
            </w:r>
            <w:r>
              <w:rPr>
                <w:color w:val="auto"/>
                <w:spacing w:val="-1"/>
                <w:sz w:val="21"/>
                <w:szCs w:val="21"/>
                <w:highlight w:val="none"/>
              </w:rPr>
              <w:t>话：</w:t>
            </w:r>
            <w:r>
              <w:rPr>
                <w:rFonts w:hint="eastAsia"/>
                <w:color w:val="auto"/>
                <w:spacing w:val="-1"/>
                <w:sz w:val="21"/>
                <w:szCs w:val="21"/>
                <w:highlight w:val="none"/>
                <w:lang w:eastAsia="zh-CN"/>
              </w:rPr>
              <w:t>13679942122</w:t>
            </w:r>
          </w:p>
        </w:tc>
      </w:tr>
      <w:tr w14:paraId="7943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65" w:type="dxa"/>
            <w:vAlign w:val="top"/>
          </w:tcPr>
          <w:p w14:paraId="2E98B747">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35"/>
              <w:textAlignment w:val="baseline"/>
              <w:rPr>
                <w:color w:val="auto"/>
                <w:sz w:val="21"/>
                <w:szCs w:val="21"/>
                <w:highlight w:val="none"/>
              </w:rPr>
            </w:pPr>
            <w:r>
              <w:rPr>
                <w:color w:val="auto"/>
                <w:sz w:val="21"/>
                <w:szCs w:val="21"/>
                <w:highlight w:val="none"/>
              </w:rPr>
              <w:t>7</w:t>
            </w:r>
          </w:p>
        </w:tc>
        <w:tc>
          <w:tcPr>
            <w:tcW w:w="1742" w:type="dxa"/>
            <w:vAlign w:val="top"/>
          </w:tcPr>
          <w:p w14:paraId="1775D93B">
            <w:pPr>
              <w:pStyle w:val="16"/>
              <w:keepNext w:val="0"/>
              <w:keepLines w:val="0"/>
              <w:pageBreakBefore w:val="0"/>
              <w:widowControl/>
              <w:kinsoku w:val="0"/>
              <w:wordWrap/>
              <w:overflowPunct/>
              <w:topLinePunct w:val="0"/>
              <w:autoSpaceDE w:val="0"/>
              <w:autoSpaceDN w:val="0"/>
              <w:bidi w:val="0"/>
              <w:adjustRightInd w:val="0"/>
              <w:snapToGrid w:val="0"/>
              <w:spacing w:before="163" w:line="360" w:lineRule="exact"/>
              <w:ind w:left="467"/>
              <w:textAlignment w:val="baseline"/>
              <w:rPr>
                <w:color w:val="auto"/>
                <w:sz w:val="21"/>
                <w:szCs w:val="21"/>
                <w:highlight w:val="none"/>
              </w:rPr>
            </w:pPr>
            <w:r>
              <w:rPr>
                <w:color w:val="auto"/>
                <w:spacing w:val="-5"/>
                <w:sz w:val="21"/>
                <w:szCs w:val="21"/>
                <w:highlight w:val="none"/>
              </w:rPr>
              <w:t>资金来源</w:t>
            </w:r>
          </w:p>
        </w:tc>
        <w:tc>
          <w:tcPr>
            <w:tcW w:w="7462" w:type="dxa"/>
            <w:vAlign w:val="top"/>
          </w:tcPr>
          <w:p w14:paraId="008F45F6">
            <w:pPr>
              <w:pStyle w:val="16"/>
              <w:keepNext w:val="0"/>
              <w:keepLines w:val="0"/>
              <w:pageBreakBefore w:val="0"/>
              <w:widowControl/>
              <w:kinsoku w:val="0"/>
              <w:wordWrap/>
              <w:overflowPunct/>
              <w:topLinePunct w:val="0"/>
              <w:autoSpaceDE w:val="0"/>
              <w:autoSpaceDN w:val="0"/>
              <w:bidi w:val="0"/>
              <w:adjustRightInd w:val="0"/>
              <w:snapToGrid w:val="0"/>
              <w:spacing w:before="163" w:line="360" w:lineRule="exact"/>
              <w:textAlignment w:val="baseline"/>
              <w:rPr>
                <w:rFonts w:hint="default" w:eastAsia="新宋体"/>
                <w:color w:val="auto"/>
                <w:sz w:val="21"/>
                <w:szCs w:val="21"/>
                <w:highlight w:val="none"/>
                <w:lang w:val="en-US" w:eastAsia="zh-CN"/>
              </w:rPr>
            </w:pPr>
            <w:r>
              <w:rPr>
                <w:rFonts w:hint="eastAsia"/>
                <w:color w:val="auto"/>
                <w:spacing w:val="-5"/>
                <w:sz w:val="21"/>
                <w:szCs w:val="21"/>
                <w:highlight w:val="none"/>
                <w:lang w:val="en-US" w:eastAsia="zh-CN"/>
              </w:rPr>
              <w:t>2025年度纤维公证检验经费</w:t>
            </w:r>
          </w:p>
        </w:tc>
      </w:tr>
      <w:tr w14:paraId="7446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5" w:type="dxa"/>
            <w:vAlign w:val="top"/>
          </w:tcPr>
          <w:p w14:paraId="3CAE912D">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431"/>
              <w:textAlignment w:val="baseline"/>
              <w:rPr>
                <w:color w:val="auto"/>
                <w:sz w:val="21"/>
                <w:szCs w:val="21"/>
                <w:highlight w:val="none"/>
              </w:rPr>
            </w:pPr>
          </w:p>
          <w:p w14:paraId="16F2131C">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431"/>
              <w:textAlignment w:val="baseline"/>
              <w:rPr>
                <w:color w:val="auto"/>
                <w:sz w:val="21"/>
                <w:szCs w:val="21"/>
                <w:highlight w:val="none"/>
              </w:rPr>
            </w:pPr>
            <w:r>
              <w:rPr>
                <w:color w:val="auto"/>
                <w:sz w:val="21"/>
                <w:szCs w:val="21"/>
                <w:highlight w:val="none"/>
              </w:rPr>
              <w:t>8</w:t>
            </w:r>
          </w:p>
        </w:tc>
        <w:tc>
          <w:tcPr>
            <w:tcW w:w="1742" w:type="dxa"/>
            <w:vAlign w:val="top"/>
          </w:tcPr>
          <w:p w14:paraId="6399C6A5">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57"/>
              <w:textAlignment w:val="baseline"/>
              <w:rPr>
                <w:color w:val="auto"/>
                <w:spacing w:val="-3"/>
                <w:sz w:val="21"/>
                <w:szCs w:val="21"/>
                <w:highlight w:val="none"/>
              </w:rPr>
            </w:pPr>
          </w:p>
          <w:p w14:paraId="3EA8F56F">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57"/>
              <w:textAlignment w:val="baseline"/>
              <w:rPr>
                <w:color w:val="auto"/>
                <w:sz w:val="21"/>
                <w:szCs w:val="21"/>
                <w:highlight w:val="none"/>
              </w:rPr>
            </w:pPr>
            <w:r>
              <w:rPr>
                <w:color w:val="auto"/>
                <w:spacing w:val="-3"/>
                <w:sz w:val="21"/>
                <w:szCs w:val="21"/>
                <w:highlight w:val="none"/>
              </w:rPr>
              <w:t>项目概况</w:t>
            </w:r>
          </w:p>
        </w:tc>
        <w:tc>
          <w:tcPr>
            <w:tcW w:w="7462" w:type="dxa"/>
            <w:vAlign w:val="top"/>
          </w:tcPr>
          <w:p w14:paraId="60F45E58">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en-US" w:bidi="ar-SA"/>
              </w:rPr>
              <w:t>拟新购/更新的设备（装置或系统）具体内容</w:t>
            </w:r>
            <w:r>
              <w:rPr>
                <w:rFonts w:hint="eastAsia" w:ascii="新宋体" w:hAnsi="新宋体" w:eastAsia="新宋体" w:cs="新宋体"/>
                <w:snapToGrid w:val="0"/>
                <w:color w:val="auto"/>
                <w:spacing w:val="-5"/>
                <w:kern w:val="0"/>
                <w:sz w:val="21"/>
                <w:szCs w:val="21"/>
                <w:highlight w:val="none"/>
                <w:lang w:val="en-US" w:eastAsia="zh-CN" w:bidi="ar-SA"/>
              </w:rPr>
              <w:t>：</w:t>
            </w:r>
          </w:p>
          <w:p w14:paraId="018DDF11">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a）实验室辅助设备的维护保养；</w:t>
            </w:r>
          </w:p>
          <w:p w14:paraId="2D3188FE">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b）实验室检验设备的配件及准确性核查服务；</w:t>
            </w:r>
          </w:p>
          <w:p w14:paraId="1B5D0B6D">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default"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c）HVI1000型棉花大容量快速测试仪的维护大保养服务。</w:t>
            </w:r>
          </w:p>
          <w:p w14:paraId="24AD5F1E">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color w:val="auto"/>
                <w:sz w:val="21"/>
                <w:szCs w:val="21"/>
                <w:highlight w:val="none"/>
              </w:rPr>
            </w:pPr>
            <w:r>
              <w:rPr>
                <w:rFonts w:ascii="新宋体" w:hAnsi="新宋体" w:eastAsia="新宋体" w:cs="新宋体"/>
                <w:snapToGrid w:val="0"/>
                <w:color w:val="auto"/>
                <w:spacing w:val="-5"/>
                <w:kern w:val="0"/>
                <w:sz w:val="21"/>
                <w:szCs w:val="21"/>
                <w:highlight w:val="none"/>
                <w:lang w:val="en-US" w:eastAsia="en-US" w:bidi="ar-SA"/>
              </w:rPr>
              <w:t>（</w:t>
            </w:r>
            <w:r>
              <w:rPr>
                <w:rFonts w:hint="eastAsia" w:ascii="新宋体" w:hAnsi="新宋体" w:eastAsia="新宋体" w:cs="新宋体"/>
                <w:snapToGrid w:val="0"/>
                <w:color w:val="auto"/>
                <w:spacing w:val="-5"/>
                <w:kern w:val="0"/>
                <w:sz w:val="21"/>
                <w:szCs w:val="21"/>
                <w:highlight w:val="none"/>
                <w:lang w:val="en-US" w:eastAsia="zh-CN" w:bidi="ar-SA"/>
              </w:rPr>
              <w:t>具体参数</w:t>
            </w:r>
            <w:r>
              <w:rPr>
                <w:rFonts w:ascii="新宋体" w:hAnsi="新宋体" w:eastAsia="新宋体" w:cs="新宋体"/>
                <w:snapToGrid w:val="0"/>
                <w:color w:val="auto"/>
                <w:spacing w:val="-5"/>
                <w:kern w:val="0"/>
                <w:sz w:val="21"/>
                <w:szCs w:val="21"/>
                <w:highlight w:val="none"/>
                <w:lang w:val="en-US" w:eastAsia="en-US" w:bidi="ar-SA"/>
              </w:rPr>
              <w:t>详见招标文件</w:t>
            </w:r>
            <w:r>
              <w:rPr>
                <w:rFonts w:hint="eastAsia" w:ascii="新宋体" w:hAnsi="新宋体" w:eastAsia="新宋体" w:cs="新宋体"/>
                <w:snapToGrid w:val="0"/>
                <w:color w:val="auto"/>
                <w:spacing w:val="-5"/>
                <w:kern w:val="0"/>
                <w:sz w:val="21"/>
                <w:szCs w:val="21"/>
                <w:highlight w:val="none"/>
                <w:lang w:val="en-US" w:eastAsia="zh-CN" w:bidi="ar-SA"/>
              </w:rPr>
              <w:t>采购清单</w:t>
            </w:r>
            <w:r>
              <w:rPr>
                <w:rFonts w:ascii="新宋体" w:hAnsi="新宋体" w:eastAsia="新宋体" w:cs="新宋体"/>
                <w:snapToGrid w:val="0"/>
                <w:color w:val="auto"/>
                <w:spacing w:val="-5"/>
                <w:kern w:val="0"/>
                <w:sz w:val="21"/>
                <w:szCs w:val="21"/>
                <w:highlight w:val="none"/>
                <w:lang w:val="en-US" w:eastAsia="en-US" w:bidi="ar-SA"/>
              </w:rPr>
              <w:t>）。</w:t>
            </w:r>
          </w:p>
        </w:tc>
      </w:tr>
      <w:tr w14:paraId="31A9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965" w:type="dxa"/>
            <w:vAlign w:val="top"/>
          </w:tcPr>
          <w:p w14:paraId="79E49D9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8A252C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525C1D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50000A2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7675BD6">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z w:val="21"/>
                <w:szCs w:val="21"/>
                <w:highlight w:val="none"/>
              </w:rPr>
              <w:t>9</w:t>
            </w:r>
          </w:p>
        </w:tc>
        <w:tc>
          <w:tcPr>
            <w:tcW w:w="1742" w:type="dxa"/>
            <w:vAlign w:val="top"/>
          </w:tcPr>
          <w:p w14:paraId="175A93E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0862C5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FD959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2BDFAD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38DECA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right="134"/>
              <w:jc w:val="center"/>
              <w:textAlignment w:val="baseline"/>
              <w:rPr>
                <w:color w:val="auto"/>
                <w:spacing w:val="-3"/>
                <w:sz w:val="21"/>
                <w:szCs w:val="21"/>
                <w:highlight w:val="none"/>
              </w:rPr>
            </w:pPr>
            <w:r>
              <w:rPr>
                <w:color w:val="auto"/>
                <w:spacing w:val="-2"/>
                <w:sz w:val="21"/>
                <w:szCs w:val="21"/>
                <w:highlight w:val="none"/>
              </w:rPr>
              <w:t>投标人资格条件</w:t>
            </w:r>
            <w:r>
              <w:rPr>
                <w:color w:val="auto"/>
                <w:sz w:val="21"/>
                <w:szCs w:val="21"/>
                <w:highlight w:val="none"/>
              </w:rPr>
              <w:t xml:space="preserve"> </w:t>
            </w:r>
            <w:r>
              <w:rPr>
                <w:color w:val="auto"/>
                <w:spacing w:val="-3"/>
                <w:sz w:val="21"/>
                <w:szCs w:val="21"/>
                <w:highlight w:val="none"/>
              </w:rPr>
              <w:t>及其他要求</w:t>
            </w:r>
          </w:p>
          <w:p w14:paraId="6EACBF43">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right="134"/>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78506302">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color w:val="auto"/>
                <w:spacing w:val="-1"/>
                <w:sz w:val="21"/>
                <w:szCs w:val="21"/>
                <w:highlight w:val="none"/>
              </w:rPr>
              <w:t>1、符合《中华人民共和国政府采购法》第二十二条的相关规定；投标人应在中</w:t>
            </w:r>
            <w:r>
              <w:rPr>
                <w:color w:val="auto"/>
                <w:spacing w:val="11"/>
                <w:sz w:val="21"/>
                <w:szCs w:val="21"/>
                <w:highlight w:val="none"/>
              </w:rPr>
              <w:t xml:space="preserve"> </w:t>
            </w:r>
            <w:r>
              <w:rPr>
                <w:color w:val="auto"/>
                <w:spacing w:val="-1"/>
                <w:sz w:val="21"/>
                <w:szCs w:val="21"/>
                <w:highlight w:val="none"/>
              </w:rPr>
              <w:t>华人民共和国注册，具有有效的营业执照，</w:t>
            </w:r>
            <w:r>
              <w:rPr>
                <w:color w:val="auto"/>
                <w:spacing w:val="-2"/>
                <w:sz w:val="21"/>
                <w:szCs w:val="21"/>
                <w:highlight w:val="none"/>
              </w:rPr>
              <w:t>并在人员、</w:t>
            </w:r>
            <w:r>
              <w:rPr>
                <w:color w:val="auto"/>
                <w:sz w:val="21"/>
                <w:szCs w:val="21"/>
                <w:highlight w:val="none"/>
              </w:rPr>
              <w:t xml:space="preserve"> </w:t>
            </w:r>
            <w:r>
              <w:rPr>
                <w:color w:val="auto"/>
                <w:spacing w:val="-4"/>
                <w:sz w:val="21"/>
                <w:szCs w:val="21"/>
                <w:highlight w:val="none"/>
              </w:rPr>
              <w:t>技术、货物等方面具有承担本项目的能力；</w:t>
            </w:r>
          </w:p>
          <w:p w14:paraId="1345CAB0">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ascii="新宋体" w:hAnsi="新宋体" w:eastAsia="新宋体" w:cs="新宋体"/>
                <w:snapToGrid w:val="0"/>
                <w:color w:val="auto"/>
                <w:spacing w:val="-1"/>
                <w:kern w:val="0"/>
                <w:sz w:val="21"/>
                <w:szCs w:val="21"/>
                <w:highlight w:val="none"/>
                <w:lang w:val="en-US" w:eastAsia="zh-CN" w:bidi="ar-SA"/>
              </w:rPr>
            </w:pPr>
            <w:r>
              <w:rPr>
                <w:rFonts w:ascii="新宋体" w:hAnsi="新宋体" w:eastAsia="新宋体" w:cs="新宋体"/>
                <w:snapToGrid w:val="0"/>
                <w:color w:val="auto"/>
                <w:spacing w:val="-1"/>
                <w:kern w:val="0"/>
                <w:sz w:val="21"/>
                <w:szCs w:val="21"/>
                <w:highlight w:val="none"/>
                <w:lang w:val="en-US" w:eastAsia="en-US" w:bidi="ar-SA"/>
              </w:rPr>
              <w:t>2、提供近</w:t>
            </w:r>
            <w:r>
              <w:rPr>
                <w:rFonts w:hint="eastAsia" w:ascii="新宋体" w:hAnsi="新宋体" w:eastAsia="新宋体" w:cs="新宋体"/>
                <w:snapToGrid w:val="0"/>
                <w:color w:val="auto"/>
                <w:spacing w:val="-1"/>
                <w:kern w:val="0"/>
                <w:sz w:val="21"/>
                <w:szCs w:val="21"/>
                <w:highlight w:val="none"/>
                <w:lang w:val="en-US" w:eastAsia="zh-CN" w:bidi="ar-SA"/>
              </w:rPr>
              <w:t>两</w:t>
            </w:r>
            <w:r>
              <w:rPr>
                <w:rFonts w:ascii="新宋体" w:hAnsi="新宋体" w:eastAsia="新宋体" w:cs="新宋体"/>
                <w:snapToGrid w:val="0"/>
                <w:color w:val="auto"/>
                <w:spacing w:val="-1"/>
                <w:kern w:val="0"/>
                <w:sz w:val="21"/>
                <w:szCs w:val="21"/>
                <w:highlight w:val="none"/>
                <w:lang w:val="en-US" w:eastAsia="en-US" w:bidi="ar-SA"/>
              </w:rPr>
              <w:t>年（2023年</w:t>
            </w:r>
            <w:r>
              <w:rPr>
                <w:rFonts w:hint="eastAsia" w:ascii="新宋体" w:hAnsi="新宋体" w:eastAsia="新宋体" w:cs="新宋体"/>
                <w:snapToGrid w:val="0"/>
                <w:color w:val="auto"/>
                <w:spacing w:val="-1"/>
                <w:kern w:val="0"/>
                <w:sz w:val="21"/>
                <w:szCs w:val="21"/>
                <w:highlight w:val="none"/>
                <w:lang w:val="en-US" w:eastAsia="zh-CN" w:bidi="ar-SA"/>
              </w:rPr>
              <w:t>或</w:t>
            </w:r>
            <w:r>
              <w:rPr>
                <w:rFonts w:hint="eastAsia" w:ascii="新宋体" w:hAnsi="新宋体" w:eastAsia="新宋体" w:cs="新宋体"/>
                <w:snapToGrid w:val="0"/>
                <w:color w:val="auto"/>
                <w:spacing w:val="-1"/>
                <w:kern w:val="0"/>
                <w:sz w:val="21"/>
                <w:szCs w:val="21"/>
                <w:highlight w:val="none"/>
                <w:lang w:val="en-US" w:eastAsia="en-US" w:bidi="ar-SA"/>
              </w:rPr>
              <w:t>202</w:t>
            </w:r>
            <w:r>
              <w:rPr>
                <w:rFonts w:hint="eastAsia" w:ascii="新宋体" w:hAnsi="新宋体" w:eastAsia="新宋体" w:cs="新宋体"/>
                <w:snapToGrid w:val="0"/>
                <w:color w:val="auto"/>
                <w:spacing w:val="-1"/>
                <w:kern w:val="0"/>
                <w:sz w:val="21"/>
                <w:szCs w:val="21"/>
                <w:highlight w:val="none"/>
                <w:lang w:val="en-US" w:eastAsia="zh-CN" w:bidi="ar-SA"/>
              </w:rPr>
              <w:t>4</w:t>
            </w:r>
            <w:r>
              <w:rPr>
                <w:rFonts w:hint="eastAsia" w:ascii="新宋体" w:hAnsi="新宋体" w:eastAsia="新宋体" w:cs="新宋体"/>
                <w:snapToGrid w:val="0"/>
                <w:color w:val="auto"/>
                <w:spacing w:val="-1"/>
                <w:kern w:val="0"/>
                <w:sz w:val="21"/>
                <w:szCs w:val="21"/>
                <w:highlight w:val="none"/>
                <w:lang w:val="en-US" w:eastAsia="en-US" w:bidi="ar-SA"/>
              </w:rPr>
              <w:t>年</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任意一年</w:t>
            </w:r>
            <w:r>
              <w:rPr>
                <w:rFonts w:ascii="新宋体" w:hAnsi="新宋体" w:eastAsia="新宋体" w:cs="新宋体"/>
                <w:snapToGrid w:val="0"/>
                <w:color w:val="auto"/>
                <w:spacing w:val="-1"/>
                <w:kern w:val="0"/>
                <w:sz w:val="21"/>
                <w:szCs w:val="21"/>
                <w:highlight w:val="none"/>
                <w:lang w:val="en-US" w:eastAsia="en-US" w:bidi="ar-SA"/>
              </w:rPr>
              <w:t>第三方</w:t>
            </w:r>
            <w:r>
              <w:rPr>
                <w:rFonts w:hint="eastAsia" w:ascii="新宋体" w:hAnsi="新宋体" w:eastAsia="新宋体" w:cs="新宋体"/>
                <w:snapToGrid w:val="0"/>
                <w:color w:val="auto"/>
                <w:spacing w:val="-1"/>
                <w:kern w:val="0"/>
                <w:sz w:val="21"/>
                <w:szCs w:val="21"/>
                <w:highlight w:val="none"/>
                <w:lang w:val="en-US" w:eastAsia="zh-CN" w:bidi="ar-SA"/>
              </w:rPr>
              <w:t>财务审计报告或银行出具的资信证明等</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成立不满一年</w:t>
            </w:r>
            <w:r>
              <w:rPr>
                <w:rFonts w:ascii="新宋体" w:hAnsi="新宋体" w:eastAsia="新宋体" w:cs="新宋体"/>
                <w:snapToGrid w:val="0"/>
                <w:color w:val="auto"/>
                <w:spacing w:val="-1"/>
                <w:kern w:val="0"/>
                <w:sz w:val="21"/>
                <w:szCs w:val="21"/>
                <w:highlight w:val="none"/>
                <w:lang w:val="en-US" w:eastAsia="en-US" w:bidi="ar-SA"/>
              </w:rPr>
              <w:t>的投标企业须提供成立至今的财务报表</w:t>
            </w:r>
            <w:r>
              <w:rPr>
                <w:rFonts w:hint="eastAsia" w:ascii="新宋体" w:hAnsi="新宋体" w:eastAsia="新宋体" w:cs="新宋体"/>
                <w:snapToGrid w:val="0"/>
                <w:color w:val="auto"/>
                <w:spacing w:val="-1"/>
                <w:kern w:val="0"/>
                <w:sz w:val="21"/>
                <w:szCs w:val="21"/>
                <w:highlight w:val="none"/>
                <w:lang w:val="en-US" w:eastAsia="zh-CN" w:bidi="ar-SA"/>
              </w:rPr>
              <w:t>；</w:t>
            </w:r>
          </w:p>
          <w:p w14:paraId="5DD5A6AD">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pacing w:val="-4"/>
                <w:sz w:val="21"/>
                <w:szCs w:val="21"/>
                <w:highlight w:val="none"/>
              </w:rPr>
            </w:pPr>
            <w:r>
              <w:rPr>
                <w:color w:val="auto"/>
                <w:spacing w:val="-4"/>
                <w:sz w:val="21"/>
                <w:szCs w:val="21"/>
                <w:highlight w:val="none"/>
              </w:rPr>
              <w:t>3、</w:t>
            </w: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p w14:paraId="5E824EF4">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color w:val="auto"/>
                <w:spacing w:val="-3"/>
                <w:sz w:val="21"/>
                <w:szCs w:val="21"/>
                <w:highlight w:val="none"/>
              </w:rPr>
              <w:t>4、提供法人或授权委托人在本单位近</w:t>
            </w:r>
            <w:r>
              <w:rPr>
                <w:rFonts w:hint="eastAsia"/>
                <w:color w:val="auto"/>
                <w:spacing w:val="-3"/>
                <w:sz w:val="21"/>
                <w:szCs w:val="21"/>
                <w:highlight w:val="none"/>
                <w:lang w:eastAsia="zh-CN"/>
              </w:rPr>
              <w:t>三个月</w:t>
            </w:r>
            <w:r>
              <w:rPr>
                <w:color w:val="auto"/>
                <w:spacing w:val="-3"/>
                <w:sz w:val="21"/>
                <w:szCs w:val="21"/>
                <w:highlight w:val="none"/>
              </w:rPr>
              <w:t>（202</w:t>
            </w:r>
            <w:r>
              <w:rPr>
                <w:rFonts w:hint="eastAsia"/>
                <w:color w:val="auto"/>
                <w:spacing w:val="-3"/>
                <w:sz w:val="21"/>
                <w:szCs w:val="21"/>
                <w:highlight w:val="none"/>
                <w:lang w:val="en-US" w:eastAsia="zh-CN"/>
              </w:rPr>
              <w:t>4</w:t>
            </w:r>
            <w:r>
              <w:rPr>
                <w:color w:val="auto"/>
                <w:spacing w:val="-31"/>
                <w:sz w:val="21"/>
                <w:szCs w:val="21"/>
                <w:highlight w:val="none"/>
              </w:rPr>
              <w:t xml:space="preserve"> </w:t>
            </w:r>
            <w:r>
              <w:rPr>
                <w:color w:val="auto"/>
                <w:spacing w:val="-3"/>
                <w:sz w:val="21"/>
                <w:szCs w:val="21"/>
                <w:highlight w:val="none"/>
              </w:rPr>
              <w:t>年</w:t>
            </w:r>
            <w:r>
              <w:rPr>
                <w:color w:val="auto"/>
                <w:spacing w:val="-43"/>
                <w:sz w:val="21"/>
                <w:szCs w:val="21"/>
                <w:highlight w:val="none"/>
              </w:rPr>
              <w:t xml:space="preserve"> </w:t>
            </w:r>
            <w:r>
              <w:rPr>
                <w:rFonts w:hint="eastAsia"/>
                <w:color w:val="auto"/>
                <w:spacing w:val="-3"/>
                <w:sz w:val="21"/>
                <w:szCs w:val="21"/>
                <w:highlight w:val="none"/>
                <w:lang w:val="en-US" w:eastAsia="zh-CN"/>
              </w:rPr>
              <w:t>1</w:t>
            </w:r>
            <w:r>
              <w:rPr>
                <w:color w:val="auto"/>
                <w:spacing w:val="-29"/>
                <w:sz w:val="21"/>
                <w:szCs w:val="21"/>
                <w:highlight w:val="none"/>
              </w:rPr>
              <w:t xml:space="preserve"> </w:t>
            </w:r>
            <w:r>
              <w:rPr>
                <w:color w:val="auto"/>
                <w:spacing w:val="-3"/>
                <w:sz w:val="21"/>
                <w:szCs w:val="21"/>
                <w:highlight w:val="none"/>
              </w:rPr>
              <w:t>月至投标截止日）缴纳社</w:t>
            </w:r>
            <w:r>
              <w:rPr>
                <w:color w:val="auto"/>
                <w:spacing w:val="-9"/>
                <w:sz w:val="21"/>
                <w:szCs w:val="21"/>
                <w:highlight w:val="none"/>
              </w:rPr>
              <w:t>保证明文件；</w:t>
            </w:r>
          </w:p>
          <w:p w14:paraId="682D627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z w:val="21"/>
                <w:szCs w:val="21"/>
                <w:highlight w:val="none"/>
              </w:rPr>
            </w:pPr>
            <w:r>
              <w:rPr>
                <w:color w:val="auto"/>
                <w:sz w:val="21"/>
                <w:szCs w:val="21"/>
                <w:highlight w:val="none"/>
              </w:rPr>
              <w:t>5、</w:t>
            </w:r>
            <w:r>
              <w:rPr>
                <w:rFonts w:hint="eastAsia"/>
                <w:color w:val="auto"/>
                <w:sz w:val="21"/>
                <w:szCs w:val="21"/>
                <w:highlight w:val="none"/>
              </w:rPr>
              <w:t>进口产品需提供质保确认函、原产地证明及报关单凭证。</w:t>
            </w:r>
          </w:p>
          <w:p w14:paraId="50CA1ACC">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6、所投进口设备若不是供应商自己制造的，应提供制造厂家的项目授权原件，或者提供合法获得该货物及售后服务支持的有效证明。</w:t>
            </w:r>
          </w:p>
          <w:p w14:paraId="030CA4B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单位负责人为同一或者存在直接控股、管理关</w:t>
            </w:r>
            <w:r>
              <w:rPr>
                <w:color w:val="auto"/>
                <w:spacing w:val="-1"/>
                <w:sz w:val="21"/>
                <w:szCs w:val="21"/>
                <w:highlight w:val="none"/>
              </w:rPr>
              <w:t>系的不同供应商，不得参加同</w:t>
            </w:r>
            <w:r>
              <w:rPr>
                <w:color w:val="auto"/>
                <w:sz w:val="21"/>
                <w:szCs w:val="21"/>
                <w:highlight w:val="none"/>
              </w:rPr>
              <w:t xml:space="preserve"> </w:t>
            </w:r>
            <w:r>
              <w:rPr>
                <w:color w:val="auto"/>
                <w:spacing w:val="-7"/>
                <w:sz w:val="21"/>
                <w:szCs w:val="21"/>
                <w:highlight w:val="none"/>
              </w:rPr>
              <w:t>一合同项下的政府采购活动。除单一来源采购项目外，为采购项目提供整体设</w:t>
            </w:r>
            <w:r>
              <w:rPr>
                <w:color w:val="auto"/>
                <w:spacing w:val="-8"/>
                <w:sz w:val="21"/>
                <w:szCs w:val="21"/>
                <w:highlight w:val="none"/>
              </w:rPr>
              <w:t>计、</w:t>
            </w:r>
            <w:r>
              <w:rPr>
                <w:color w:val="auto"/>
                <w:sz w:val="21"/>
                <w:szCs w:val="21"/>
                <w:highlight w:val="none"/>
              </w:rPr>
              <w:t xml:space="preserve"> </w:t>
            </w:r>
            <w:r>
              <w:rPr>
                <w:color w:val="auto"/>
                <w:spacing w:val="-6"/>
                <w:sz w:val="21"/>
                <w:szCs w:val="21"/>
                <w:highlight w:val="none"/>
              </w:rPr>
              <w:t>规范编制或者项目管理、监理、检测等服务的供应商，不得再参加该</w:t>
            </w:r>
            <w:r>
              <w:rPr>
                <w:color w:val="auto"/>
                <w:spacing w:val="-7"/>
                <w:sz w:val="21"/>
                <w:szCs w:val="21"/>
                <w:highlight w:val="none"/>
              </w:rPr>
              <w:t>采购项目的</w:t>
            </w:r>
            <w:r>
              <w:rPr>
                <w:color w:val="auto"/>
                <w:sz w:val="21"/>
                <w:szCs w:val="21"/>
                <w:highlight w:val="none"/>
              </w:rPr>
              <w:t xml:space="preserve"> </w:t>
            </w:r>
            <w:r>
              <w:rPr>
                <w:color w:val="auto"/>
                <w:spacing w:val="-6"/>
                <w:sz w:val="21"/>
                <w:szCs w:val="21"/>
                <w:highlight w:val="none"/>
              </w:rPr>
              <w:t>其他采购活动。</w:t>
            </w:r>
          </w:p>
        </w:tc>
      </w:tr>
      <w:tr w14:paraId="540A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65" w:type="dxa"/>
            <w:vAlign w:val="top"/>
          </w:tcPr>
          <w:p w14:paraId="0141A51A">
            <w:pPr>
              <w:pStyle w:val="16"/>
              <w:keepNext w:val="0"/>
              <w:keepLines w:val="0"/>
              <w:pageBreakBefore w:val="0"/>
              <w:widowControl/>
              <w:kinsoku w:val="0"/>
              <w:wordWrap/>
              <w:overflowPunct/>
              <w:topLinePunct w:val="0"/>
              <w:autoSpaceDE w:val="0"/>
              <w:autoSpaceDN w:val="0"/>
              <w:bidi w:val="0"/>
              <w:adjustRightInd w:val="0"/>
              <w:snapToGrid w:val="0"/>
              <w:spacing w:before="176" w:line="360" w:lineRule="exact"/>
              <w:ind w:left="393"/>
              <w:textAlignment w:val="baseline"/>
              <w:rPr>
                <w:color w:val="auto"/>
                <w:sz w:val="21"/>
                <w:szCs w:val="21"/>
                <w:highlight w:val="none"/>
              </w:rPr>
            </w:pPr>
            <w:r>
              <w:rPr>
                <w:color w:val="auto"/>
                <w:spacing w:val="-6"/>
                <w:sz w:val="21"/>
                <w:szCs w:val="21"/>
                <w:highlight w:val="none"/>
              </w:rPr>
              <w:t>10</w:t>
            </w:r>
          </w:p>
        </w:tc>
        <w:tc>
          <w:tcPr>
            <w:tcW w:w="1742" w:type="dxa"/>
            <w:vAlign w:val="top"/>
          </w:tcPr>
          <w:p w14:paraId="5744E4E1">
            <w:pPr>
              <w:pStyle w:val="16"/>
              <w:keepNext w:val="0"/>
              <w:keepLines w:val="0"/>
              <w:pageBreakBefore w:val="0"/>
              <w:widowControl/>
              <w:kinsoku w:val="0"/>
              <w:wordWrap/>
              <w:overflowPunct/>
              <w:topLinePunct w:val="0"/>
              <w:autoSpaceDE w:val="0"/>
              <w:autoSpaceDN w:val="0"/>
              <w:bidi w:val="0"/>
              <w:adjustRightInd w:val="0"/>
              <w:snapToGrid w:val="0"/>
              <w:spacing w:before="139" w:line="360" w:lineRule="exact"/>
              <w:ind w:left="456"/>
              <w:textAlignment w:val="baseline"/>
              <w:rPr>
                <w:color w:val="auto"/>
                <w:sz w:val="21"/>
                <w:szCs w:val="21"/>
                <w:highlight w:val="none"/>
              </w:rPr>
            </w:pPr>
            <w:r>
              <w:rPr>
                <w:color w:val="auto"/>
                <w:spacing w:val="-3"/>
                <w:sz w:val="21"/>
                <w:szCs w:val="21"/>
                <w:highlight w:val="none"/>
              </w:rPr>
              <w:t>招标方式</w:t>
            </w:r>
          </w:p>
        </w:tc>
        <w:tc>
          <w:tcPr>
            <w:tcW w:w="7462" w:type="dxa"/>
            <w:vAlign w:val="top"/>
          </w:tcPr>
          <w:p w14:paraId="14607245">
            <w:pPr>
              <w:pStyle w:val="16"/>
              <w:keepNext w:val="0"/>
              <w:keepLines w:val="0"/>
              <w:pageBreakBefore w:val="0"/>
              <w:widowControl/>
              <w:kinsoku w:val="0"/>
              <w:wordWrap/>
              <w:overflowPunct/>
              <w:topLinePunct w:val="0"/>
              <w:autoSpaceDE w:val="0"/>
              <w:autoSpaceDN w:val="0"/>
              <w:bidi w:val="0"/>
              <w:adjustRightInd w:val="0"/>
              <w:snapToGrid w:val="0"/>
              <w:spacing w:before="139" w:line="360" w:lineRule="exact"/>
              <w:ind w:left="119"/>
              <w:textAlignment w:val="baseline"/>
              <w:rPr>
                <w:color w:val="auto"/>
                <w:sz w:val="21"/>
                <w:szCs w:val="21"/>
                <w:highlight w:val="none"/>
              </w:rPr>
            </w:pPr>
            <w:r>
              <w:rPr>
                <w:color w:val="auto"/>
                <w:spacing w:val="-4"/>
                <w:sz w:val="21"/>
                <w:szCs w:val="21"/>
                <w:highlight w:val="none"/>
              </w:rPr>
              <w:t>公开招标</w:t>
            </w:r>
          </w:p>
        </w:tc>
      </w:tr>
      <w:tr w14:paraId="2158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65" w:type="dxa"/>
            <w:vAlign w:val="top"/>
          </w:tcPr>
          <w:p w14:paraId="5658D8FF">
            <w:pPr>
              <w:pStyle w:val="16"/>
              <w:keepNext w:val="0"/>
              <w:keepLines w:val="0"/>
              <w:pageBreakBefore w:val="0"/>
              <w:widowControl/>
              <w:kinsoku w:val="0"/>
              <w:wordWrap/>
              <w:overflowPunct/>
              <w:topLinePunct w:val="0"/>
              <w:autoSpaceDE w:val="0"/>
              <w:autoSpaceDN w:val="0"/>
              <w:bidi w:val="0"/>
              <w:adjustRightInd w:val="0"/>
              <w:snapToGrid w:val="0"/>
              <w:spacing w:before="182" w:line="360" w:lineRule="exact"/>
              <w:ind w:left="393"/>
              <w:textAlignment w:val="baseline"/>
              <w:rPr>
                <w:color w:val="auto"/>
                <w:sz w:val="21"/>
                <w:szCs w:val="21"/>
                <w:highlight w:val="none"/>
              </w:rPr>
            </w:pPr>
            <w:r>
              <w:rPr>
                <w:color w:val="auto"/>
                <w:spacing w:val="-6"/>
                <w:sz w:val="21"/>
                <w:szCs w:val="21"/>
                <w:highlight w:val="none"/>
              </w:rPr>
              <w:t>11</w:t>
            </w:r>
          </w:p>
        </w:tc>
        <w:tc>
          <w:tcPr>
            <w:tcW w:w="1742" w:type="dxa"/>
            <w:vAlign w:val="top"/>
          </w:tcPr>
          <w:p w14:paraId="02E78549">
            <w:pPr>
              <w:pStyle w:val="16"/>
              <w:keepNext w:val="0"/>
              <w:keepLines w:val="0"/>
              <w:pageBreakBefore w:val="0"/>
              <w:widowControl/>
              <w:kinsoku w:val="0"/>
              <w:wordWrap/>
              <w:overflowPunct/>
              <w:topLinePunct w:val="0"/>
              <w:autoSpaceDE w:val="0"/>
              <w:autoSpaceDN w:val="0"/>
              <w:bidi w:val="0"/>
              <w:adjustRightInd w:val="0"/>
              <w:snapToGrid w:val="0"/>
              <w:spacing w:before="144" w:line="360" w:lineRule="exact"/>
              <w:ind w:left="458"/>
              <w:textAlignment w:val="baseline"/>
              <w:rPr>
                <w:color w:val="auto"/>
                <w:sz w:val="21"/>
                <w:szCs w:val="21"/>
                <w:highlight w:val="none"/>
              </w:rPr>
            </w:pPr>
            <w:r>
              <w:rPr>
                <w:color w:val="auto"/>
                <w:spacing w:val="-3"/>
                <w:sz w:val="21"/>
                <w:szCs w:val="21"/>
                <w:highlight w:val="none"/>
              </w:rPr>
              <w:t>踏勘现场</w:t>
            </w:r>
          </w:p>
        </w:tc>
        <w:tc>
          <w:tcPr>
            <w:tcW w:w="7462" w:type="dxa"/>
            <w:vAlign w:val="top"/>
          </w:tcPr>
          <w:p w14:paraId="3F6660F1">
            <w:pPr>
              <w:pStyle w:val="16"/>
              <w:keepNext w:val="0"/>
              <w:keepLines w:val="0"/>
              <w:pageBreakBefore w:val="0"/>
              <w:widowControl/>
              <w:kinsoku w:val="0"/>
              <w:wordWrap/>
              <w:overflowPunct/>
              <w:topLinePunct w:val="0"/>
              <w:autoSpaceDE w:val="0"/>
              <w:autoSpaceDN w:val="0"/>
              <w:bidi w:val="0"/>
              <w:adjustRightInd w:val="0"/>
              <w:snapToGrid w:val="0"/>
              <w:spacing w:before="144" w:line="360" w:lineRule="exact"/>
              <w:ind w:left="119"/>
              <w:textAlignment w:val="baseline"/>
              <w:rPr>
                <w:color w:val="auto"/>
                <w:sz w:val="21"/>
                <w:szCs w:val="21"/>
                <w:highlight w:val="none"/>
              </w:rPr>
            </w:pPr>
            <w:r>
              <w:rPr>
                <w:color w:val="auto"/>
                <w:spacing w:val="-4"/>
                <w:sz w:val="21"/>
                <w:szCs w:val="21"/>
                <w:highlight w:val="none"/>
              </w:rPr>
              <w:t>不组织，投标人自行踏勘现场。</w:t>
            </w:r>
          </w:p>
        </w:tc>
      </w:tr>
      <w:tr w14:paraId="5FB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65" w:type="dxa"/>
            <w:vAlign w:val="top"/>
          </w:tcPr>
          <w:p w14:paraId="7B1B2F57">
            <w:pPr>
              <w:pStyle w:val="16"/>
              <w:keepNext w:val="0"/>
              <w:keepLines w:val="0"/>
              <w:pageBreakBefore w:val="0"/>
              <w:widowControl/>
              <w:kinsoku w:val="0"/>
              <w:wordWrap/>
              <w:overflowPunct/>
              <w:topLinePunct w:val="0"/>
              <w:autoSpaceDE w:val="0"/>
              <w:autoSpaceDN w:val="0"/>
              <w:bidi w:val="0"/>
              <w:adjustRightInd w:val="0"/>
              <w:snapToGrid w:val="0"/>
              <w:spacing w:before="185" w:line="360" w:lineRule="exact"/>
              <w:ind w:left="393"/>
              <w:textAlignment w:val="baseline"/>
              <w:rPr>
                <w:color w:val="auto"/>
                <w:sz w:val="21"/>
                <w:szCs w:val="21"/>
                <w:highlight w:val="none"/>
              </w:rPr>
            </w:pPr>
            <w:r>
              <w:rPr>
                <w:color w:val="auto"/>
                <w:spacing w:val="-6"/>
                <w:sz w:val="21"/>
                <w:szCs w:val="21"/>
                <w:highlight w:val="none"/>
              </w:rPr>
              <w:t>12</w:t>
            </w:r>
          </w:p>
        </w:tc>
        <w:tc>
          <w:tcPr>
            <w:tcW w:w="1742" w:type="dxa"/>
            <w:vAlign w:val="top"/>
          </w:tcPr>
          <w:p w14:paraId="499E50D0">
            <w:pPr>
              <w:pStyle w:val="16"/>
              <w:keepNext w:val="0"/>
              <w:keepLines w:val="0"/>
              <w:pageBreakBefore w:val="0"/>
              <w:widowControl/>
              <w:kinsoku w:val="0"/>
              <w:wordWrap/>
              <w:overflowPunct/>
              <w:topLinePunct w:val="0"/>
              <w:autoSpaceDE w:val="0"/>
              <w:autoSpaceDN w:val="0"/>
              <w:bidi w:val="0"/>
              <w:adjustRightInd w:val="0"/>
              <w:snapToGrid w:val="0"/>
              <w:spacing w:before="147" w:line="360" w:lineRule="exact"/>
              <w:ind w:left="351"/>
              <w:textAlignment w:val="baseline"/>
              <w:rPr>
                <w:color w:val="auto"/>
                <w:sz w:val="21"/>
                <w:szCs w:val="21"/>
                <w:highlight w:val="none"/>
              </w:rPr>
            </w:pPr>
            <w:r>
              <w:rPr>
                <w:color w:val="auto"/>
                <w:spacing w:val="-3"/>
                <w:sz w:val="21"/>
                <w:szCs w:val="21"/>
                <w:highlight w:val="none"/>
              </w:rPr>
              <w:t>投标预备会</w:t>
            </w:r>
          </w:p>
        </w:tc>
        <w:tc>
          <w:tcPr>
            <w:tcW w:w="7462" w:type="dxa"/>
            <w:vAlign w:val="top"/>
          </w:tcPr>
          <w:p w14:paraId="2FB2FD69">
            <w:pPr>
              <w:pStyle w:val="16"/>
              <w:keepNext w:val="0"/>
              <w:keepLines w:val="0"/>
              <w:pageBreakBefore w:val="0"/>
              <w:widowControl/>
              <w:kinsoku w:val="0"/>
              <w:wordWrap/>
              <w:overflowPunct/>
              <w:topLinePunct w:val="0"/>
              <w:autoSpaceDE w:val="0"/>
              <w:autoSpaceDN w:val="0"/>
              <w:bidi w:val="0"/>
              <w:adjustRightInd w:val="0"/>
              <w:snapToGrid w:val="0"/>
              <w:spacing w:before="147" w:line="360" w:lineRule="exact"/>
              <w:ind w:left="119"/>
              <w:textAlignment w:val="baseline"/>
              <w:rPr>
                <w:color w:val="auto"/>
                <w:sz w:val="21"/>
                <w:szCs w:val="21"/>
                <w:highlight w:val="none"/>
              </w:rPr>
            </w:pPr>
            <w:r>
              <w:rPr>
                <w:color w:val="auto"/>
                <w:spacing w:val="-5"/>
                <w:sz w:val="21"/>
                <w:szCs w:val="21"/>
                <w:highlight w:val="none"/>
              </w:rPr>
              <w:t>不召开</w:t>
            </w:r>
          </w:p>
        </w:tc>
      </w:tr>
      <w:tr w14:paraId="0C6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65699DF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7D653A45">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13</w:t>
            </w:r>
          </w:p>
        </w:tc>
        <w:tc>
          <w:tcPr>
            <w:tcW w:w="1742" w:type="dxa"/>
            <w:vAlign w:val="top"/>
          </w:tcPr>
          <w:p w14:paraId="7ECC128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364" w:right="134" w:hanging="223"/>
              <w:textAlignment w:val="baseline"/>
              <w:rPr>
                <w:color w:val="auto"/>
                <w:sz w:val="21"/>
                <w:szCs w:val="21"/>
                <w:highlight w:val="none"/>
              </w:rPr>
            </w:pPr>
            <w:r>
              <w:rPr>
                <w:color w:val="auto"/>
                <w:spacing w:val="-2"/>
                <w:sz w:val="21"/>
                <w:szCs w:val="21"/>
                <w:highlight w:val="none"/>
              </w:rPr>
              <w:t>投标人提出问题</w:t>
            </w:r>
            <w:r>
              <w:rPr>
                <w:color w:val="auto"/>
                <w:sz w:val="21"/>
                <w:szCs w:val="21"/>
                <w:highlight w:val="none"/>
              </w:rPr>
              <w:t xml:space="preserve"> </w:t>
            </w:r>
            <w:r>
              <w:rPr>
                <w:color w:val="auto"/>
                <w:spacing w:val="-5"/>
                <w:sz w:val="21"/>
                <w:szCs w:val="21"/>
                <w:highlight w:val="none"/>
              </w:rPr>
              <w:t>的截止时间</w:t>
            </w:r>
          </w:p>
        </w:tc>
        <w:tc>
          <w:tcPr>
            <w:tcW w:w="7462" w:type="dxa"/>
            <w:vAlign w:val="top"/>
          </w:tcPr>
          <w:p w14:paraId="758A400F">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15" w:right="102" w:hanging="1"/>
              <w:textAlignment w:val="baseline"/>
              <w:rPr>
                <w:color w:val="auto"/>
                <w:sz w:val="21"/>
                <w:szCs w:val="21"/>
                <w:highlight w:val="none"/>
              </w:rPr>
            </w:pPr>
            <w:r>
              <w:rPr>
                <w:color w:val="auto"/>
                <w:spacing w:val="-3"/>
                <w:sz w:val="21"/>
                <w:szCs w:val="21"/>
                <w:highlight w:val="none"/>
              </w:rPr>
              <w:t>投标单位应当在知道或者应知（即收到采购文件之日）</w:t>
            </w:r>
            <w:r>
              <w:rPr>
                <w:color w:val="auto"/>
                <w:spacing w:val="-4"/>
                <w:sz w:val="21"/>
                <w:szCs w:val="21"/>
                <w:highlight w:val="none"/>
              </w:rPr>
              <w:t>其权益受到损害之日起七</w:t>
            </w:r>
            <w:r>
              <w:rPr>
                <w:color w:val="auto"/>
                <w:sz w:val="21"/>
                <w:szCs w:val="21"/>
                <w:highlight w:val="none"/>
              </w:rPr>
              <w:t xml:space="preserve"> </w:t>
            </w:r>
            <w:r>
              <w:rPr>
                <w:color w:val="auto"/>
                <w:spacing w:val="-3"/>
                <w:sz w:val="21"/>
                <w:szCs w:val="21"/>
                <w:highlight w:val="none"/>
              </w:rPr>
              <w:t>个工作日内以书面形式一次性提出。</w:t>
            </w:r>
          </w:p>
        </w:tc>
      </w:tr>
      <w:tr w14:paraId="5CC7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65" w:type="dxa"/>
            <w:vAlign w:val="top"/>
          </w:tcPr>
          <w:p w14:paraId="482D29E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3F1711B">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14</w:t>
            </w:r>
          </w:p>
        </w:tc>
        <w:tc>
          <w:tcPr>
            <w:tcW w:w="1742" w:type="dxa"/>
            <w:vAlign w:val="top"/>
          </w:tcPr>
          <w:p w14:paraId="1879AD7A">
            <w:pPr>
              <w:pStyle w:val="16"/>
              <w:keepNext w:val="0"/>
              <w:keepLines w:val="0"/>
              <w:pageBreakBefore w:val="0"/>
              <w:widowControl/>
              <w:kinsoku w:val="0"/>
              <w:wordWrap/>
              <w:overflowPunct/>
              <w:topLinePunct w:val="0"/>
              <w:autoSpaceDE w:val="0"/>
              <w:autoSpaceDN w:val="0"/>
              <w:bidi w:val="0"/>
              <w:adjustRightInd w:val="0"/>
              <w:snapToGrid w:val="0"/>
              <w:spacing w:before="113" w:line="360" w:lineRule="exact"/>
              <w:ind w:left="681" w:right="239" w:hanging="435"/>
              <w:textAlignment w:val="baseline"/>
              <w:rPr>
                <w:color w:val="auto"/>
                <w:sz w:val="21"/>
                <w:szCs w:val="21"/>
                <w:highlight w:val="none"/>
              </w:rPr>
            </w:pPr>
            <w:r>
              <w:rPr>
                <w:color w:val="auto"/>
                <w:spacing w:val="-3"/>
                <w:sz w:val="21"/>
                <w:szCs w:val="21"/>
                <w:highlight w:val="none"/>
              </w:rPr>
              <w:t>招标人澄清的</w:t>
            </w:r>
            <w:r>
              <w:rPr>
                <w:color w:val="auto"/>
                <w:spacing w:val="3"/>
                <w:sz w:val="21"/>
                <w:szCs w:val="21"/>
                <w:highlight w:val="none"/>
              </w:rPr>
              <w:t xml:space="preserve"> </w:t>
            </w:r>
            <w:r>
              <w:rPr>
                <w:color w:val="auto"/>
                <w:spacing w:val="-8"/>
                <w:sz w:val="21"/>
                <w:szCs w:val="21"/>
                <w:highlight w:val="none"/>
              </w:rPr>
              <w:t>时间</w:t>
            </w:r>
          </w:p>
        </w:tc>
        <w:tc>
          <w:tcPr>
            <w:tcW w:w="7462" w:type="dxa"/>
            <w:vAlign w:val="top"/>
          </w:tcPr>
          <w:p w14:paraId="0D9E797E">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116"/>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3A7F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5" w:type="dxa"/>
            <w:vAlign w:val="top"/>
          </w:tcPr>
          <w:p w14:paraId="2FC93F3A">
            <w:pPr>
              <w:pStyle w:val="16"/>
              <w:keepNext w:val="0"/>
              <w:keepLines w:val="0"/>
              <w:pageBreakBefore w:val="0"/>
              <w:widowControl/>
              <w:kinsoku w:val="0"/>
              <w:wordWrap/>
              <w:overflowPunct/>
              <w:topLinePunct w:val="0"/>
              <w:autoSpaceDE w:val="0"/>
              <w:autoSpaceDN w:val="0"/>
              <w:bidi w:val="0"/>
              <w:adjustRightInd w:val="0"/>
              <w:snapToGrid w:val="0"/>
              <w:spacing w:before="206" w:line="360" w:lineRule="exact"/>
              <w:ind w:left="393"/>
              <w:textAlignment w:val="baseline"/>
              <w:rPr>
                <w:color w:val="auto"/>
                <w:sz w:val="21"/>
                <w:szCs w:val="21"/>
                <w:highlight w:val="none"/>
              </w:rPr>
            </w:pPr>
            <w:r>
              <w:rPr>
                <w:color w:val="auto"/>
                <w:spacing w:val="-6"/>
                <w:sz w:val="21"/>
                <w:szCs w:val="21"/>
                <w:highlight w:val="none"/>
              </w:rPr>
              <w:t>15</w:t>
            </w:r>
          </w:p>
        </w:tc>
        <w:tc>
          <w:tcPr>
            <w:tcW w:w="1742" w:type="dxa"/>
            <w:vAlign w:val="top"/>
          </w:tcPr>
          <w:p w14:paraId="778B8CB0">
            <w:pPr>
              <w:pStyle w:val="16"/>
              <w:keepNext w:val="0"/>
              <w:keepLines w:val="0"/>
              <w:pageBreakBefore w:val="0"/>
              <w:widowControl/>
              <w:kinsoku w:val="0"/>
              <w:wordWrap/>
              <w:overflowPunct/>
              <w:topLinePunct w:val="0"/>
              <w:autoSpaceDE w:val="0"/>
              <w:autoSpaceDN w:val="0"/>
              <w:bidi w:val="0"/>
              <w:adjustRightInd w:val="0"/>
              <w:snapToGrid w:val="0"/>
              <w:spacing w:before="169" w:line="360" w:lineRule="exact"/>
              <w:ind w:left="349"/>
              <w:textAlignment w:val="baseline"/>
              <w:rPr>
                <w:color w:val="auto"/>
                <w:sz w:val="21"/>
                <w:szCs w:val="21"/>
                <w:highlight w:val="none"/>
              </w:rPr>
            </w:pPr>
            <w:r>
              <w:rPr>
                <w:color w:val="auto"/>
                <w:spacing w:val="-2"/>
                <w:sz w:val="21"/>
                <w:szCs w:val="21"/>
                <w:highlight w:val="none"/>
              </w:rPr>
              <w:t>联合体投标</w:t>
            </w:r>
          </w:p>
        </w:tc>
        <w:tc>
          <w:tcPr>
            <w:tcW w:w="7462" w:type="dxa"/>
            <w:vAlign w:val="top"/>
          </w:tcPr>
          <w:p w14:paraId="5DF7DDA1">
            <w:pPr>
              <w:pStyle w:val="16"/>
              <w:keepNext w:val="0"/>
              <w:keepLines w:val="0"/>
              <w:pageBreakBefore w:val="0"/>
              <w:widowControl/>
              <w:kinsoku w:val="0"/>
              <w:wordWrap/>
              <w:overflowPunct/>
              <w:topLinePunct w:val="0"/>
              <w:autoSpaceDE w:val="0"/>
              <w:autoSpaceDN w:val="0"/>
              <w:bidi w:val="0"/>
              <w:adjustRightInd w:val="0"/>
              <w:snapToGrid w:val="0"/>
              <w:spacing w:before="169" w:line="360" w:lineRule="exact"/>
              <w:ind w:left="119"/>
              <w:textAlignment w:val="baseline"/>
              <w:rPr>
                <w:color w:val="auto"/>
                <w:sz w:val="21"/>
                <w:szCs w:val="21"/>
                <w:highlight w:val="none"/>
              </w:rPr>
            </w:pPr>
            <w:r>
              <w:rPr>
                <w:color w:val="auto"/>
                <w:spacing w:val="-5"/>
                <w:sz w:val="21"/>
                <w:szCs w:val="21"/>
                <w:highlight w:val="none"/>
              </w:rPr>
              <w:t>不接受联合体投标。</w:t>
            </w:r>
          </w:p>
        </w:tc>
      </w:tr>
      <w:tr w14:paraId="5B9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0038E31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34BF93E">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16</w:t>
            </w:r>
          </w:p>
        </w:tc>
        <w:tc>
          <w:tcPr>
            <w:tcW w:w="1742" w:type="dxa"/>
            <w:vAlign w:val="top"/>
          </w:tcPr>
          <w:p w14:paraId="2E05CA1A">
            <w:pPr>
              <w:pStyle w:val="16"/>
              <w:keepNext w:val="0"/>
              <w:keepLines w:val="0"/>
              <w:pageBreakBefore w:val="0"/>
              <w:widowControl/>
              <w:kinsoku w:val="0"/>
              <w:wordWrap/>
              <w:overflowPunct/>
              <w:topLinePunct w:val="0"/>
              <w:autoSpaceDE w:val="0"/>
              <w:autoSpaceDN w:val="0"/>
              <w:bidi w:val="0"/>
              <w:adjustRightInd w:val="0"/>
              <w:snapToGrid w:val="0"/>
              <w:spacing w:before="282" w:line="360" w:lineRule="exact"/>
              <w:ind w:left="351"/>
              <w:textAlignment w:val="baseline"/>
              <w:rPr>
                <w:color w:val="auto"/>
                <w:sz w:val="21"/>
                <w:szCs w:val="21"/>
                <w:highlight w:val="none"/>
              </w:rPr>
            </w:pPr>
            <w:r>
              <w:rPr>
                <w:color w:val="auto"/>
                <w:spacing w:val="-3"/>
                <w:sz w:val="21"/>
                <w:szCs w:val="21"/>
                <w:highlight w:val="none"/>
              </w:rPr>
              <w:t>招标代理费</w:t>
            </w:r>
          </w:p>
        </w:tc>
        <w:tc>
          <w:tcPr>
            <w:tcW w:w="7462" w:type="dxa"/>
            <w:vAlign w:val="top"/>
          </w:tcPr>
          <w:p w14:paraId="03CB939E">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rFonts w:hint="eastAsia"/>
                <w:color w:val="auto"/>
                <w:spacing w:val="-2"/>
                <w:sz w:val="21"/>
                <w:szCs w:val="21"/>
                <w:highlight w:val="none"/>
              </w:rPr>
            </w:pPr>
            <w:r>
              <w:rPr>
                <w:rFonts w:hint="eastAsia"/>
                <w:color w:val="auto"/>
                <w:spacing w:val="-2"/>
                <w:sz w:val="21"/>
                <w:szCs w:val="21"/>
                <w:highlight w:val="none"/>
              </w:rPr>
              <w:t>招标代理服务费由成交人向采购代理机构支付。</w:t>
            </w:r>
          </w:p>
          <w:p w14:paraId="2400AB7F">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color w:val="auto"/>
                <w:sz w:val="21"/>
                <w:szCs w:val="21"/>
                <w:highlight w:val="none"/>
              </w:rPr>
            </w:pPr>
            <w:r>
              <w:rPr>
                <w:rFonts w:hint="eastAsia"/>
                <w:color w:val="auto"/>
                <w:spacing w:val="-2"/>
                <w:sz w:val="21"/>
                <w:szCs w:val="21"/>
                <w:highlight w:val="none"/>
              </w:rPr>
              <w:t>交纳时间：中标单位在领取中标通知书前，向</w:t>
            </w:r>
            <w:r>
              <w:rPr>
                <w:rFonts w:hint="eastAsia"/>
                <w:color w:val="auto"/>
                <w:spacing w:val="-2"/>
                <w:sz w:val="21"/>
                <w:szCs w:val="21"/>
                <w:highlight w:val="none"/>
                <w:lang w:eastAsia="zh-CN"/>
              </w:rPr>
              <w:t>采购代理机构</w:t>
            </w:r>
            <w:r>
              <w:rPr>
                <w:rFonts w:hint="eastAsia"/>
                <w:color w:val="auto"/>
                <w:spacing w:val="-2"/>
                <w:sz w:val="21"/>
                <w:szCs w:val="21"/>
                <w:highlight w:val="none"/>
              </w:rPr>
              <w:t>一次性缴纳招标代理服务费。</w:t>
            </w:r>
          </w:p>
        </w:tc>
      </w:tr>
      <w:tr w14:paraId="5902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965" w:type="dxa"/>
            <w:vAlign w:val="top"/>
          </w:tcPr>
          <w:p w14:paraId="4189F8C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717CB6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17</w:t>
            </w:r>
          </w:p>
        </w:tc>
        <w:tc>
          <w:tcPr>
            <w:tcW w:w="1742" w:type="dxa"/>
            <w:vAlign w:val="top"/>
          </w:tcPr>
          <w:p w14:paraId="6ADEE406">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ind w:left="141"/>
              <w:textAlignment w:val="baseline"/>
              <w:rPr>
                <w:color w:val="auto"/>
                <w:sz w:val="21"/>
                <w:szCs w:val="21"/>
                <w:highlight w:val="none"/>
              </w:rPr>
            </w:pPr>
            <w:r>
              <w:rPr>
                <w:color w:val="auto"/>
                <w:spacing w:val="-2"/>
                <w:sz w:val="21"/>
                <w:szCs w:val="21"/>
                <w:highlight w:val="none"/>
              </w:rPr>
              <w:t>投标人要求澄清</w:t>
            </w:r>
          </w:p>
          <w:p w14:paraId="0BC24F91">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ind w:left="141"/>
              <w:textAlignment w:val="baseline"/>
              <w:rPr>
                <w:color w:val="auto"/>
                <w:sz w:val="21"/>
                <w:szCs w:val="21"/>
                <w:highlight w:val="none"/>
              </w:rPr>
            </w:pPr>
            <w:r>
              <w:rPr>
                <w:color w:val="auto"/>
                <w:spacing w:val="-2"/>
                <w:sz w:val="21"/>
                <w:szCs w:val="21"/>
                <w:highlight w:val="none"/>
              </w:rPr>
              <w:t>招标文件的截止</w:t>
            </w:r>
          </w:p>
          <w:p w14:paraId="5CF46BB6">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366"/>
              <w:textAlignment w:val="baseline"/>
              <w:rPr>
                <w:color w:val="auto"/>
                <w:sz w:val="21"/>
                <w:szCs w:val="21"/>
                <w:highlight w:val="none"/>
              </w:rPr>
            </w:pPr>
            <w:r>
              <w:rPr>
                <w:color w:val="auto"/>
                <w:spacing w:val="-5"/>
                <w:sz w:val="21"/>
                <w:szCs w:val="21"/>
                <w:highlight w:val="none"/>
              </w:rPr>
              <w:t>时间及方式</w:t>
            </w:r>
          </w:p>
        </w:tc>
        <w:tc>
          <w:tcPr>
            <w:tcW w:w="7462" w:type="dxa"/>
            <w:vAlign w:val="top"/>
          </w:tcPr>
          <w:p w14:paraId="574F3E3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0F4D867A">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116"/>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06D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965" w:type="dxa"/>
            <w:vAlign w:val="center"/>
          </w:tcPr>
          <w:p w14:paraId="3283869B">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z w:val="21"/>
                <w:szCs w:val="21"/>
                <w:highlight w:val="none"/>
              </w:rPr>
            </w:pPr>
            <w:r>
              <w:rPr>
                <w:color w:val="auto"/>
                <w:spacing w:val="-6"/>
                <w:sz w:val="21"/>
                <w:szCs w:val="21"/>
                <w:highlight w:val="none"/>
              </w:rPr>
              <w:t>18</w:t>
            </w:r>
          </w:p>
        </w:tc>
        <w:tc>
          <w:tcPr>
            <w:tcW w:w="1742" w:type="dxa"/>
            <w:vAlign w:val="center"/>
          </w:tcPr>
          <w:p w14:paraId="266F2AB5">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pacing w:val="-3"/>
                <w:sz w:val="21"/>
                <w:szCs w:val="21"/>
                <w:highlight w:val="none"/>
              </w:rPr>
            </w:pPr>
            <w:r>
              <w:rPr>
                <w:color w:val="auto"/>
                <w:spacing w:val="-3"/>
                <w:sz w:val="21"/>
                <w:szCs w:val="21"/>
                <w:highlight w:val="none"/>
              </w:rPr>
              <w:t>最高投标限价</w:t>
            </w:r>
          </w:p>
          <w:p w14:paraId="7CAF6646">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343D7420">
            <w:pPr>
              <w:keepNext w:val="0"/>
              <w:keepLines w:val="0"/>
              <w:pageBreakBefore w:val="0"/>
              <w:widowControl/>
              <w:kinsoku w:val="0"/>
              <w:wordWrap/>
              <w:overflowPunct/>
              <w:topLinePunct w:val="0"/>
              <w:autoSpaceDE w:val="0"/>
              <w:autoSpaceDN w:val="0"/>
              <w:bidi w:val="0"/>
              <w:adjustRightInd w:val="0"/>
              <w:snapToGrid w:val="0"/>
              <w:spacing w:before="104" w:line="360" w:lineRule="exact"/>
              <w:ind w:left="114"/>
              <w:textAlignment w:val="baseline"/>
              <w:rPr>
                <w:rFonts w:ascii="微软雅黑" w:hAnsi="微软雅黑" w:eastAsia="微软雅黑" w:cs="微软雅黑"/>
                <w:color w:val="auto"/>
                <w:sz w:val="21"/>
                <w:szCs w:val="21"/>
                <w:highlight w:val="none"/>
              </w:rPr>
            </w:pPr>
            <w:bookmarkStart w:id="22" w:name="_GoBack"/>
            <w:r>
              <w:rPr>
                <w:rFonts w:ascii="微软雅黑" w:hAnsi="微软雅黑" w:eastAsia="微软雅黑" w:cs="微软雅黑"/>
                <w:b/>
                <w:bCs/>
                <w:color w:val="auto"/>
                <w:spacing w:val="-12"/>
                <w:sz w:val="21"/>
                <w:szCs w:val="21"/>
                <w:highlight w:val="none"/>
              </w:rPr>
              <w:t>小写：</w:t>
            </w:r>
            <w:r>
              <w:rPr>
                <w:rFonts w:hint="eastAsia" w:ascii="微软雅黑" w:hAnsi="微软雅黑" w:eastAsia="微软雅黑" w:cs="微软雅黑"/>
                <w:b/>
                <w:bCs/>
                <w:color w:val="auto"/>
                <w:spacing w:val="-12"/>
                <w:sz w:val="21"/>
                <w:szCs w:val="21"/>
                <w:highlight w:val="none"/>
                <w:lang w:val="en-US" w:eastAsia="zh-CN"/>
              </w:rPr>
              <w:t>3970000</w:t>
            </w:r>
            <w:r>
              <w:rPr>
                <w:rFonts w:ascii="微软雅黑" w:hAnsi="微软雅黑" w:eastAsia="微软雅黑" w:cs="微软雅黑"/>
                <w:b/>
                <w:bCs/>
                <w:color w:val="auto"/>
                <w:spacing w:val="-12"/>
                <w:sz w:val="21"/>
                <w:szCs w:val="21"/>
                <w:highlight w:val="none"/>
              </w:rPr>
              <w:t>.00 元</w:t>
            </w:r>
          </w:p>
          <w:p w14:paraId="7A342DF0">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17"/>
              <w:textAlignment w:val="baseline"/>
              <w:rPr>
                <w:rFonts w:hint="eastAsia" w:ascii="微软雅黑" w:hAnsi="微软雅黑" w:eastAsia="微软雅黑" w:cs="微软雅黑"/>
                <w:b/>
                <w:bCs/>
                <w:color w:val="auto"/>
                <w:spacing w:val="-2"/>
                <w:sz w:val="21"/>
                <w:szCs w:val="21"/>
                <w:highlight w:val="none"/>
                <w:lang w:val="en-US" w:eastAsia="zh-CN"/>
              </w:rPr>
            </w:pPr>
            <w:r>
              <w:rPr>
                <w:rFonts w:ascii="微软雅黑" w:hAnsi="微软雅黑" w:eastAsia="微软雅黑" w:cs="微软雅黑"/>
                <w:b/>
                <w:bCs/>
                <w:color w:val="auto"/>
                <w:spacing w:val="-2"/>
                <w:sz w:val="21"/>
                <w:szCs w:val="21"/>
                <w:highlight w:val="none"/>
              </w:rPr>
              <w:t>大写：</w:t>
            </w:r>
            <w:r>
              <w:rPr>
                <w:rFonts w:hint="eastAsia" w:ascii="微软雅黑" w:hAnsi="微软雅黑" w:eastAsia="微软雅黑" w:cs="微软雅黑"/>
                <w:b/>
                <w:bCs/>
                <w:color w:val="auto"/>
                <w:spacing w:val="-2"/>
                <w:sz w:val="21"/>
                <w:szCs w:val="21"/>
                <w:highlight w:val="none"/>
                <w:lang w:val="en-US" w:eastAsia="zh-CN"/>
              </w:rPr>
              <w:t>叁佰玖拾柒万元整</w:t>
            </w:r>
          </w:p>
          <w:p w14:paraId="7B06B4F3">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17"/>
              <w:textAlignment w:val="baseline"/>
              <w:rPr>
                <w:rFonts w:hint="eastAsia" w:ascii="微软雅黑" w:hAnsi="微软雅黑" w:eastAsia="微软雅黑" w:cs="微软雅黑"/>
                <w:b/>
                <w:bCs/>
                <w:color w:val="auto"/>
                <w:spacing w:val="-2"/>
                <w:sz w:val="21"/>
                <w:szCs w:val="21"/>
                <w:highlight w:val="none"/>
                <w:lang w:val="en-US" w:eastAsia="zh-CN"/>
              </w:rPr>
            </w:pPr>
            <w:r>
              <w:rPr>
                <w:rFonts w:hint="eastAsia" w:ascii="微软雅黑" w:hAnsi="微软雅黑" w:eastAsia="微软雅黑" w:cs="微软雅黑"/>
                <w:b/>
                <w:bCs/>
                <w:color w:val="auto"/>
                <w:spacing w:val="-2"/>
                <w:sz w:val="21"/>
                <w:szCs w:val="21"/>
                <w:highlight w:val="none"/>
                <w:lang w:val="en-US" w:eastAsia="zh-CN"/>
              </w:rPr>
              <w:t>（其中：①实验室辅助设备维护保养部分：72万元；②实验室检验设备的配件：294万元；③HVI1000型棉花大容量快速测试仪的维护大保养服务（颜色头准确性核查服务）：31万元）。</w:t>
            </w:r>
          </w:p>
          <w:bookmarkEnd w:id="22"/>
          <w:p w14:paraId="2A5D6D92">
            <w:pPr>
              <w:pStyle w:val="16"/>
              <w:keepNext w:val="0"/>
              <w:keepLines w:val="0"/>
              <w:pageBreakBefore w:val="0"/>
              <w:widowControl/>
              <w:kinsoku w:val="0"/>
              <w:wordWrap/>
              <w:overflowPunct/>
              <w:topLinePunct w:val="0"/>
              <w:autoSpaceDE w:val="0"/>
              <w:autoSpaceDN w:val="0"/>
              <w:bidi w:val="0"/>
              <w:adjustRightInd w:val="0"/>
              <w:snapToGrid w:val="0"/>
              <w:spacing w:before="78" w:line="360" w:lineRule="exact"/>
              <w:ind w:left="123"/>
              <w:textAlignment w:val="baseline"/>
              <w:rPr>
                <w:color w:val="auto"/>
                <w:sz w:val="21"/>
                <w:szCs w:val="21"/>
                <w:highlight w:val="none"/>
              </w:rPr>
            </w:pPr>
            <w:r>
              <w:rPr>
                <w:color w:val="auto"/>
                <w:spacing w:val="-2"/>
                <w:sz w:val="21"/>
                <w:szCs w:val="21"/>
                <w:highlight w:val="none"/>
              </w:rPr>
              <w:t>1、各投标人的投标总报价不得高于采购预算，否则将否决其投标。</w:t>
            </w:r>
          </w:p>
          <w:p w14:paraId="7ACF8255">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color w:val="auto"/>
                <w:sz w:val="21"/>
                <w:szCs w:val="21"/>
                <w:highlight w:val="none"/>
              </w:rPr>
            </w:pPr>
            <w:r>
              <w:rPr>
                <w:color w:val="auto"/>
                <w:spacing w:val="-2"/>
                <w:sz w:val="21"/>
                <w:szCs w:val="21"/>
                <w:highlight w:val="none"/>
              </w:rPr>
              <w:t>2、投标报价为“招标范围”内的总报价。</w:t>
            </w:r>
          </w:p>
          <w:p w14:paraId="245BC6E7">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4" w:right="128" w:hanging="2"/>
              <w:textAlignment w:val="baseline"/>
              <w:rPr>
                <w:color w:val="auto"/>
                <w:sz w:val="21"/>
                <w:szCs w:val="21"/>
                <w:highlight w:val="none"/>
              </w:rPr>
            </w:pPr>
            <w:r>
              <w:rPr>
                <w:color w:val="auto"/>
                <w:spacing w:val="-1"/>
                <w:sz w:val="21"/>
                <w:szCs w:val="21"/>
                <w:highlight w:val="none"/>
              </w:rPr>
              <w:t>3、投标人的报价应为所确定的招标范围内的全部工作内容的价格体现，所有费</w:t>
            </w:r>
            <w:r>
              <w:rPr>
                <w:color w:val="auto"/>
                <w:sz w:val="21"/>
                <w:szCs w:val="21"/>
                <w:highlight w:val="none"/>
              </w:rPr>
              <w:t xml:space="preserve"> </w:t>
            </w:r>
            <w:r>
              <w:rPr>
                <w:color w:val="auto"/>
                <w:spacing w:val="-2"/>
                <w:sz w:val="21"/>
                <w:szCs w:val="21"/>
                <w:highlight w:val="none"/>
              </w:rPr>
              <w:t>用，且在合同执行过程中，不因任何因素予以调整</w:t>
            </w:r>
            <w:r>
              <w:rPr>
                <w:color w:val="auto"/>
                <w:spacing w:val="-1"/>
                <w:sz w:val="21"/>
                <w:szCs w:val="21"/>
                <w:highlight w:val="none"/>
              </w:rPr>
              <w:t>。</w:t>
            </w:r>
            <w:r>
              <w:rPr>
                <w:rFonts w:hint="eastAsia"/>
                <w:color w:val="auto"/>
                <w:spacing w:val="-1"/>
                <w:sz w:val="21"/>
                <w:szCs w:val="21"/>
                <w:highlight w:val="none"/>
              </w:rPr>
              <w:t>投标人报价应为包括但不限于全部设备价、税费、包装费、运输、调试、安装费、装卸费、必不可少的部件等费用，以及已支付或将支付的营业税和其它税费等所有费用。</w:t>
            </w:r>
          </w:p>
        </w:tc>
      </w:tr>
      <w:tr w14:paraId="0912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5" w:type="dxa"/>
            <w:vAlign w:val="center"/>
          </w:tcPr>
          <w:p w14:paraId="194C4E0E">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19</w:t>
            </w:r>
          </w:p>
        </w:tc>
        <w:tc>
          <w:tcPr>
            <w:tcW w:w="1742" w:type="dxa"/>
            <w:vAlign w:val="center"/>
          </w:tcPr>
          <w:p w14:paraId="15F3E28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投标有效期</w:t>
            </w:r>
          </w:p>
        </w:tc>
        <w:tc>
          <w:tcPr>
            <w:tcW w:w="7462" w:type="dxa"/>
            <w:vAlign w:val="center"/>
          </w:tcPr>
          <w:p w14:paraId="4E5F657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90 日历日（自投标截止时间起开始计算）。</w:t>
            </w:r>
          </w:p>
        </w:tc>
      </w:tr>
      <w:tr w14:paraId="09DD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2" w:hRule="atLeast"/>
        </w:trPr>
        <w:tc>
          <w:tcPr>
            <w:tcW w:w="965" w:type="dxa"/>
            <w:vAlign w:val="center"/>
          </w:tcPr>
          <w:p w14:paraId="7EB14AD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20</w:t>
            </w:r>
          </w:p>
        </w:tc>
        <w:tc>
          <w:tcPr>
            <w:tcW w:w="1742" w:type="dxa"/>
            <w:vAlign w:val="top"/>
          </w:tcPr>
          <w:p w14:paraId="3E63AE5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6B497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A27604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806BFD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784C23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F65DA6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1523B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63019D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DCA3F8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54B213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D66F66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682AAE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228339E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F5238F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pacing w:val="-3"/>
                <w:sz w:val="21"/>
                <w:szCs w:val="21"/>
                <w:highlight w:val="none"/>
              </w:rPr>
              <w:t>投标保证金</w:t>
            </w:r>
          </w:p>
        </w:tc>
        <w:tc>
          <w:tcPr>
            <w:tcW w:w="7462" w:type="dxa"/>
            <w:vAlign w:val="top"/>
          </w:tcPr>
          <w:p w14:paraId="7D288473">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118" w:right="102" w:firstLine="5"/>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1、投标保证金的缴纳形式：投标保证金必须以投标人</w:t>
            </w:r>
            <w:r>
              <w:rPr>
                <w:rFonts w:ascii="微软雅黑" w:hAnsi="微软雅黑" w:eastAsia="微软雅黑" w:cs="微软雅黑"/>
                <w:b/>
                <w:bCs/>
                <w:color w:val="auto"/>
                <w:spacing w:val="-2"/>
                <w:sz w:val="21"/>
                <w:szCs w:val="21"/>
                <w:highlight w:val="none"/>
              </w:rPr>
              <w:t>名义采用支票、汇票、本</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2"/>
                <w:sz w:val="21"/>
                <w:szCs w:val="21"/>
                <w:highlight w:val="none"/>
              </w:rPr>
              <w:t>票或者金融机构、担保机构出具的保函等非现金形式提交。</w:t>
            </w:r>
          </w:p>
          <w:p w14:paraId="6DAA30BD">
            <w:pPr>
              <w:keepNext w:val="0"/>
              <w:keepLines w:val="0"/>
              <w:pageBreakBefore w:val="0"/>
              <w:widowControl/>
              <w:kinsoku w:val="0"/>
              <w:wordWrap/>
              <w:overflowPunct/>
              <w:topLinePunct w:val="0"/>
              <w:autoSpaceDE w:val="0"/>
              <w:autoSpaceDN w:val="0"/>
              <w:bidi w:val="0"/>
              <w:adjustRightInd w:val="0"/>
              <w:snapToGrid w:val="0"/>
              <w:spacing w:before="3" w:line="360" w:lineRule="exact"/>
              <w:ind w:left="110"/>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6"/>
                <w:sz w:val="21"/>
                <w:szCs w:val="21"/>
                <w:highlight w:val="none"/>
              </w:rPr>
              <w:t>2、投标保证金的金额：</w:t>
            </w:r>
            <w:r>
              <w:rPr>
                <w:rFonts w:hint="eastAsia" w:ascii="微软雅黑" w:hAnsi="微软雅黑" w:eastAsia="微软雅黑" w:cs="微软雅黑"/>
                <w:b/>
                <w:bCs/>
                <w:color w:val="auto"/>
                <w:spacing w:val="-6"/>
                <w:sz w:val="21"/>
                <w:szCs w:val="21"/>
                <w:highlight w:val="none"/>
                <w:lang w:val="en-US" w:eastAsia="zh-CN"/>
              </w:rPr>
              <w:t>50000.00</w:t>
            </w:r>
            <w:r>
              <w:rPr>
                <w:rFonts w:ascii="微软雅黑" w:hAnsi="微软雅黑" w:eastAsia="微软雅黑" w:cs="微软雅黑"/>
                <w:b/>
                <w:bCs/>
                <w:color w:val="auto"/>
                <w:spacing w:val="-6"/>
                <w:sz w:val="21"/>
                <w:szCs w:val="21"/>
                <w:highlight w:val="none"/>
              </w:rPr>
              <w:t xml:space="preserve"> 元人民币（</w:t>
            </w:r>
            <w:r>
              <w:rPr>
                <w:rFonts w:hint="eastAsia" w:ascii="微软雅黑" w:hAnsi="微软雅黑" w:eastAsia="微软雅黑" w:cs="微软雅黑"/>
                <w:b/>
                <w:bCs/>
                <w:color w:val="auto"/>
                <w:spacing w:val="-6"/>
                <w:sz w:val="21"/>
                <w:szCs w:val="21"/>
                <w:highlight w:val="none"/>
                <w:lang w:val="en-US" w:eastAsia="zh-CN"/>
              </w:rPr>
              <w:t>伍万</w:t>
            </w:r>
            <w:r>
              <w:rPr>
                <w:rFonts w:hint="eastAsia" w:ascii="微软雅黑" w:hAnsi="微软雅黑" w:eastAsia="微软雅黑" w:cs="微软雅黑"/>
                <w:b/>
                <w:bCs/>
                <w:color w:val="auto"/>
                <w:spacing w:val="-6"/>
                <w:sz w:val="21"/>
                <w:szCs w:val="21"/>
                <w:highlight w:val="none"/>
                <w:lang w:eastAsia="zh-CN"/>
              </w:rPr>
              <w:t>元整</w:t>
            </w:r>
            <w:r>
              <w:rPr>
                <w:rFonts w:ascii="微软雅黑" w:hAnsi="微软雅黑" w:eastAsia="微软雅黑" w:cs="微软雅黑"/>
                <w:b/>
                <w:bCs/>
                <w:color w:val="auto"/>
                <w:spacing w:val="-6"/>
                <w:sz w:val="21"/>
                <w:szCs w:val="21"/>
                <w:highlight w:val="none"/>
              </w:rPr>
              <w:t>）</w:t>
            </w:r>
          </w:p>
          <w:p w14:paraId="053A2285">
            <w:pPr>
              <w:keepNext w:val="0"/>
              <w:keepLines w:val="0"/>
              <w:pageBreakBefore w:val="0"/>
              <w:widowControl/>
              <w:kinsoku w:val="0"/>
              <w:wordWrap/>
              <w:overflowPunct/>
              <w:topLinePunct w:val="0"/>
              <w:autoSpaceDE w:val="0"/>
              <w:autoSpaceDN w:val="0"/>
              <w:bidi w:val="0"/>
              <w:adjustRightInd w:val="0"/>
              <w:snapToGrid w:val="0"/>
              <w:spacing w:before="4" w:line="360" w:lineRule="exact"/>
              <w:ind w:left="113" w:right="102" w:hanging="6"/>
              <w:textAlignment w:val="baseline"/>
              <w:rPr>
                <w:rFonts w:ascii="微软雅黑" w:hAnsi="微软雅黑" w:eastAsia="微软雅黑" w:cs="微软雅黑"/>
                <w:b/>
                <w:bCs/>
                <w:color w:val="auto"/>
                <w:spacing w:val="9"/>
                <w:sz w:val="21"/>
                <w:szCs w:val="21"/>
                <w:highlight w:val="none"/>
              </w:rPr>
            </w:pPr>
            <w:r>
              <w:rPr>
                <w:rFonts w:ascii="微软雅黑" w:hAnsi="微软雅黑" w:eastAsia="微软雅黑" w:cs="微软雅黑"/>
                <w:b/>
                <w:bCs/>
                <w:color w:val="auto"/>
                <w:spacing w:val="-3"/>
                <w:sz w:val="21"/>
                <w:szCs w:val="21"/>
                <w:highlight w:val="none"/>
              </w:rPr>
              <w:t>3、递交方式：投标单位将投标保证金从企业基本帐户汇至以下账户：</w:t>
            </w:r>
            <w:r>
              <w:rPr>
                <w:rFonts w:ascii="微软雅黑" w:hAnsi="微软雅黑" w:eastAsia="微软雅黑" w:cs="微软雅黑"/>
                <w:b/>
                <w:bCs/>
                <w:color w:val="auto"/>
                <w:spacing w:val="9"/>
                <w:sz w:val="21"/>
                <w:szCs w:val="21"/>
                <w:highlight w:val="none"/>
              </w:rPr>
              <w:t xml:space="preserve"> </w:t>
            </w:r>
          </w:p>
          <w:p w14:paraId="46D352A7">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开户单位名称：乌鲁木齐鑫盛开源工程项目管理有限公司伊犁分公司</w:t>
            </w:r>
          </w:p>
          <w:p w14:paraId="2A145113">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 xml:space="preserve">开户账号：30735901040001456 </w:t>
            </w:r>
          </w:p>
          <w:p w14:paraId="13C28831">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开户行：</w:t>
            </w:r>
            <w:r>
              <w:rPr>
                <w:rFonts w:hint="eastAsia" w:ascii="微软雅黑" w:hAnsi="微软雅黑" w:eastAsia="微软雅黑" w:cs="微软雅黑"/>
                <w:b/>
                <w:bCs/>
                <w:color w:val="auto"/>
                <w:spacing w:val="9"/>
                <w:sz w:val="21"/>
                <w:szCs w:val="21"/>
                <w:highlight w:val="none"/>
                <w:lang w:eastAsia="zh-CN"/>
              </w:rPr>
              <w:t>中国农业银行股份有限公司伊犁</w:t>
            </w:r>
            <w:r>
              <w:rPr>
                <w:rFonts w:hint="eastAsia" w:ascii="微软雅黑" w:hAnsi="微软雅黑" w:eastAsia="微软雅黑" w:cs="微软雅黑"/>
                <w:b/>
                <w:bCs/>
                <w:color w:val="auto"/>
                <w:spacing w:val="9"/>
                <w:sz w:val="21"/>
                <w:szCs w:val="21"/>
                <w:highlight w:val="none"/>
              </w:rPr>
              <w:t>丽苑</w:t>
            </w:r>
            <w:r>
              <w:rPr>
                <w:rFonts w:hint="eastAsia" w:ascii="微软雅黑" w:hAnsi="微软雅黑" w:eastAsia="微软雅黑" w:cs="微软雅黑"/>
                <w:b/>
                <w:bCs/>
                <w:color w:val="auto"/>
                <w:spacing w:val="9"/>
                <w:sz w:val="21"/>
                <w:szCs w:val="21"/>
                <w:highlight w:val="none"/>
                <w:lang w:eastAsia="zh-CN"/>
              </w:rPr>
              <w:t>（兵团）支行</w:t>
            </w:r>
          </w:p>
          <w:p w14:paraId="7BC2A916">
            <w:pPr>
              <w:keepNext w:val="0"/>
              <w:keepLines w:val="0"/>
              <w:pageBreakBefore w:val="0"/>
              <w:widowControl/>
              <w:kinsoku w:val="0"/>
              <w:wordWrap/>
              <w:overflowPunct/>
              <w:topLinePunct w:val="0"/>
              <w:autoSpaceDE w:val="0"/>
              <w:autoSpaceDN w:val="0"/>
              <w:bidi w:val="0"/>
              <w:adjustRightInd w:val="0"/>
              <w:snapToGrid w:val="0"/>
              <w:spacing w:before="4" w:line="360" w:lineRule="exact"/>
              <w:ind w:left="113" w:right="102" w:hanging="6"/>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4、递交时间：投标截止时间之前（提交投标保证金应充分考虑资金在途时间、</w:t>
            </w:r>
            <w:r>
              <w:rPr>
                <w:rFonts w:ascii="微软雅黑" w:hAnsi="微软雅黑" w:eastAsia="微软雅黑" w:cs="微软雅黑"/>
                <w:b/>
                <w:bCs/>
                <w:color w:val="auto"/>
                <w:spacing w:val="6"/>
                <w:sz w:val="21"/>
                <w:szCs w:val="21"/>
                <w:highlight w:val="none"/>
              </w:rPr>
              <w:t xml:space="preserve"> </w:t>
            </w:r>
            <w:r>
              <w:rPr>
                <w:rFonts w:ascii="微软雅黑" w:hAnsi="微软雅黑" w:eastAsia="微软雅黑" w:cs="微软雅黑"/>
                <w:b/>
                <w:bCs/>
                <w:color w:val="auto"/>
                <w:spacing w:val="-3"/>
                <w:sz w:val="21"/>
                <w:szCs w:val="21"/>
                <w:highlight w:val="none"/>
              </w:rPr>
              <w:t>跨行等因素导致的延迟到账情况，由此导致的保证金不</w:t>
            </w:r>
            <w:r>
              <w:rPr>
                <w:rFonts w:ascii="微软雅黑" w:hAnsi="微软雅黑" w:eastAsia="微软雅黑" w:cs="微软雅黑"/>
                <w:b/>
                <w:bCs/>
                <w:color w:val="auto"/>
                <w:spacing w:val="-4"/>
                <w:sz w:val="21"/>
                <w:szCs w:val="21"/>
                <w:highlight w:val="none"/>
              </w:rPr>
              <w:t>能按时到账其责任由投标</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3"/>
                <w:sz w:val="21"/>
                <w:szCs w:val="21"/>
                <w:highlight w:val="none"/>
              </w:rPr>
              <w:t>人单位自行承担。各投标人缴纳投标保证金时需在附加</w:t>
            </w:r>
            <w:r>
              <w:rPr>
                <w:rFonts w:ascii="微软雅黑" w:hAnsi="微软雅黑" w:eastAsia="微软雅黑" w:cs="微软雅黑"/>
                <w:b/>
                <w:bCs/>
                <w:color w:val="auto"/>
                <w:spacing w:val="-4"/>
                <w:sz w:val="21"/>
                <w:szCs w:val="21"/>
                <w:highlight w:val="none"/>
              </w:rPr>
              <w:t>信息及用途栏内注明“投</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标保证金、项目名称”，以投标保证金接收</w:t>
            </w:r>
            <w:r>
              <w:rPr>
                <w:rFonts w:ascii="微软雅黑" w:hAnsi="微软雅黑" w:eastAsia="微软雅黑" w:cs="微软雅黑"/>
                <w:b/>
                <w:bCs/>
                <w:color w:val="auto"/>
                <w:spacing w:val="-2"/>
                <w:sz w:val="21"/>
                <w:szCs w:val="21"/>
                <w:highlight w:val="none"/>
              </w:rPr>
              <w:t>方银行到账信息为准）。</w:t>
            </w:r>
          </w:p>
          <w:p w14:paraId="1FF6B201">
            <w:pPr>
              <w:pStyle w:val="16"/>
              <w:keepNext w:val="0"/>
              <w:keepLines w:val="0"/>
              <w:pageBreakBefore w:val="0"/>
              <w:widowControl/>
              <w:kinsoku w:val="0"/>
              <w:wordWrap/>
              <w:overflowPunct/>
              <w:topLinePunct w:val="0"/>
              <w:autoSpaceDE w:val="0"/>
              <w:autoSpaceDN w:val="0"/>
              <w:bidi w:val="0"/>
              <w:adjustRightInd w:val="0"/>
              <w:snapToGrid w:val="0"/>
              <w:spacing w:before="11" w:line="360" w:lineRule="exact"/>
              <w:ind w:left="119" w:right="102"/>
              <w:textAlignment w:val="baseline"/>
              <w:rPr>
                <w:color w:val="auto"/>
                <w:sz w:val="21"/>
                <w:szCs w:val="21"/>
                <w:highlight w:val="none"/>
              </w:rPr>
            </w:pPr>
            <w:r>
              <w:rPr>
                <w:color w:val="auto"/>
                <w:spacing w:val="-1"/>
                <w:sz w:val="21"/>
                <w:szCs w:val="21"/>
                <w:highlight w:val="none"/>
              </w:rPr>
              <w:t>友情提示：1、采用保函作为保证金形式的，投标企业将“保函”同投标文件提</w:t>
            </w:r>
            <w:r>
              <w:rPr>
                <w:color w:val="auto"/>
                <w:spacing w:val="18"/>
                <w:sz w:val="21"/>
                <w:szCs w:val="21"/>
                <w:highlight w:val="none"/>
              </w:rPr>
              <w:t xml:space="preserve"> </w:t>
            </w:r>
            <w:r>
              <w:rPr>
                <w:color w:val="auto"/>
                <w:spacing w:val="-17"/>
                <w:sz w:val="21"/>
                <w:szCs w:val="21"/>
                <w:highlight w:val="none"/>
              </w:rPr>
              <w:t>交；</w:t>
            </w:r>
          </w:p>
          <w:p w14:paraId="754E9A62">
            <w:pPr>
              <w:pStyle w:val="16"/>
              <w:keepNext w:val="0"/>
              <w:keepLines w:val="0"/>
              <w:pageBreakBefore w:val="0"/>
              <w:widowControl/>
              <w:kinsoku w:val="0"/>
              <w:wordWrap/>
              <w:overflowPunct/>
              <w:topLinePunct w:val="0"/>
              <w:autoSpaceDE w:val="0"/>
              <w:autoSpaceDN w:val="0"/>
              <w:bidi w:val="0"/>
              <w:adjustRightInd w:val="0"/>
              <w:snapToGrid w:val="0"/>
              <w:spacing w:before="30" w:line="360" w:lineRule="exact"/>
              <w:ind w:left="115" w:right="102" w:hanging="5"/>
              <w:textAlignment w:val="baseline"/>
              <w:rPr>
                <w:color w:val="auto"/>
                <w:sz w:val="21"/>
                <w:szCs w:val="21"/>
                <w:highlight w:val="none"/>
              </w:rPr>
            </w:pPr>
            <w:r>
              <w:rPr>
                <w:color w:val="auto"/>
                <w:sz w:val="21"/>
                <w:szCs w:val="21"/>
                <w:highlight w:val="none"/>
              </w:rPr>
              <w:t>2、潜在投标人可以自主选择以上任一种递交方式提交保证金</w:t>
            </w:r>
            <w:r>
              <w:rPr>
                <w:color w:val="auto"/>
                <w:spacing w:val="-1"/>
                <w:sz w:val="21"/>
                <w:szCs w:val="21"/>
                <w:highlight w:val="none"/>
              </w:rPr>
              <w:t>，若投标人未按照</w:t>
            </w:r>
            <w:r>
              <w:rPr>
                <w:color w:val="auto"/>
                <w:sz w:val="21"/>
                <w:szCs w:val="21"/>
                <w:highlight w:val="none"/>
              </w:rPr>
              <w:t xml:space="preserve"> </w:t>
            </w:r>
            <w:r>
              <w:rPr>
                <w:color w:val="auto"/>
                <w:spacing w:val="-2"/>
                <w:sz w:val="21"/>
                <w:szCs w:val="21"/>
                <w:highlight w:val="none"/>
              </w:rPr>
              <w:t>上述规定缴纳投标保证金,投标文件将被拒绝评审。</w:t>
            </w:r>
          </w:p>
          <w:p w14:paraId="7BEB9BF7">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5" w:right="102" w:hanging="3"/>
              <w:textAlignment w:val="baseline"/>
              <w:rPr>
                <w:color w:val="auto"/>
                <w:sz w:val="21"/>
                <w:szCs w:val="21"/>
                <w:highlight w:val="none"/>
              </w:rPr>
            </w:pPr>
            <w:r>
              <w:rPr>
                <w:color w:val="auto"/>
                <w:sz w:val="21"/>
                <w:szCs w:val="21"/>
                <w:highlight w:val="none"/>
              </w:rPr>
              <w:t>3、银行法定节假日不办理公对公账户电汇业务，请提前</w:t>
            </w:r>
            <w:r>
              <w:rPr>
                <w:color w:val="auto"/>
                <w:spacing w:val="-1"/>
                <w:sz w:val="21"/>
                <w:szCs w:val="21"/>
                <w:highlight w:val="none"/>
              </w:rPr>
              <w:t>办理。投标保证金是否</w:t>
            </w:r>
            <w:r>
              <w:rPr>
                <w:color w:val="auto"/>
                <w:sz w:val="21"/>
                <w:szCs w:val="21"/>
                <w:highlight w:val="none"/>
              </w:rPr>
              <w:t xml:space="preserve"> </w:t>
            </w:r>
            <w:r>
              <w:rPr>
                <w:color w:val="auto"/>
                <w:spacing w:val="-3"/>
                <w:sz w:val="21"/>
                <w:szCs w:val="21"/>
                <w:highlight w:val="none"/>
              </w:rPr>
              <w:t>在规定截止时间前到户的风险由投标单位承担，投</w:t>
            </w:r>
            <w:r>
              <w:rPr>
                <w:color w:val="auto"/>
                <w:spacing w:val="-4"/>
                <w:sz w:val="21"/>
                <w:szCs w:val="21"/>
                <w:highlight w:val="none"/>
              </w:rPr>
              <w:t>标保证金在银行的划转需要一</w:t>
            </w:r>
            <w:r>
              <w:rPr>
                <w:color w:val="auto"/>
                <w:sz w:val="21"/>
                <w:szCs w:val="21"/>
                <w:highlight w:val="none"/>
              </w:rPr>
              <w:t xml:space="preserve"> </w:t>
            </w:r>
            <w:r>
              <w:rPr>
                <w:color w:val="auto"/>
                <w:spacing w:val="-3"/>
                <w:sz w:val="21"/>
                <w:szCs w:val="21"/>
                <w:highlight w:val="none"/>
              </w:rPr>
              <w:t>定时间，望投标单位尽早缴纳！</w:t>
            </w:r>
          </w:p>
          <w:p w14:paraId="0A7F564C">
            <w:pPr>
              <w:pStyle w:val="16"/>
              <w:keepNext w:val="0"/>
              <w:keepLines w:val="0"/>
              <w:pageBreakBefore w:val="0"/>
              <w:widowControl/>
              <w:kinsoku w:val="0"/>
              <w:wordWrap/>
              <w:overflowPunct/>
              <w:topLinePunct w:val="0"/>
              <w:autoSpaceDE w:val="0"/>
              <w:autoSpaceDN w:val="0"/>
              <w:bidi w:val="0"/>
              <w:adjustRightInd w:val="0"/>
              <w:snapToGrid w:val="0"/>
              <w:spacing w:before="114" w:line="360" w:lineRule="exact"/>
              <w:ind w:left="114" w:right="102" w:hanging="7"/>
              <w:textAlignment w:val="baseline"/>
              <w:rPr>
                <w:color w:val="auto"/>
                <w:sz w:val="21"/>
                <w:szCs w:val="21"/>
                <w:highlight w:val="none"/>
              </w:rPr>
            </w:pPr>
            <w:r>
              <w:rPr>
                <w:color w:val="auto"/>
                <w:sz w:val="21"/>
                <w:szCs w:val="21"/>
                <w:highlight w:val="none"/>
              </w:rPr>
              <w:t>4、采用保函形式递交保证金的：①根据国家现行采购政策，投标保</w:t>
            </w:r>
            <w:r>
              <w:rPr>
                <w:color w:val="auto"/>
                <w:spacing w:val="-1"/>
                <w:sz w:val="21"/>
                <w:szCs w:val="21"/>
                <w:highlight w:val="none"/>
              </w:rPr>
              <w:t>证金可以使</w:t>
            </w:r>
            <w:r>
              <w:rPr>
                <w:color w:val="auto"/>
                <w:sz w:val="21"/>
                <w:szCs w:val="21"/>
                <w:highlight w:val="none"/>
              </w:rPr>
              <w:t xml:space="preserve"> </w:t>
            </w:r>
            <w:r>
              <w:rPr>
                <w:color w:val="auto"/>
                <w:spacing w:val="-3"/>
                <w:sz w:val="21"/>
                <w:szCs w:val="21"/>
                <w:highlight w:val="none"/>
              </w:rPr>
              <w:t>用金融系统电子保函。电子保函按照“一包段一保函”</w:t>
            </w:r>
            <w:r>
              <w:rPr>
                <w:color w:val="auto"/>
                <w:spacing w:val="-4"/>
                <w:sz w:val="21"/>
                <w:szCs w:val="21"/>
                <w:highlight w:val="none"/>
              </w:rPr>
              <w:t>的原则，办理电子保函必</w:t>
            </w:r>
            <w:r>
              <w:rPr>
                <w:color w:val="auto"/>
                <w:sz w:val="21"/>
                <w:szCs w:val="21"/>
                <w:highlight w:val="none"/>
              </w:rPr>
              <w:t xml:space="preserve"> </w:t>
            </w:r>
            <w:r>
              <w:rPr>
                <w:color w:val="auto"/>
                <w:spacing w:val="-3"/>
                <w:sz w:val="21"/>
                <w:szCs w:val="21"/>
                <w:highlight w:val="none"/>
              </w:rPr>
              <w:t>须在投标截止时间（开标时间）前完成。投标人需自行</w:t>
            </w:r>
            <w:r>
              <w:rPr>
                <w:color w:val="auto"/>
                <w:spacing w:val="-4"/>
                <w:sz w:val="21"/>
                <w:szCs w:val="21"/>
                <w:highlight w:val="none"/>
              </w:rPr>
              <w:t>评估异地、跨行、公休日</w:t>
            </w:r>
            <w:r>
              <w:rPr>
                <w:color w:val="auto"/>
                <w:sz w:val="21"/>
                <w:szCs w:val="21"/>
                <w:highlight w:val="none"/>
              </w:rPr>
              <w:t xml:space="preserve"> 等因素造 成的保函办理延迟风险，并承担相应责任</w:t>
            </w:r>
            <w:r>
              <w:rPr>
                <w:color w:val="auto"/>
                <w:spacing w:val="-1"/>
                <w:sz w:val="21"/>
                <w:szCs w:val="21"/>
                <w:highlight w:val="none"/>
              </w:rPr>
              <w:t>；开标前，投保人必须下载</w:t>
            </w:r>
            <w:r>
              <w:rPr>
                <w:color w:val="auto"/>
                <w:spacing w:val="-3"/>
                <w:sz w:val="21"/>
                <w:szCs w:val="21"/>
                <w:highlight w:val="none"/>
              </w:rPr>
              <w:t>加密保单作为保证金缴纳凭证放入投标文件中；②电子</w:t>
            </w:r>
            <w:r>
              <w:rPr>
                <w:color w:val="auto"/>
                <w:spacing w:val="-4"/>
                <w:sz w:val="21"/>
                <w:szCs w:val="21"/>
                <w:highlight w:val="none"/>
              </w:rPr>
              <w:t>保函操作流程：登录政采</w:t>
            </w:r>
            <w:r>
              <w:rPr>
                <w:color w:val="auto"/>
                <w:sz w:val="21"/>
                <w:szCs w:val="21"/>
                <w:highlight w:val="none"/>
              </w:rPr>
              <w:t xml:space="preserve"> </w:t>
            </w:r>
            <w:r>
              <w:rPr>
                <w:color w:val="auto"/>
                <w:spacing w:val="-2"/>
                <w:sz w:val="21"/>
                <w:szCs w:val="21"/>
                <w:highlight w:val="none"/>
              </w:rPr>
              <w:t>云平台→</w:t>
            </w:r>
            <w:r>
              <w:rPr>
                <w:color w:val="auto"/>
                <w:spacing w:val="-79"/>
                <w:sz w:val="21"/>
                <w:szCs w:val="21"/>
                <w:highlight w:val="none"/>
              </w:rPr>
              <w:t xml:space="preserve"> </w:t>
            </w:r>
            <w:r>
              <w:rPr>
                <w:color w:val="auto"/>
                <w:spacing w:val="-2"/>
                <w:sz w:val="21"/>
                <w:szCs w:val="21"/>
                <w:highlight w:val="none"/>
              </w:rPr>
              <w:t>点击右上角[金融服务]进入详情页→</w:t>
            </w:r>
            <w:r>
              <w:rPr>
                <w:color w:val="auto"/>
                <w:spacing w:val="-80"/>
                <w:sz w:val="21"/>
                <w:szCs w:val="21"/>
                <w:highlight w:val="none"/>
              </w:rPr>
              <w:t xml:space="preserve"> </w:t>
            </w:r>
            <w:r>
              <w:rPr>
                <w:color w:val="auto"/>
                <w:spacing w:val="-2"/>
                <w:sz w:val="21"/>
                <w:szCs w:val="21"/>
                <w:highlight w:val="none"/>
              </w:rPr>
              <w:t>点击页面上方[保险/保函</w:t>
            </w:r>
            <w:r>
              <w:rPr>
                <w:color w:val="auto"/>
                <w:spacing w:val="-3"/>
                <w:sz w:val="21"/>
                <w:szCs w:val="21"/>
                <w:highlight w:val="none"/>
              </w:rPr>
              <w:t>]，根据</w:t>
            </w:r>
            <w:r>
              <w:rPr>
                <w:color w:val="auto"/>
                <w:sz w:val="21"/>
                <w:szCs w:val="21"/>
                <w:highlight w:val="none"/>
              </w:rPr>
              <w:t xml:space="preserve"> </w:t>
            </w:r>
            <w:r>
              <w:rPr>
                <w:color w:val="auto"/>
                <w:spacing w:val="-5"/>
                <w:sz w:val="21"/>
                <w:szCs w:val="21"/>
                <w:highlight w:val="none"/>
              </w:rPr>
              <w:t>实际情况申请办理即可。供应商须在投标截止时间前，</w:t>
            </w:r>
            <w:r>
              <w:rPr>
                <w:color w:val="auto"/>
                <w:spacing w:val="-47"/>
                <w:sz w:val="21"/>
                <w:szCs w:val="21"/>
                <w:highlight w:val="none"/>
              </w:rPr>
              <w:t xml:space="preserve"> </w:t>
            </w:r>
            <w:r>
              <w:rPr>
                <w:color w:val="auto"/>
                <w:spacing w:val="-5"/>
                <w:sz w:val="21"/>
                <w:szCs w:val="21"/>
                <w:highlight w:val="none"/>
              </w:rPr>
              <w:t>将所投项目对应的保函随</w:t>
            </w:r>
            <w:r>
              <w:rPr>
                <w:color w:val="auto"/>
                <w:sz w:val="21"/>
                <w:szCs w:val="21"/>
                <w:highlight w:val="none"/>
              </w:rPr>
              <w:t xml:space="preserve"> </w:t>
            </w:r>
            <w:r>
              <w:rPr>
                <w:color w:val="auto"/>
                <w:spacing w:val="-3"/>
                <w:sz w:val="21"/>
                <w:szCs w:val="21"/>
                <w:highlight w:val="none"/>
              </w:rPr>
              <w:t>响应文件一起上传到政采云平台。</w:t>
            </w:r>
          </w:p>
        </w:tc>
      </w:tr>
      <w:tr w14:paraId="5D35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65" w:type="dxa"/>
            <w:vAlign w:val="top"/>
          </w:tcPr>
          <w:p w14:paraId="29A2E76D">
            <w:pPr>
              <w:pStyle w:val="16"/>
              <w:keepNext w:val="0"/>
              <w:keepLines w:val="0"/>
              <w:pageBreakBefore w:val="0"/>
              <w:widowControl/>
              <w:kinsoku w:val="0"/>
              <w:wordWrap/>
              <w:overflowPunct/>
              <w:topLinePunct w:val="0"/>
              <w:autoSpaceDE w:val="0"/>
              <w:autoSpaceDN w:val="0"/>
              <w:bidi w:val="0"/>
              <w:adjustRightInd w:val="0"/>
              <w:snapToGrid w:val="0"/>
              <w:spacing w:before="146" w:line="360" w:lineRule="exact"/>
              <w:ind w:left="380"/>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21</w:t>
            </w:r>
          </w:p>
        </w:tc>
        <w:tc>
          <w:tcPr>
            <w:tcW w:w="1742" w:type="dxa"/>
            <w:vAlign w:val="top"/>
          </w:tcPr>
          <w:p w14:paraId="52D8C51B">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246"/>
              <w:textAlignment w:val="baseline"/>
              <w:rPr>
                <w:color w:val="auto"/>
                <w:sz w:val="21"/>
                <w:szCs w:val="21"/>
                <w:highlight w:val="none"/>
              </w:rPr>
            </w:pPr>
            <w:r>
              <w:rPr>
                <w:color w:val="auto"/>
                <w:spacing w:val="-2"/>
                <w:sz w:val="21"/>
                <w:szCs w:val="21"/>
                <w:highlight w:val="none"/>
              </w:rPr>
              <w:t>投标文件数量</w:t>
            </w:r>
          </w:p>
        </w:tc>
        <w:tc>
          <w:tcPr>
            <w:tcW w:w="7462" w:type="dxa"/>
            <w:vAlign w:val="top"/>
          </w:tcPr>
          <w:p w14:paraId="5968E04C">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4"/>
              <w:textAlignment w:val="baseline"/>
              <w:rPr>
                <w:color w:val="auto"/>
                <w:sz w:val="21"/>
                <w:szCs w:val="21"/>
                <w:highlight w:val="none"/>
              </w:rPr>
            </w:pPr>
            <w:r>
              <w:rPr>
                <w:color w:val="auto"/>
                <w:spacing w:val="-4"/>
                <w:sz w:val="21"/>
                <w:szCs w:val="21"/>
                <w:highlight w:val="none"/>
              </w:rPr>
              <w:t>份数要求：上传电子加密标书</w:t>
            </w:r>
            <w:r>
              <w:rPr>
                <w:color w:val="auto"/>
                <w:spacing w:val="-25"/>
                <w:sz w:val="21"/>
                <w:szCs w:val="21"/>
                <w:highlight w:val="none"/>
              </w:rPr>
              <w:t xml:space="preserve"> </w:t>
            </w:r>
            <w:r>
              <w:rPr>
                <w:color w:val="auto"/>
                <w:spacing w:val="-4"/>
                <w:sz w:val="21"/>
                <w:szCs w:val="21"/>
                <w:highlight w:val="none"/>
              </w:rPr>
              <w:t>1</w:t>
            </w:r>
            <w:r>
              <w:rPr>
                <w:color w:val="auto"/>
                <w:spacing w:val="-38"/>
                <w:sz w:val="21"/>
                <w:szCs w:val="21"/>
                <w:highlight w:val="none"/>
              </w:rPr>
              <w:t xml:space="preserve"> </w:t>
            </w:r>
            <w:r>
              <w:rPr>
                <w:color w:val="auto"/>
                <w:spacing w:val="-4"/>
                <w:sz w:val="21"/>
                <w:szCs w:val="21"/>
                <w:highlight w:val="none"/>
              </w:rPr>
              <w:t>份。</w:t>
            </w:r>
          </w:p>
        </w:tc>
      </w:tr>
      <w:tr w14:paraId="40B6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65" w:type="dxa"/>
            <w:vAlign w:val="top"/>
          </w:tcPr>
          <w:p w14:paraId="4E14ADE4">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ind w:left="380"/>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22</w:t>
            </w:r>
          </w:p>
        </w:tc>
        <w:tc>
          <w:tcPr>
            <w:tcW w:w="1742" w:type="dxa"/>
            <w:vAlign w:val="top"/>
          </w:tcPr>
          <w:p w14:paraId="20D46F7E">
            <w:pPr>
              <w:pStyle w:val="16"/>
              <w:keepNext w:val="0"/>
              <w:keepLines w:val="0"/>
              <w:pageBreakBefore w:val="0"/>
              <w:widowControl/>
              <w:kinsoku w:val="0"/>
              <w:wordWrap/>
              <w:overflowPunct/>
              <w:topLinePunct w:val="0"/>
              <w:autoSpaceDE w:val="0"/>
              <w:autoSpaceDN w:val="0"/>
              <w:bidi w:val="0"/>
              <w:adjustRightInd w:val="0"/>
              <w:snapToGrid w:val="0"/>
              <w:spacing w:before="172" w:line="360" w:lineRule="exact"/>
              <w:ind w:left="146"/>
              <w:textAlignment w:val="baseline"/>
              <w:rPr>
                <w:color w:val="auto"/>
                <w:sz w:val="21"/>
                <w:szCs w:val="21"/>
                <w:highlight w:val="none"/>
              </w:rPr>
            </w:pPr>
            <w:r>
              <w:rPr>
                <w:color w:val="auto"/>
                <w:spacing w:val="-3"/>
                <w:sz w:val="21"/>
                <w:szCs w:val="21"/>
                <w:highlight w:val="none"/>
              </w:rPr>
              <w:t>签字或盖章要求</w:t>
            </w:r>
          </w:p>
        </w:tc>
        <w:tc>
          <w:tcPr>
            <w:tcW w:w="7462" w:type="dxa"/>
            <w:vAlign w:val="top"/>
          </w:tcPr>
          <w:p w14:paraId="744CE7A1">
            <w:pPr>
              <w:pStyle w:val="16"/>
              <w:keepNext w:val="0"/>
              <w:keepLines w:val="0"/>
              <w:pageBreakBefore w:val="0"/>
              <w:widowControl/>
              <w:kinsoku w:val="0"/>
              <w:wordWrap/>
              <w:overflowPunct/>
              <w:topLinePunct w:val="0"/>
              <w:autoSpaceDE w:val="0"/>
              <w:autoSpaceDN w:val="0"/>
              <w:bidi w:val="0"/>
              <w:adjustRightInd w:val="0"/>
              <w:snapToGrid w:val="0"/>
              <w:spacing w:before="172" w:line="360" w:lineRule="exact"/>
              <w:ind w:left="115"/>
              <w:textAlignment w:val="baseline"/>
              <w:rPr>
                <w:color w:val="auto"/>
                <w:sz w:val="21"/>
                <w:szCs w:val="21"/>
                <w:highlight w:val="none"/>
              </w:rPr>
            </w:pPr>
            <w:r>
              <w:rPr>
                <w:color w:val="auto"/>
                <w:spacing w:val="-3"/>
                <w:sz w:val="21"/>
                <w:szCs w:val="21"/>
                <w:highlight w:val="none"/>
              </w:rPr>
              <w:t>须按格式文件要求签字或盖章。</w:t>
            </w:r>
          </w:p>
        </w:tc>
      </w:tr>
      <w:tr w14:paraId="3118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65" w:type="dxa"/>
            <w:vAlign w:val="center"/>
          </w:tcPr>
          <w:p w14:paraId="46C82BB4">
            <w:pPr>
              <w:pStyle w:val="16"/>
              <w:keepNext w:val="0"/>
              <w:keepLines w:val="0"/>
              <w:pageBreakBefore w:val="0"/>
              <w:widowControl/>
              <w:kinsoku w:val="0"/>
              <w:wordWrap/>
              <w:overflowPunct/>
              <w:topLinePunct w:val="0"/>
              <w:autoSpaceDE w:val="0"/>
              <w:autoSpaceDN w:val="0"/>
              <w:bidi w:val="0"/>
              <w:adjustRightInd w:val="0"/>
              <w:snapToGrid w:val="0"/>
              <w:spacing w:before="24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23</w:t>
            </w:r>
          </w:p>
        </w:tc>
        <w:tc>
          <w:tcPr>
            <w:tcW w:w="1742" w:type="dxa"/>
            <w:vAlign w:val="center"/>
          </w:tcPr>
          <w:p w14:paraId="5E94DD4F">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ind w:left="460"/>
              <w:jc w:val="both"/>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进口产品</w:t>
            </w:r>
          </w:p>
          <w:p w14:paraId="665A9D3A">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jc w:val="center"/>
              <w:textAlignment w:val="baseline"/>
              <w:rPr>
                <w:rFonts w:hint="eastAsia"/>
                <w:color w:val="auto"/>
                <w:spacing w:val="-4"/>
                <w:sz w:val="21"/>
                <w:szCs w:val="21"/>
                <w:highlight w:val="none"/>
                <w:lang w:val="en-US" w:eastAsia="zh-CN"/>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1FA11DE0">
            <w:pPr>
              <w:pStyle w:val="16"/>
              <w:keepNext w:val="0"/>
              <w:keepLines w:val="0"/>
              <w:pageBreakBefore w:val="0"/>
              <w:widowControl/>
              <w:kinsoku w:val="0"/>
              <w:wordWrap/>
              <w:overflowPunct/>
              <w:topLinePunct w:val="0"/>
              <w:autoSpaceDE w:val="0"/>
              <w:autoSpaceDN w:val="0"/>
              <w:bidi w:val="0"/>
              <w:adjustRightInd w:val="0"/>
              <w:snapToGrid w:val="0"/>
              <w:spacing w:before="116" w:line="360" w:lineRule="exact"/>
              <w:ind w:left="115" w:right="102" w:hanging="1"/>
              <w:jc w:val="both"/>
              <w:textAlignment w:val="baseline"/>
              <w:rPr>
                <w:rFonts w:hint="default" w:eastAsia="新宋体"/>
                <w:color w:val="auto"/>
                <w:spacing w:val="-2"/>
                <w:sz w:val="21"/>
                <w:szCs w:val="21"/>
                <w:highlight w:val="none"/>
                <w:lang w:val="en-US" w:eastAsia="zh-CN"/>
              </w:rPr>
            </w:pPr>
            <w:r>
              <w:rPr>
                <w:color w:val="auto"/>
                <w:spacing w:val="-2"/>
                <w:sz w:val="21"/>
                <w:szCs w:val="21"/>
                <w:highlight w:val="none"/>
              </w:rPr>
              <w:t>本项目涉及的进口产品合同价格为固定价，已包含产品货值、运输、保险、进口关税及其他所有相关费用（如有）。进口产品的关税调整风险由中标人自行承担</w:t>
            </w:r>
            <w:r>
              <w:rPr>
                <w:rFonts w:hint="eastAsia"/>
                <w:color w:val="auto"/>
                <w:spacing w:val="-2"/>
                <w:sz w:val="21"/>
                <w:szCs w:val="21"/>
                <w:highlight w:val="none"/>
                <w:lang w:eastAsia="zh-CN"/>
              </w:rPr>
              <w:t>，</w:t>
            </w:r>
            <w:r>
              <w:rPr>
                <w:color w:val="auto"/>
                <w:spacing w:val="-2"/>
                <w:sz w:val="21"/>
                <w:szCs w:val="21"/>
                <w:highlight w:val="none"/>
              </w:rPr>
              <w:t>一旦中标，合同签订后，</w:t>
            </w:r>
            <w:r>
              <w:rPr>
                <w:rFonts w:hint="eastAsia"/>
                <w:color w:val="auto"/>
                <w:spacing w:val="-2"/>
                <w:sz w:val="21"/>
                <w:szCs w:val="21"/>
                <w:highlight w:val="none"/>
                <w:lang w:val="en-US" w:eastAsia="zh-CN"/>
              </w:rPr>
              <w:t>如</w:t>
            </w:r>
            <w:r>
              <w:rPr>
                <w:color w:val="auto"/>
                <w:spacing w:val="-2"/>
                <w:sz w:val="21"/>
                <w:szCs w:val="21"/>
                <w:highlight w:val="none"/>
              </w:rPr>
              <w:t>关税税率发生调整（包括但不限于因国家政策变动、海关规定更新等原因导致的关税变化），合同价格不因关税调整而改变。中标人应按照合同约定的价格提供货物及服务，招标人不额外支付因关税调整产生的任何费用，也不接受因关税调整导致的价格变更请求。</w:t>
            </w:r>
          </w:p>
        </w:tc>
      </w:tr>
      <w:tr w14:paraId="72A5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65" w:type="dxa"/>
            <w:vAlign w:val="center"/>
          </w:tcPr>
          <w:p w14:paraId="205962B2">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24</w:t>
            </w:r>
          </w:p>
        </w:tc>
        <w:tc>
          <w:tcPr>
            <w:tcW w:w="1742" w:type="dxa"/>
            <w:vAlign w:val="top"/>
          </w:tcPr>
          <w:p w14:paraId="25E6AD3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00222DD">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246" w:right="134" w:hanging="105"/>
              <w:textAlignment w:val="baseline"/>
              <w:rPr>
                <w:color w:val="auto"/>
                <w:sz w:val="21"/>
                <w:szCs w:val="21"/>
                <w:highlight w:val="none"/>
              </w:rPr>
            </w:pPr>
            <w:r>
              <w:rPr>
                <w:color w:val="auto"/>
                <w:spacing w:val="-2"/>
                <w:sz w:val="21"/>
                <w:szCs w:val="21"/>
                <w:highlight w:val="none"/>
              </w:rPr>
              <w:t>投标文件提交截</w:t>
            </w:r>
            <w:r>
              <w:rPr>
                <w:color w:val="auto"/>
                <w:sz w:val="21"/>
                <w:szCs w:val="21"/>
                <w:highlight w:val="none"/>
              </w:rPr>
              <w:t xml:space="preserve"> </w:t>
            </w:r>
            <w:r>
              <w:rPr>
                <w:color w:val="auto"/>
                <w:spacing w:val="-2"/>
                <w:sz w:val="21"/>
                <w:szCs w:val="21"/>
                <w:highlight w:val="none"/>
              </w:rPr>
              <w:t>止时间及地点</w:t>
            </w:r>
          </w:p>
        </w:tc>
        <w:tc>
          <w:tcPr>
            <w:tcW w:w="7462" w:type="dxa"/>
            <w:vAlign w:val="top"/>
          </w:tcPr>
          <w:p w14:paraId="797F6221">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29"/>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7</w:t>
            </w:r>
            <w:r>
              <w:rPr>
                <w:color w:val="auto"/>
                <w:spacing w:val="-5"/>
                <w:sz w:val="21"/>
                <w:szCs w:val="21"/>
                <w:highlight w:val="none"/>
              </w:rPr>
              <w:t>月</w:t>
            </w:r>
            <w:r>
              <w:rPr>
                <w:rFonts w:hint="eastAsia"/>
                <w:color w:val="auto"/>
                <w:spacing w:val="-5"/>
                <w:sz w:val="21"/>
                <w:szCs w:val="21"/>
                <w:highlight w:val="none"/>
                <w:lang w:val="en-US" w:eastAsia="zh-CN"/>
              </w:rPr>
              <w:t>8</w:t>
            </w:r>
            <w:r>
              <w:rPr>
                <w:color w:val="auto"/>
                <w:spacing w:val="-5"/>
                <w:sz w:val="21"/>
                <w:szCs w:val="21"/>
                <w:highlight w:val="none"/>
              </w:rPr>
              <w:t>日</w:t>
            </w:r>
            <w:r>
              <w:rPr>
                <w:rFonts w:hint="eastAsia"/>
                <w:color w:val="auto"/>
                <w:spacing w:val="-5"/>
                <w:sz w:val="21"/>
                <w:szCs w:val="21"/>
                <w:highlight w:val="none"/>
                <w:lang w:val="en-US" w:eastAsia="zh-CN"/>
              </w:rPr>
              <w:t xml:space="preserve">   11</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672CA831">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firstLine="1"/>
              <w:textAlignment w:val="baseline"/>
              <w:rPr>
                <w:color w:val="auto"/>
                <w:sz w:val="21"/>
                <w:szCs w:val="21"/>
                <w:highlight w:val="none"/>
              </w:rPr>
            </w:pPr>
            <w:r>
              <w:rPr>
                <w:color w:val="auto"/>
                <w:sz w:val="21"/>
                <w:szCs w:val="21"/>
                <w:highlight w:val="none"/>
              </w:rPr>
              <w:t>地  点：请登录政采云投标客户端，在截止</w:t>
            </w:r>
            <w:r>
              <w:rPr>
                <w:color w:val="auto"/>
                <w:spacing w:val="-1"/>
                <w:sz w:val="21"/>
                <w:szCs w:val="21"/>
                <w:highlight w:val="none"/>
              </w:rPr>
              <w:t>时间前将加密的电子响应文件上传到</w:t>
            </w:r>
            <w:r>
              <w:rPr>
                <w:color w:val="auto"/>
                <w:sz w:val="21"/>
                <w:szCs w:val="21"/>
                <w:highlight w:val="none"/>
              </w:rPr>
              <w:t xml:space="preserve"> </w:t>
            </w:r>
            <w:r>
              <w:rPr>
                <w:color w:val="auto"/>
                <w:spacing w:val="-3"/>
                <w:sz w:val="21"/>
                <w:szCs w:val="21"/>
                <w:highlight w:val="none"/>
              </w:rPr>
              <w:t>新疆政府采购网对应的位置（逾期上传或者未上传指定</w:t>
            </w:r>
            <w:r>
              <w:rPr>
                <w:color w:val="auto"/>
                <w:spacing w:val="-4"/>
                <w:sz w:val="21"/>
                <w:szCs w:val="21"/>
                <w:highlight w:val="none"/>
              </w:rPr>
              <w:t>地点的响应文件，采购人</w:t>
            </w:r>
            <w:r>
              <w:rPr>
                <w:color w:val="auto"/>
                <w:sz w:val="21"/>
                <w:szCs w:val="21"/>
                <w:highlight w:val="none"/>
              </w:rPr>
              <w:t xml:space="preserve">  </w:t>
            </w:r>
            <w:r>
              <w:rPr>
                <w:color w:val="auto"/>
                <w:spacing w:val="-6"/>
                <w:sz w:val="21"/>
                <w:szCs w:val="21"/>
                <w:highlight w:val="none"/>
              </w:rPr>
              <w:t>不予受理）。</w:t>
            </w:r>
          </w:p>
        </w:tc>
      </w:tr>
      <w:tr w14:paraId="62CE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center"/>
          </w:tcPr>
          <w:p w14:paraId="529AD280">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25</w:t>
            </w:r>
          </w:p>
        </w:tc>
        <w:tc>
          <w:tcPr>
            <w:tcW w:w="1742" w:type="dxa"/>
            <w:vAlign w:val="top"/>
          </w:tcPr>
          <w:p w14:paraId="50979D32">
            <w:pPr>
              <w:pStyle w:val="16"/>
              <w:keepNext w:val="0"/>
              <w:keepLines w:val="0"/>
              <w:pageBreakBefore w:val="0"/>
              <w:widowControl/>
              <w:kinsoku w:val="0"/>
              <w:wordWrap/>
              <w:overflowPunct/>
              <w:topLinePunct w:val="0"/>
              <w:autoSpaceDE w:val="0"/>
              <w:autoSpaceDN w:val="0"/>
              <w:bidi w:val="0"/>
              <w:adjustRightInd w:val="0"/>
              <w:snapToGrid w:val="0"/>
              <w:spacing w:before="287" w:line="360" w:lineRule="exact"/>
              <w:ind w:left="141"/>
              <w:textAlignment w:val="baseline"/>
              <w:rPr>
                <w:color w:val="auto"/>
                <w:sz w:val="21"/>
                <w:szCs w:val="21"/>
                <w:highlight w:val="none"/>
              </w:rPr>
            </w:pPr>
            <w:r>
              <w:rPr>
                <w:color w:val="auto"/>
                <w:spacing w:val="-2"/>
                <w:sz w:val="21"/>
                <w:szCs w:val="21"/>
                <w:highlight w:val="none"/>
              </w:rPr>
              <w:t>开标时间及地点</w:t>
            </w:r>
          </w:p>
        </w:tc>
        <w:tc>
          <w:tcPr>
            <w:tcW w:w="7462" w:type="dxa"/>
            <w:vAlign w:val="top"/>
          </w:tcPr>
          <w:p w14:paraId="5083C1A6">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29"/>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7</w:t>
            </w:r>
            <w:r>
              <w:rPr>
                <w:color w:val="auto"/>
                <w:spacing w:val="-5"/>
                <w:sz w:val="21"/>
                <w:szCs w:val="21"/>
                <w:highlight w:val="none"/>
              </w:rPr>
              <w:t>月</w:t>
            </w:r>
            <w:r>
              <w:rPr>
                <w:rFonts w:hint="eastAsia"/>
                <w:color w:val="auto"/>
                <w:spacing w:val="-5"/>
                <w:sz w:val="21"/>
                <w:szCs w:val="21"/>
                <w:highlight w:val="none"/>
                <w:lang w:val="en-US" w:eastAsia="zh-CN"/>
              </w:rPr>
              <w:t>8</w:t>
            </w:r>
            <w:r>
              <w:rPr>
                <w:color w:val="auto"/>
                <w:spacing w:val="-5"/>
                <w:sz w:val="21"/>
                <w:szCs w:val="21"/>
                <w:highlight w:val="none"/>
              </w:rPr>
              <w:t>日</w:t>
            </w:r>
            <w:r>
              <w:rPr>
                <w:rFonts w:hint="eastAsia"/>
                <w:color w:val="auto"/>
                <w:spacing w:val="-5"/>
                <w:sz w:val="21"/>
                <w:szCs w:val="21"/>
                <w:highlight w:val="none"/>
                <w:lang w:val="en-US" w:eastAsia="zh-CN"/>
              </w:rPr>
              <w:t xml:space="preserve">   11</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4332A171">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5"/>
              <w:textAlignment w:val="baseline"/>
              <w:rPr>
                <w:color w:val="auto"/>
                <w:sz w:val="21"/>
                <w:szCs w:val="21"/>
                <w:highlight w:val="none"/>
              </w:rPr>
            </w:pPr>
            <w:r>
              <w:rPr>
                <w:color w:val="auto"/>
                <w:spacing w:val="-5"/>
                <w:sz w:val="21"/>
                <w:szCs w:val="21"/>
                <w:highlight w:val="none"/>
              </w:rPr>
              <w:t>地</w:t>
            </w:r>
            <w:r>
              <w:rPr>
                <w:color w:val="auto"/>
                <w:spacing w:val="12"/>
                <w:sz w:val="21"/>
                <w:szCs w:val="21"/>
                <w:highlight w:val="none"/>
              </w:rPr>
              <w:t xml:space="preserve">  </w:t>
            </w:r>
            <w:r>
              <w:rPr>
                <w:color w:val="auto"/>
                <w:spacing w:val="-5"/>
                <w:sz w:val="21"/>
                <w:szCs w:val="21"/>
                <w:highlight w:val="none"/>
              </w:rPr>
              <w:t>点：政采云电子开标大厅。</w:t>
            </w:r>
          </w:p>
        </w:tc>
      </w:tr>
      <w:tr w14:paraId="278D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965" w:type="dxa"/>
            <w:vAlign w:val="center"/>
          </w:tcPr>
          <w:p w14:paraId="219BFF28">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p>
          <w:p w14:paraId="0712CB22">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26</w:t>
            </w:r>
          </w:p>
        </w:tc>
        <w:tc>
          <w:tcPr>
            <w:tcW w:w="1742" w:type="dxa"/>
            <w:vAlign w:val="top"/>
          </w:tcPr>
          <w:p w14:paraId="0C6732D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609AD2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298DA81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pacing w:val="-3"/>
                <w:sz w:val="21"/>
                <w:szCs w:val="21"/>
                <w:highlight w:val="none"/>
              </w:rPr>
            </w:pPr>
          </w:p>
          <w:p w14:paraId="60B2C314">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pacing w:val="-3"/>
                <w:sz w:val="21"/>
                <w:szCs w:val="21"/>
                <w:highlight w:val="none"/>
              </w:rPr>
              <w:t>开标程序</w:t>
            </w:r>
          </w:p>
        </w:tc>
        <w:tc>
          <w:tcPr>
            <w:tcW w:w="7462" w:type="dxa"/>
            <w:vAlign w:val="top"/>
          </w:tcPr>
          <w:p w14:paraId="75E993C0">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5"/>
              <w:textAlignment w:val="baseline"/>
              <w:rPr>
                <w:color w:val="auto"/>
                <w:sz w:val="21"/>
                <w:szCs w:val="21"/>
                <w:highlight w:val="none"/>
              </w:rPr>
            </w:pPr>
            <w:r>
              <w:rPr>
                <w:color w:val="auto"/>
                <w:spacing w:val="-6"/>
                <w:sz w:val="21"/>
                <w:szCs w:val="21"/>
                <w:highlight w:val="none"/>
              </w:rPr>
              <w:t>本项目采用不见面开标：</w:t>
            </w:r>
          </w:p>
          <w:p w14:paraId="2F63713C">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3"/>
                <w:sz w:val="21"/>
                <w:szCs w:val="21"/>
                <w:highlight w:val="none"/>
              </w:rPr>
              <w:t>（1）到投标截止时间后，主持人主持开标会议；</w:t>
            </w:r>
          </w:p>
          <w:p w14:paraId="17FC1E13">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4"/>
                <w:sz w:val="21"/>
                <w:szCs w:val="21"/>
                <w:highlight w:val="none"/>
              </w:rPr>
              <w:t>（2）公布投标人，投标文件解密；</w:t>
            </w:r>
          </w:p>
          <w:p w14:paraId="0F5525BB">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4"/>
                <w:sz w:val="21"/>
                <w:szCs w:val="21"/>
                <w:highlight w:val="none"/>
              </w:rPr>
              <w:t>（3）评标专家进入评审阶段；</w:t>
            </w:r>
          </w:p>
          <w:p w14:paraId="772E294F">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4"/>
              <w:textAlignment w:val="baseline"/>
              <w:rPr>
                <w:color w:val="auto"/>
                <w:sz w:val="21"/>
                <w:szCs w:val="21"/>
                <w:highlight w:val="none"/>
              </w:rPr>
            </w:pPr>
            <w:r>
              <w:rPr>
                <w:color w:val="auto"/>
                <w:spacing w:val="-2"/>
                <w:sz w:val="21"/>
                <w:szCs w:val="21"/>
                <w:highlight w:val="none"/>
              </w:rPr>
              <w:t>（4）评标结束后，有关人员在开标记录表签字确认。</w:t>
            </w:r>
          </w:p>
        </w:tc>
      </w:tr>
      <w:tr w14:paraId="3BD4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2DF1CB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403F61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27</w:t>
            </w:r>
          </w:p>
        </w:tc>
        <w:tc>
          <w:tcPr>
            <w:tcW w:w="1742" w:type="dxa"/>
            <w:vAlign w:val="top"/>
          </w:tcPr>
          <w:p w14:paraId="684A8B3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667" w:right="239" w:hanging="420"/>
              <w:textAlignment w:val="baseline"/>
              <w:rPr>
                <w:color w:val="auto"/>
                <w:sz w:val="21"/>
                <w:szCs w:val="21"/>
                <w:highlight w:val="none"/>
              </w:rPr>
            </w:pPr>
            <w:r>
              <w:rPr>
                <w:color w:val="auto"/>
                <w:spacing w:val="-3"/>
                <w:sz w:val="21"/>
                <w:szCs w:val="21"/>
                <w:highlight w:val="none"/>
              </w:rPr>
              <w:t>评标委员会的</w:t>
            </w:r>
            <w:r>
              <w:rPr>
                <w:color w:val="auto"/>
                <w:spacing w:val="2"/>
                <w:sz w:val="21"/>
                <w:szCs w:val="21"/>
                <w:highlight w:val="none"/>
              </w:rPr>
              <w:t xml:space="preserve"> </w:t>
            </w:r>
            <w:r>
              <w:rPr>
                <w:color w:val="auto"/>
                <w:spacing w:val="-4"/>
                <w:sz w:val="21"/>
                <w:szCs w:val="21"/>
                <w:highlight w:val="none"/>
              </w:rPr>
              <w:t>组建</w:t>
            </w:r>
          </w:p>
        </w:tc>
        <w:tc>
          <w:tcPr>
            <w:tcW w:w="7462" w:type="dxa"/>
            <w:vAlign w:val="top"/>
          </w:tcPr>
          <w:p w14:paraId="7ECD06AA">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115"/>
              <w:textAlignment w:val="baseline"/>
              <w:rPr>
                <w:rFonts w:hint="eastAsia" w:eastAsia="新宋体"/>
                <w:color w:val="auto"/>
                <w:sz w:val="21"/>
                <w:szCs w:val="21"/>
                <w:highlight w:val="none"/>
                <w:lang w:eastAsia="zh-CN"/>
              </w:rPr>
            </w:pPr>
            <w:r>
              <w:rPr>
                <w:color w:val="auto"/>
                <w:spacing w:val="-3"/>
                <w:sz w:val="21"/>
                <w:szCs w:val="21"/>
                <w:highlight w:val="none"/>
              </w:rPr>
              <w:t>评标委员会由专家</w:t>
            </w:r>
            <w:r>
              <w:rPr>
                <w:color w:val="auto"/>
                <w:spacing w:val="-41"/>
                <w:sz w:val="21"/>
                <w:szCs w:val="21"/>
                <w:highlight w:val="none"/>
              </w:rPr>
              <w:t xml:space="preserve"> </w:t>
            </w:r>
            <w:r>
              <w:rPr>
                <w:rFonts w:hint="eastAsia"/>
                <w:color w:val="auto"/>
                <w:spacing w:val="-3"/>
                <w:sz w:val="21"/>
                <w:szCs w:val="21"/>
                <w:highlight w:val="none"/>
                <w:lang w:val="en-US" w:eastAsia="zh-CN"/>
              </w:rPr>
              <w:t>5</w:t>
            </w:r>
            <w:r>
              <w:rPr>
                <w:color w:val="auto"/>
                <w:spacing w:val="-35"/>
                <w:sz w:val="21"/>
                <w:szCs w:val="21"/>
                <w:highlight w:val="none"/>
              </w:rPr>
              <w:t xml:space="preserve"> </w:t>
            </w:r>
            <w:r>
              <w:rPr>
                <w:color w:val="auto"/>
                <w:spacing w:val="-3"/>
                <w:sz w:val="21"/>
                <w:szCs w:val="21"/>
                <w:highlight w:val="none"/>
              </w:rPr>
              <w:t>人组成；</w:t>
            </w:r>
            <w:r>
              <w:rPr>
                <w:rFonts w:hint="eastAsia"/>
                <w:color w:val="auto"/>
                <w:spacing w:val="-3"/>
                <w:sz w:val="21"/>
                <w:szCs w:val="21"/>
                <w:highlight w:val="none"/>
              </w:rPr>
              <w:t>（其中采购人代表 1人，政采云平台随机抽取专家4人）</w:t>
            </w:r>
            <w:r>
              <w:rPr>
                <w:rFonts w:hint="eastAsia"/>
                <w:color w:val="auto"/>
                <w:spacing w:val="-3"/>
                <w:sz w:val="21"/>
                <w:szCs w:val="21"/>
                <w:highlight w:val="none"/>
                <w:lang w:eastAsia="zh-CN"/>
              </w:rPr>
              <w:t>。</w:t>
            </w:r>
          </w:p>
          <w:p w14:paraId="5E53CF64">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5"/>
              <w:textAlignment w:val="baseline"/>
              <w:rPr>
                <w:color w:val="auto"/>
                <w:sz w:val="21"/>
                <w:szCs w:val="21"/>
                <w:highlight w:val="none"/>
              </w:rPr>
            </w:pPr>
            <w:r>
              <w:rPr>
                <w:color w:val="auto"/>
                <w:spacing w:val="-2"/>
                <w:sz w:val="21"/>
                <w:szCs w:val="21"/>
                <w:highlight w:val="none"/>
              </w:rPr>
              <w:t>评标专家确定方式：从新疆政采云专家库中随机抽取的方式确定</w:t>
            </w:r>
            <w:r>
              <w:rPr>
                <w:color w:val="auto"/>
                <w:spacing w:val="-29"/>
                <w:sz w:val="21"/>
                <w:szCs w:val="21"/>
                <w:highlight w:val="none"/>
              </w:rPr>
              <w:t xml:space="preserve"> </w:t>
            </w:r>
            <w:r>
              <w:rPr>
                <w:color w:val="auto"/>
                <w:spacing w:val="-2"/>
                <w:sz w:val="21"/>
                <w:szCs w:val="21"/>
                <w:highlight w:val="none"/>
              </w:rPr>
              <w:t>。</w:t>
            </w:r>
          </w:p>
        </w:tc>
      </w:tr>
      <w:tr w14:paraId="6CB1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4200285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28</w:t>
            </w:r>
          </w:p>
        </w:tc>
        <w:tc>
          <w:tcPr>
            <w:tcW w:w="1742" w:type="dxa"/>
            <w:vAlign w:val="top"/>
          </w:tcPr>
          <w:p w14:paraId="76E9B937">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57" w:right="134" w:hanging="15"/>
              <w:textAlignment w:val="baseline"/>
              <w:rPr>
                <w:color w:val="auto"/>
                <w:sz w:val="21"/>
                <w:szCs w:val="21"/>
                <w:highlight w:val="none"/>
              </w:rPr>
            </w:pPr>
            <w:r>
              <w:rPr>
                <w:color w:val="auto"/>
                <w:spacing w:val="-3"/>
                <w:sz w:val="21"/>
                <w:szCs w:val="21"/>
                <w:highlight w:val="none"/>
              </w:rPr>
              <w:t>是否授权评标委</w:t>
            </w:r>
            <w:r>
              <w:rPr>
                <w:color w:val="auto"/>
                <w:spacing w:val="5"/>
                <w:sz w:val="21"/>
                <w:szCs w:val="21"/>
                <w:highlight w:val="none"/>
              </w:rPr>
              <w:t xml:space="preserve"> </w:t>
            </w:r>
            <w:r>
              <w:rPr>
                <w:color w:val="auto"/>
                <w:spacing w:val="-5"/>
                <w:sz w:val="21"/>
                <w:szCs w:val="21"/>
                <w:highlight w:val="none"/>
              </w:rPr>
              <w:t>员会确定中标人</w:t>
            </w:r>
          </w:p>
        </w:tc>
        <w:tc>
          <w:tcPr>
            <w:tcW w:w="7462" w:type="dxa"/>
            <w:vAlign w:val="top"/>
          </w:tcPr>
          <w:p w14:paraId="6EFAA39C">
            <w:pPr>
              <w:pStyle w:val="16"/>
              <w:keepNext w:val="0"/>
              <w:keepLines w:val="0"/>
              <w:pageBreakBefore w:val="0"/>
              <w:widowControl/>
              <w:kinsoku w:val="0"/>
              <w:wordWrap/>
              <w:overflowPunct/>
              <w:topLinePunct w:val="0"/>
              <w:autoSpaceDE w:val="0"/>
              <w:autoSpaceDN w:val="0"/>
              <w:bidi w:val="0"/>
              <w:adjustRightInd w:val="0"/>
              <w:snapToGrid w:val="0"/>
              <w:spacing w:before="289" w:line="360" w:lineRule="exact"/>
              <w:ind w:left="115"/>
              <w:textAlignment w:val="baseline"/>
              <w:rPr>
                <w:color w:val="auto"/>
                <w:sz w:val="21"/>
                <w:szCs w:val="21"/>
                <w:highlight w:val="none"/>
              </w:rPr>
            </w:pPr>
            <w:r>
              <w:rPr>
                <w:color w:val="auto"/>
                <w:spacing w:val="-2"/>
                <w:sz w:val="21"/>
                <w:szCs w:val="21"/>
                <w:highlight w:val="none"/>
              </w:rPr>
              <w:t>是，推荐的中标人数：</w:t>
            </w:r>
            <w:r>
              <w:rPr>
                <w:rFonts w:hint="eastAsia"/>
                <w:color w:val="auto"/>
                <w:spacing w:val="-2"/>
                <w:sz w:val="21"/>
                <w:szCs w:val="21"/>
                <w:highlight w:val="none"/>
                <w:lang w:val="en-US" w:eastAsia="zh-CN"/>
              </w:rPr>
              <w:t>1</w:t>
            </w:r>
            <w:r>
              <w:rPr>
                <w:color w:val="auto"/>
                <w:spacing w:val="-26"/>
                <w:sz w:val="21"/>
                <w:szCs w:val="21"/>
                <w:highlight w:val="none"/>
              </w:rPr>
              <w:t xml:space="preserve"> </w:t>
            </w:r>
            <w:r>
              <w:rPr>
                <w:color w:val="auto"/>
                <w:spacing w:val="-2"/>
                <w:sz w:val="21"/>
                <w:szCs w:val="21"/>
                <w:highlight w:val="none"/>
              </w:rPr>
              <w:t>名</w:t>
            </w:r>
          </w:p>
        </w:tc>
      </w:tr>
      <w:tr w14:paraId="148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7DFCBFC0">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29</w:t>
            </w:r>
          </w:p>
        </w:tc>
        <w:tc>
          <w:tcPr>
            <w:tcW w:w="1742" w:type="dxa"/>
            <w:vAlign w:val="top"/>
          </w:tcPr>
          <w:p w14:paraId="5D0E8EEE">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461" w:right="448" w:firstLine="22"/>
              <w:textAlignment w:val="baseline"/>
              <w:rPr>
                <w:color w:val="auto"/>
                <w:sz w:val="21"/>
                <w:szCs w:val="21"/>
                <w:highlight w:val="none"/>
              </w:rPr>
            </w:pPr>
            <w:r>
              <w:rPr>
                <w:color w:val="auto"/>
                <w:spacing w:val="-11"/>
                <w:sz w:val="21"/>
                <w:szCs w:val="21"/>
                <w:highlight w:val="none"/>
              </w:rPr>
              <w:t>中标结果</w:t>
            </w:r>
            <w:r>
              <w:rPr>
                <w:color w:val="auto"/>
                <w:spacing w:val="2"/>
                <w:sz w:val="21"/>
                <w:szCs w:val="21"/>
                <w:highlight w:val="none"/>
              </w:rPr>
              <w:t xml:space="preserve"> </w:t>
            </w:r>
            <w:r>
              <w:rPr>
                <w:color w:val="auto"/>
                <w:spacing w:val="-5"/>
                <w:sz w:val="21"/>
                <w:szCs w:val="21"/>
                <w:highlight w:val="none"/>
              </w:rPr>
              <w:t>公示媒介</w:t>
            </w:r>
          </w:p>
        </w:tc>
        <w:tc>
          <w:tcPr>
            <w:tcW w:w="7462" w:type="dxa"/>
            <w:vAlign w:val="center"/>
          </w:tcPr>
          <w:p w14:paraId="62BB7C3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17" w:right="2468" w:hanging="3"/>
              <w:jc w:val="both"/>
              <w:textAlignment w:val="baseline"/>
              <w:rPr>
                <w:color w:val="auto"/>
                <w:sz w:val="21"/>
                <w:szCs w:val="21"/>
                <w:highlight w:val="none"/>
              </w:rPr>
            </w:pPr>
            <w:r>
              <w:rPr>
                <w:color w:val="auto"/>
                <w:sz w:val="21"/>
                <w:szCs w:val="21"/>
                <w:highlight w:val="none"/>
              </w:rPr>
              <w:t>新疆政府采购网</w:t>
            </w:r>
            <w:r>
              <w:rPr>
                <w:color w:val="auto"/>
                <w:spacing w:val="-47"/>
                <w:sz w:val="21"/>
                <w:szCs w:val="21"/>
                <w:highlight w:val="none"/>
              </w:rPr>
              <w:t xml:space="preserve"> </w:t>
            </w:r>
            <w:r>
              <w:rPr>
                <w:color w:val="auto"/>
                <w:sz w:val="21"/>
                <w:szCs w:val="21"/>
                <w:highlight w:val="none"/>
              </w:rPr>
              <w:t>http://www.c</w:t>
            </w:r>
            <w:r>
              <w:rPr>
                <w:color w:val="auto"/>
                <w:spacing w:val="-1"/>
                <w:sz w:val="21"/>
                <w:szCs w:val="21"/>
                <w:highlight w:val="none"/>
              </w:rPr>
              <w:t>cgp-xinjiang.gov.cn/</w:t>
            </w:r>
          </w:p>
        </w:tc>
      </w:tr>
      <w:tr w14:paraId="48CA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5" w:type="dxa"/>
            <w:vAlign w:val="top"/>
          </w:tcPr>
          <w:p w14:paraId="2FBE2F08">
            <w:pPr>
              <w:pStyle w:val="16"/>
              <w:keepNext w:val="0"/>
              <w:keepLines w:val="0"/>
              <w:pageBreakBefore w:val="0"/>
              <w:widowControl/>
              <w:kinsoku w:val="0"/>
              <w:wordWrap/>
              <w:overflowPunct/>
              <w:topLinePunct w:val="0"/>
              <w:autoSpaceDE w:val="0"/>
              <w:autoSpaceDN w:val="0"/>
              <w:bidi w:val="0"/>
              <w:adjustRightInd w:val="0"/>
              <w:snapToGrid w:val="0"/>
              <w:spacing w:before="281"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30</w:t>
            </w:r>
          </w:p>
        </w:tc>
        <w:tc>
          <w:tcPr>
            <w:tcW w:w="1742" w:type="dxa"/>
            <w:vAlign w:val="top"/>
          </w:tcPr>
          <w:p w14:paraId="058988A0">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378"/>
              <w:textAlignment w:val="baseline"/>
              <w:rPr>
                <w:color w:val="auto"/>
                <w:sz w:val="21"/>
                <w:szCs w:val="21"/>
                <w:highlight w:val="none"/>
              </w:rPr>
            </w:pPr>
            <w:r>
              <w:rPr>
                <w:color w:val="auto"/>
                <w:spacing w:val="-7"/>
                <w:sz w:val="21"/>
                <w:szCs w:val="21"/>
                <w:highlight w:val="none"/>
              </w:rPr>
              <w:t>中标通知书</w:t>
            </w:r>
          </w:p>
        </w:tc>
        <w:tc>
          <w:tcPr>
            <w:tcW w:w="7462" w:type="dxa"/>
            <w:vAlign w:val="top"/>
          </w:tcPr>
          <w:p w14:paraId="0F50BABE">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141"/>
              <w:textAlignment w:val="baseline"/>
              <w:rPr>
                <w:color w:val="auto"/>
                <w:sz w:val="21"/>
                <w:szCs w:val="21"/>
                <w:highlight w:val="none"/>
              </w:rPr>
            </w:pPr>
            <w:r>
              <w:rPr>
                <w:color w:val="auto"/>
                <w:spacing w:val="-4"/>
                <w:sz w:val="21"/>
                <w:szCs w:val="21"/>
                <w:highlight w:val="none"/>
              </w:rPr>
              <w:t>中标公示</w:t>
            </w:r>
            <w:r>
              <w:rPr>
                <w:color w:val="auto"/>
                <w:spacing w:val="-12"/>
                <w:sz w:val="21"/>
                <w:szCs w:val="21"/>
                <w:highlight w:val="none"/>
              </w:rPr>
              <w:t xml:space="preserve"> </w:t>
            </w:r>
            <w:r>
              <w:rPr>
                <w:color w:val="auto"/>
                <w:spacing w:val="-4"/>
                <w:sz w:val="21"/>
                <w:szCs w:val="21"/>
                <w:highlight w:val="none"/>
              </w:rPr>
              <w:t>1</w:t>
            </w:r>
            <w:r>
              <w:rPr>
                <w:color w:val="auto"/>
                <w:spacing w:val="-34"/>
                <w:sz w:val="21"/>
                <w:szCs w:val="21"/>
                <w:highlight w:val="none"/>
              </w:rPr>
              <w:t xml:space="preserve"> </w:t>
            </w:r>
            <w:r>
              <w:rPr>
                <w:color w:val="auto"/>
                <w:spacing w:val="-4"/>
                <w:sz w:val="21"/>
                <w:szCs w:val="21"/>
                <w:highlight w:val="none"/>
              </w:rPr>
              <w:t>工作日无异议后，中标通知书须加盖招标人公章后方可发出。</w:t>
            </w:r>
          </w:p>
        </w:tc>
      </w:tr>
      <w:tr w14:paraId="7714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65" w:type="dxa"/>
            <w:vAlign w:val="top"/>
          </w:tcPr>
          <w:p w14:paraId="36ABA61C">
            <w:pPr>
              <w:pStyle w:val="16"/>
              <w:keepNext w:val="0"/>
              <w:keepLines w:val="0"/>
              <w:pageBreakBefore w:val="0"/>
              <w:widowControl/>
              <w:kinsoku w:val="0"/>
              <w:wordWrap/>
              <w:overflowPunct/>
              <w:topLinePunct w:val="0"/>
              <w:autoSpaceDE w:val="0"/>
              <w:autoSpaceDN w:val="0"/>
              <w:bidi w:val="0"/>
              <w:adjustRightInd w:val="0"/>
              <w:snapToGrid w:val="0"/>
              <w:spacing w:before="226" w:line="360" w:lineRule="exact"/>
              <w:ind w:left="382"/>
              <w:textAlignment w:val="baseline"/>
              <w:rPr>
                <w:color w:val="auto"/>
                <w:spacing w:val="-3"/>
                <w:sz w:val="21"/>
                <w:szCs w:val="21"/>
                <w:highlight w:val="none"/>
              </w:rPr>
            </w:pPr>
          </w:p>
          <w:p w14:paraId="53B1788B">
            <w:pPr>
              <w:pStyle w:val="16"/>
              <w:keepNext w:val="0"/>
              <w:keepLines w:val="0"/>
              <w:pageBreakBefore w:val="0"/>
              <w:widowControl/>
              <w:kinsoku w:val="0"/>
              <w:wordWrap/>
              <w:overflowPunct/>
              <w:topLinePunct w:val="0"/>
              <w:autoSpaceDE w:val="0"/>
              <w:autoSpaceDN w:val="0"/>
              <w:bidi w:val="0"/>
              <w:adjustRightInd w:val="0"/>
              <w:snapToGrid w:val="0"/>
              <w:spacing w:before="226" w:line="360" w:lineRule="exact"/>
              <w:ind w:left="382"/>
              <w:textAlignment w:val="baseline"/>
              <w:rPr>
                <w:rFonts w:hint="eastAsia" w:eastAsia="新宋体"/>
                <w:color w:val="auto"/>
                <w:sz w:val="21"/>
                <w:szCs w:val="21"/>
                <w:highlight w:val="none"/>
                <w:lang w:eastAsia="zh-CN"/>
              </w:rPr>
            </w:pPr>
            <w:r>
              <w:rPr>
                <w:color w:val="auto"/>
                <w:spacing w:val="-3"/>
                <w:sz w:val="21"/>
                <w:szCs w:val="21"/>
                <w:highlight w:val="none"/>
              </w:rPr>
              <w:t>3</w:t>
            </w:r>
            <w:r>
              <w:rPr>
                <w:rFonts w:hint="eastAsia"/>
                <w:color w:val="auto"/>
                <w:spacing w:val="-3"/>
                <w:sz w:val="21"/>
                <w:szCs w:val="21"/>
                <w:highlight w:val="none"/>
                <w:lang w:val="en-US" w:eastAsia="zh-CN"/>
              </w:rPr>
              <w:t>1</w:t>
            </w:r>
          </w:p>
        </w:tc>
        <w:tc>
          <w:tcPr>
            <w:tcW w:w="1742" w:type="dxa"/>
            <w:vAlign w:val="top"/>
          </w:tcPr>
          <w:p w14:paraId="3E29218D">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ind w:left="456"/>
              <w:textAlignment w:val="baseline"/>
              <w:rPr>
                <w:color w:val="auto"/>
                <w:spacing w:val="-3"/>
                <w:sz w:val="21"/>
                <w:szCs w:val="21"/>
                <w:highlight w:val="none"/>
              </w:rPr>
            </w:pPr>
          </w:p>
          <w:p w14:paraId="2F74D42F">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ind w:left="456"/>
              <w:textAlignment w:val="baseline"/>
              <w:rPr>
                <w:color w:val="auto"/>
                <w:spacing w:val="-3"/>
                <w:sz w:val="21"/>
                <w:szCs w:val="21"/>
                <w:highlight w:val="none"/>
              </w:rPr>
            </w:pPr>
            <w:r>
              <w:rPr>
                <w:color w:val="auto"/>
                <w:spacing w:val="-3"/>
                <w:sz w:val="21"/>
                <w:szCs w:val="21"/>
                <w:highlight w:val="none"/>
              </w:rPr>
              <w:t>付款方式</w:t>
            </w:r>
          </w:p>
          <w:p w14:paraId="6DFAE57E">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3B98C45B">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①实验室辅助设备维护保养部分：合同签订付 70%，维保人员到位后付30%；</w:t>
            </w:r>
          </w:p>
          <w:p w14:paraId="3539E8A1">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②实验室检验设备的配件、升级保养及准确性调整核查服务：合同签订付 70%，设备配件到货验收后后付20%，升级保养后付10%；</w:t>
            </w:r>
          </w:p>
          <w:p w14:paraId="62FE8788">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color w:val="auto"/>
                <w:sz w:val="21"/>
                <w:szCs w:val="21"/>
                <w:highlight w:val="none"/>
              </w:rPr>
            </w:pPr>
            <w:r>
              <w:rPr>
                <w:rFonts w:hint="eastAsia"/>
                <w:color w:val="auto"/>
                <w:spacing w:val="-4"/>
                <w:sz w:val="21"/>
                <w:szCs w:val="21"/>
                <w:highlight w:val="none"/>
                <w:lang w:val="en-US" w:eastAsia="zh-CN"/>
              </w:rPr>
              <w:t>③HVI1000型棉花大容量快速测试仪的维护大保养服务（颜色头准确性核查服务）：合同签订付 70%，维护大保养服务结束后付30%。</w:t>
            </w:r>
          </w:p>
        </w:tc>
      </w:tr>
      <w:tr w14:paraId="4568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4D72D45F">
            <w:pPr>
              <w:pStyle w:val="16"/>
              <w:keepNext w:val="0"/>
              <w:keepLines w:val="0"/>
              <w:pageBreakBefore w:val="0"/>
              <w:widowControl/>
              <w:kinsoku w:val="0"/>
              <w:wordWrap/>
              <w:overflowPunct/>
              <w:topLinePunct w:val="0"/>
              <w:autoSpaceDE w:val="0"/>
              <w:autoSpaceDN w:val="0"/>
              <w:bidi w:val="0"/>
              <w:adjustRightInd w:val="0"/>
              <w:snapToGrid w:val="0"/>
              <w:spacing w:before="294"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32</w:t>
            </w:r>
          </w:p>
        </w:tc>
        <w:tc>
          <w:tcPr>
            <w:tcW w:w="1742" w:type="dxa"/>
            <w:vAlign w:val="top"/>
          </w:tcPr>
          <w:p w14:paraId="2EDB7A84">
            <w:pPr>
              <w:pStyle w:val="16"/>
              <w:keepNext w:val="0"/>
              <w:keepLines w:val="0"/>
              <w:pageBreakBefore w:val="0"/>
              <w:widowControl/>
              <w:kinsoku w:val="0"/>
              <w:wordWrap/>
              <w:overflowPunct/>
              <w:topLinePunct w:val="0"/>
              <w:autoSpaceDE w:val="0"/>
              <w:autoSpaceDN w:val="0"/>
              <w:bidi w:val="0"/>
              <w:adjustRightInd w:val="0"/>
              <w:snapToGrid w:val="0"/>
              <w:spacing w:before="256" w:line="360" w:lineRule="exact"/>
              <w:ind w:left="566"/>
              <w:textAlignment w:val="baseline"/>
              <w:rPr>
                <w:rFonts w:hint="eastAsia"/>
                <w:color w:val="auto"/>
                <w:spacing w:val="-5"/>
                <w:sz w:val="21"/>
                <w:szCs w:val="21"/>
                <w:highlight w:val="none"/>
                <w:lang w:eastAsia="zh-CN"/>
              </w:rPr>
            </w:pPr>
            <w:r>
              <w:rPr>
                <w:rFonts w:hint="eastAsia"/>
                <w:color w:val="auto"/>
                <w:spacing w:val="-5"/>
                <w:sz w:val="21"/>
                <w:szCs w:val="21"/>
                <w:highlight w:val="none"/>
                <w:lang w:eastAsia="zh-CN"/>
              </w:rPr>
              <w:t>保修期</w:t>
            </w:r>
          </w:p>
          <w:p w14:paraId="53B1BAE8">
            <w:pPr>
              <w:pStyle w:val="16"/>
              <w:keepNext w:val="0"/>
              <w:keepLines w:val="0"/>
              <w:pageBreakBefore w:val="0"/>
              <w:widowControl/>
              <w:kinsoku w:val="0"/>
              <w:wordWrap/>
              <w:overflowPunct/>
              <w:topLinePunct w:val="0"/>
              <w:autoSpaceDE w:val="0"/>
              <w:autoSpaceDN w:val="0"/>
              <w:bidi w:val="0"/>
              <w:adjustRightInd w:val="0"/>
              <w:snapToGrid w:val="0"/>
              <w:spacing w:before="256" w:line="360" w:lineRule="exact"/>
              <w:jc w:val="center"/>
              <w:textAlignment w:val="baseline"/>
              <w:rPr>
                <w:rFonts w:hint="eastAsia"/>
                <w:color w:val="auto"/>
                <w:spacing w:val="-5"/>
                <w:sz w:val="21"/>
                <w:szCs w:val="21"/>
                <w:highlight w:val="none"/>
                <w:lang w:eastAsia="zh-CN"/>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7462" w:type="dxa"/>
            <w:vAlign w:val="top"/>
          </w:tcPr>
          <w:p w14:paraId="2A96EE54">
            <w:pPr>
              <w:pStyle w:val="16"/>
              <w:keepNext w:val="0"/>
              <w:keepLines w:val="0"/>
              <w:pageBreakBefore w:val="0"/>
              <w:widowControl/>
              <w:kinsoku w:val="0"/>
              <w:wordWrap/>
              <w:overflowPunct/>
              <w:topLinePunct w:val="0"/>
              <w:autoSpaceDE w:val="0"/>
              <w:autoSpaceDN w:val="0"/>
              <w:bidi w:val="0"/>
              <w:adjustRightInd w:val="0"/>
              <w:snapToGrid w:val="0"/>
              <w:spacing w:before="255" w:line="360" w:lineRule="exact"/>
              <w:ind w:left="114"/>
              <w:textAlignment w:val="baseline"/>
              <w:rPr>
                <w:rFonts w:hint="eastAsia" w:eastAsia="新宋体"/>
                <w:color w:val="auto"/>
                <w:sz w:val="21"/>
                <w:szCs w:val="21"/>
                <w:highlight w:val="none"/>
                <w:lang w:eastAsia="zh-CN"/>
              </w:rPr>
            </w:pPr>
            <w:r>
              <w:rPr>
                <w:rFonts w:hint="eastAsia"/>
                <w:color w:val="auto"/>
                <w:spacing w:val="-3"/>
                <w:sz w:val="21"/>
                <w:szCs w:val="21"/>
                <w:highlight w:val="none"/>
                <w:lang w:eastAsia="zh-CN"/>
              </w:rPr>
              <w:t>根据购置的设备要求提供。（</w:t>
            </w:r>
            <w:r>
              <w:rPr>
                <w:rFonts w:hint="eastAsia"/>
                <w:color w:val="auto"/>
                <w:spacing w:val="-3"/>
                <w:sz w:val="21"/>
                <w:szCs w:val="21"/>
                <w:highlight w:val="none"/>
                <w:lang w:val="en-US" w:eastAsia="zh-CN"/>
              </w:rPr>
              <w:t>详见清单参数内要求</w:t>
            </w:r>
            <w:r>
              <w:rPr>
                <w:rFonts w:hint="eastAsia"/>
                <w:color w:val="auto"/>
                <w:spacing w:val="-3"/>
                <w:sz w:val="21"/>
                <w:szCs w:val="21"/>
                <w:highlight w:val="none"/>
                <w:lang w:eastAsia="zh-CN"/>
              </w:rPr>
              <w:t>）</w:t>
            </w:r>
          </w:p>
        </w:tc>
      </w:tr>
      <w:tr w14:paraId="3A05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7231AF88">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pacing w:val="-3"/>
                <w:sz w:val="21"/>
                <w:szCs w:val="21"/>
                <w:highlight w:val="none"/>
                <w:lang w:val="en-US" w:eastAsia="zh-CN"/>
              </w:rPr>
            </w:pPr>
            <w:r>
              <w:rPr>
                <w:color w:val="auto"/>
                <w:spacing w:val="-3"/>
                <w:sz w:val="21"/>
                <w:szCs w:val="21"/>
                <w:highlight w:val="none"/>
              </w:rPr>
              <w:t>3</w:t>
            </w:r>
            <w:r>
              <w:rPr>
                <w:rFonts w:hint="eastAsia"/>
                <w:color w:val="auto"/>
                <w:spacing w:val="-3"/>
                <w:sz w:val="21"/>
                <w:szCs w:val="21"/>
                <w:highlight w:val="none"/>
                <w:lang w:val="en-US" w:eastAsia="zh-CN"/>
              </w:rPr>
              <w:t>3</w:t>
            </w:r>
          </w:p>
        </w:tc>
        <w:tc>
          <w:tcPr>
            <w:tcW w:w="1742" w:type="dxa"/>
            <w:vAlign w:val="center"/>
          </w:tcPr>
          <w:p w14:paraId="77E5DE4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pacing w:val="-5"/>
                <w:sz w:val="21"/>
                <w:szCs w:val="21"/>
                <w:highlight w:val="none"/>
                <w:lang w:eastAsia="zh-CN"/>
              </w:rPr>
            </w:pPr>
            <w:r>
              <w:rPr>
                <w:color w:val="auto"/>
                <w:spacing w:val="-3"/>
                <w:sz w:val="21"/>
                <w:szCs w:val="21"/>
                <w:highlight w:val="none"/>
              </w:rPr>
              <w:t>政府采购政策</w:t>
            </w:r>
          </w:p>
        </w:tc>
        <w:tc>
          <w:tcPr>
            <w:tcW w:w="7462" w:type="dxa"/>
            <w:vAlign w:val="center"/>
          </w:tcPr>
          <w:p w14:paraId="0391555F">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b/>
                <w:bCs/>
                <w:color w:val="auto"/>
                <w:spacing w:val="-3"/>
                <w:sz w:val="21"/>
                <w:szCs w:val="21"/>
                <w:highlight w:val="none"/>
              </w:rPr>
            </w:pPr>
            <w:r>
              <w:rPr>
                <w:rFonts w:hint="eastAsia"/>
                <w:b/>
                <w:bCs/>
                <w:color w:val="auto"/>
                <w:spacing w:val="-3"/>
                <w:sz w:val="21"/>
                <w:szCs w:val="21"/>
                <w:highlight w:val="none"/>
              </w:rPr>
              <w:t>1、本项目</w:t>
            </w:r>
            <w:r>
              <w:rPr>
                <w:rFonts w:hint="eastAsia"/>
                <w:b/>
                <w:bCs/>
                <w:color w:val="auto"/>
                <w:spacing w:val="-3"/>
                <w:sz w:val="21"/>
                <w:szCs w:val="21"/>
                <w:highlight w:val="none"/>
                <w:lang w:val="en-US" w:eastAsia="zh-CN"/>
              </w:rPr>
              <w:t>不</w:t>
            </w:r>
            <w:r>
              <w:rPr>
                <w:rFonts w:hint="eastAsia"/>
                <w:b/>
                <w:bCs/>
                <w:color w:val="auto"/>
                <w:spacing w:val="-3"/>
                <w:sz w:val="21"/>
                <w:szCs w:val="21"/>
                <w:highlight w:val="none"/>
              </w:rPr>
              <w:t>专门面向中小企业；</w:t>
            </w:r>
          </w:p>
          <w:p w14:paraId="310E7E7A">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p>
          <w:p w14:paraId="6DE358C9">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3、本次采购标的所属行业为</w:t>
            </w:r>
            <w:r>
              <w:rPr>
                <w:rFonts w:hint="eastAsia"/>
                <w:color w:val="auto"/>
                <w:spacing w:val="-3"/>
                <w:sz w:val="21"/>
                <w:szCs w:val="21"/>
                <w:highlight w:val="none"/>
                <w:lang w:val="en-US" w:eastAsia="zh-CN"/>
              </w:rPr>
              <w:t>工业</w:t>
            </w:r>
            <w:r>
              <w:rPr>
                <w:rFonts w:hint="eastAsia"/>
                <w:color w:val="auto"/>
                <w:spacing w:val="-3"/>
                <w:sz w:val="21"/>
                <w:szCs w:val="21"/>
                <w:highlight w:val="none"/>
              </w:rPr>
              <w:t>，符合以下条件的中小微型企业应按照采购文件格式要求提供《中小企业声明函》并执行以下政策：</w:t>
            </w:r>
          </w:p>
          <w:p w14:paraId="54304557">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6A7F50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（2）本次投标采购项目中，服务由小微企业承接，即提供服务的人员为小微企业依照《中华人民共和国劳动合同法》订立劳动合同的从业人员。</w:t>
            </w:r>
          </w:p>
          <w:p w14:paraId="458E5C9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（3）根据上述文件规定，须提供中小企业声明函，对满足上述（1）（2）两项条件的小微企业的投标总报价给予10%的扣除，用扣除后的价格参与评审。</w:t>
            </w:r>
          </w:p>
          <w:p w14:paraId="5F1CAE23">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leftChars="0"/>
              <w:textAlignment w:val="baseline"/>
              <w:rPr>
                <w:rFonts w:hint="eastAsia"/>
                <w:color w:val="auto"/>
                <w:spacing w:val="-3"/>
                <w:sz w:val="21"/>
                <w:szCs w:val="21"/>
                <w:highlight w:val="none"/>
                <w:lang w:eastAsia="zh-CN"/>
              </w:rPr>
            </w:pPr>
            <w:r>
              <w:rPr>
                <w:rFonts w:hint="eastAsia"/>
                <w:color w:val="auto"/>
                <w:spacing w:val="-3"/>
                <w:sz w:val="21"/>
                <w:szCs w:val="21"/>
                <w:highlight w:val="none"/>
              </w:rPr>
              <w:t>（4）依据本办法规定享受扶持政策获得政府采购合同的，小微企业不得将合同分包给大中型企业，中型企业不得将合同分包给大型企业。</w:t>
            </w:r>
          </w:p>
        </w:tc>
      </w:tr>
      <w:tr w14:paraId="64E8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41610C8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D443FD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651AF7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261C5D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04B7C91">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382" w:leftChars="0"/>
              <w:textAlignment w:val="baseline"/>
              <w:rPr>
                <w:color w:val="auto"/>
                <w:spacing w:val="-3"/>
                <w:sz w:val="21"/>
                <w:szCs w:val="21"/>
                <w:highlight w:val="none"/>
              </w:rPr>
            </w:pPr>
            <w:r>
              <w:rPr>
                <w:color w:val="auto"/>
                <w:spacing w:val="-3"/>
                <w:sz w:val="21"/>
                <w:szCs w:val="21"/>
                <w:highlight w:val="none"/>
              </w:rPr>
              <w:t>3</w:t>
            </w:r>
            <w:r>
              <w:rPr>
                <w:rFonts w:hint="eastAsia"/>
                <w:color w:val="auto"/>
                <w:spacing w:val="-3"/>
                <w:sz w:val="21"/>
                <w:szCs w:val="21"/>
                <w:highlight w:val="none"/>
                <w:lang w:val="en-US" w:eastAsia="zh-CN"/>
              </w:rPr>
              <w:t>4</w:t>
            </w:r>
          </w:p>
        </w:tc>
        <w:tc>
          <w:tcPr>
            <w:tcW w:w="1742" w:type="dxa"/>
            <w:vAlign w:val="top"/>
          </w:tcPr>
          <w:p w14:paraId="67FDC7F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763468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CFD04B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A166BE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8AD4E3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56" w:leftChars="0"/>
              <w:textAlignment w:val="baseline"/>
              <w:rPr>
                <w:color w:val="auto"/>
                <w:spacing w:val="-3"/>
                <w:sz w:val="21"/>
                <w:szCs w:val="21"/>
                <w:highlight w:val="none"/>
              </w:rPr>
            </w:pPr>
            <w:r>
              <w:rPr>
                <w:color w:val="auto"/>
                <w:spacing w:val="-3"/>
                <w:sz w:val="21"/>
                <w:szCs w:val="21"/>
                <w:highlight w:val="none"/>
              </w:rPr>
              <w:t>特别说明</w:t>
            </w:r>
          </w:p>
        </w:tc>
        <w:tc>
          <w:tcPr>
            <w:tcW w:w="7462" w:type="dxa"/>
            <w:vAlign w:val="top"/>
          </w:tcPr>
          <w:p w14:paraId="160B1068">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b/>
                <w:bCs/>
                <w:color w:val="auto"/>
                <w:spacing w:val="10"/>
                <w:sz w:val="21"/>
                <w:szCs w:val="21"/>
                <w:highlight w:val="none"/>
              </w:rPr>
            </w:pPr>
            <w:r>
              <w:rPr>
                <w:rFonts w:hint="eastAsia"/>
                <w:b/>
                <w:bCs/>
                <w:color w:val="auto"/>
                <w:spacing w:val="10"/>
                <w:sz w:val="21"/>
                <w:szCs w:val="21"/>
                <w:highlight w:val="none"/>
              </w:rPr>
              <w:t>注意事项：</w:t>
            </w:r>
          </w:p>
          <w:p w14:paraId="36C77564">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1、本项目为电子招投标项目，投标人需要使用CA加密设备，凡参加本项目投标人可自主通过新疆CA申领渠道“新疆政务通”申请政采云平台可使用的CA设备。如有操作性问题可与政采云在线客服进行咨询，咨询电话：95763。</w:t>
            </w:r>
          </w:p>
          <w:p w14:paraId="73EB113B">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2、本项目实行网上投标，采用电子投标文件，若投标人参与投标，自行承担投标一切费用。</w:t>
            </w:r>
          </w:p>
          <w:p w14:paraId="4EF87955">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3、各投标人应在开标前应确保成为新疆政府采购网正式注册入库投标人，并完成CA数字证书申领。因未注册入库、未办理CA数字证书等原因造成无法投标或投标失败等后果由投标人自行承担。</w:t>
            </w:r>
          </w:p>
          <w:p w14:paraId="07430D39">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4、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CCFD9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color w:val="auto"/>
                <w:sz w:val="21"/>
                <w:szCs w:val="21"/>
                <w:highlight w:val="none"/>
              </w:rPr>
            </w:pPr>
            <w:r>
              <w:rPr>
                <w:rFonts w:hint="eastAsia"/>
                <w:color w:val="auto"/>
                <w:spacing w:val="10"/>
                <w:sz w:val="21"/>
                <w:szCs w:val="21"/>
                <w:highlight w:val="none"/>
                <w:lang w:val="en-US" w:eastAsia="zh-CN"/>
              </w:rPr>
              <w:t>5</w:t>
            </w:r>
            <w:r>
              <w:rPr>
                <w:color w:val="auto"/>
                <w:spacing w:val="10"/>
                <w:sz w:val="21"/>
                <w:szCs w:val="21"/>
                <w:highlight w:val="none"/>
              </w:rPr>
              <w:t>、投标人务必将加密电子投标文件在投标截止时间之前上传至政采云平台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2FBAE78B">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3" w:leftChars="0" w:hanging="3" w:firstLineChars="0"/>
              <w:textAlignment w:val="baseline"/>
              <w:rPr>
                <w:rFonts w:hint="eastAsia"/>
                <w:color w:val="auto"/>
                <w:spacing w:val="-3"/>
                <w:sz w:val="21"/>
                <w:szCs w:val="21"/>
                <w:highlight w:val="none"/>
              </w:rPr>
            </w:pPr>
            <w:r>
              <w:rPr>
                <w:rFonts w:hint="eastAsia"/>
                <w:color w:val="auto"/>
                <w:spacing w:val="-2"/>
                <w:sz w:val="21"/>
                <w:szCs w:val="21"/>
                <w:highlight w:val="none"/>
                <w:lang w:val="en-US" w:eastAsia="zh-CN"/>
              </w:rPr>
              <w:t>6</w:t>
            </w:r>
            <w:r>
              <w:rPr>
                <w:color w:val="auto"/>
                <w:spacing w:val="-2"/>
                <w:sz w:val="21"/>
                <w:szCs w:val="21"/>
                <w:highlight w:val="none"/>
              </w:rPr>
              <w:t>、投标文件解密时间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41B0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3DD58D47">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382" w:leftChars="0"/>
              <w:jc w:val="both"/>
              <w:textAlignment w:val="baseline"/>
              <w:rPr>
                <w:color w:val="auto"/>
                <w:spacing w:val="-3"/>
                <w:sz w:val="21"/>
                <w:szCs w:val="21"/>
                <w:highlight w:val="none"/>
              </w:rPr>
            </w:pPr>
            <w:r>
              <w:rPr>
                <w:rFonts w:hint="eastAsia"/>
                <w:color w:val="auto"/>
                <w:spacing w:val="-3"/>
                <w:sz w:val="21"/>
                <w:szCs w:val="21"/>
                <w:highlight w:val="none"/>
                <w:lang w:val="en-US" w:eastAsia="zh-CN"/>
              </w:rPr>
              <w:t>35</w:t>
            </w:r>
          </w:p>
        </w:tc>
        <w:tc>
          <w:tcPr>
            <w:tcW w:w="1742" w:type="dxa"/>
            <w:vAlign w:val="center"/>
          </w:tcPr>
          <w:p w14:paraId="5A331122">
            <w:pPr>
              <w:spacing w:line="288" w:lineRule="auto"/>
              <w:jc w:val="center"/>
              <w:rPr>
                <w:rFonts w:ascii="Arial"/>
                <w:color w:val="auto"/>
                <w:sz w:val="21"/>
                <w:highlight w:val="none"/>
                <w:lang w:val="zh-CN"/>
              </w:rPr>
            </w:pPr>
            <w:r>
              <w:rPr>
                <w:rFonts w:hint="eastAsia" w:ascii="Arial"/>
                <w:color w:val="auto"/>
                <w:sz w:val="21"/>
                <w:highlight w:val="none"/>
                <w:lang w:val="zh-CN"/>
              </w:rPr>
              <w:t>是否</w:t>
            </w:r>
            <w:r>
              <w:rPr>
                <w:rFonts w:ascii="Arial"/>
                <w:color w:val="auto"/>
                <w:sz w:val="21"/>
                <w:highlight w:val="none"/>
                <w:lang w:val="zh-CN"/>
              </w:rPr>
              <w:t>允许进口</w:t>
            </w:r>
          </w:p>
          <w:p w14:paraId="1926300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56" w:leftChars="0"/>
              <w:jc w:val="both"/>
              <w:textAlignment w:val="baseline"/>
              <w:rPr>
                <w:color w:val="auto"/>
                <w:spacing w:val="-3"/>
                <w:sz w:val="21"/>
                <w:szCs w:val="21"/>
                <w:highlight w:val="none"/>
              </w:rPr>
            </w:pPr>
            <w:r>
              <w:rPr>
                <w:rFonts w:ascii="Arial"/>
                <w:color w:val="auto"/>
                <w:sz w:val="21"/>
                <w:highlight w:val="none"/>
                <w:lang w:val="zh-CN"/>
              </w:rPr>
              <w:t>产品投标</w:t>
            </w:r>
          </w:p>
        </w:tc>
        <w:tc>
          <w:tcPr>
            <w:tcW w:w="7462" w:type="dxa"/>
            <w:vAlign w:val="center"/>
          </w:tcPr>
          <w:p w14:paraId="3E86CC7C">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3" w:leftChars="0" w:hanging="3" w:firstLineChars="0"/>
              <w:jc w:val="left"/>
              <w:textAlignment w:val="baseline"/>
              <w:rPr>
                <w:color w:val="auto"/>
                <w:spacing w:val="-2"/>
                <w:sz w:val="21"/>
                <w:szCs w:val="21"/>
                <w:highlight w:val="none"/>
              </w:rPr>
            </w:pPr>
            <w:r>
              <w:rPr>
                <w:rFonts w:ascii="Arial"/>
                <w:color w:val="auto"/>
                <w:sz w:val="21"/>
                <w:highlight w:val="none"/>
                <w:lang w:val="zh-CN"/>
              </w:rPr>
              <w:t>若所投标产品为进口产品的，不适用《政府采购促进中小企业发展管理办法》。</w:t>
            </w:r>
          </w:p>
        </w:tc>
      </w:tr>
      <w:tr w14:paraId="07C5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5D5F20B5">
            <w:pPr>
              <w:spacing w:line="288" w:lineRule="auto"/>
              <w:rPr>
                <w:rFonts w:ascii="Arial"/>
                <w:color w:val="auto"/>
                <w:sz w:val="21"/>
                <w:highlight w:val="none"/>
              </w:rPr>
            </w:pPr>
          </w:p>
          <w:p w14:paraId="23945123">
            <w:pPr>
              <w:spacing w:line="288" w:lineRule="auto"/>
              <w:rPr>
                <w:rFonts w:ascii="Arial"/>
                <w:color w:val="auto"/>
                <w:sz w:val="21"/>
                <w:highlight w:val="none"/>
              </w:rPr>
            </w:pPr>
          </w:p>
          <w:p w14:paraId="6431AA35">
            <w:pPr>
              <w:spacing w:line="288" w:lineRule="auto"/>
              <w:rPr>
                <w:rFonts w:ascii="Arial"/>
                <w:color w:val="auto"/>
                <w:sz w:val="21"/>
                <w:highlight w:val="none"/>
              </w:rPr>
            </w:pPr>
          </w:p>
          <w:p w14:paraId="17ACD453">
            <w:pPr>
              <w:spacing w:line="288" w:lineRule="auto"/>
              <w:rPr>
                <w:rFonts w:ascii="Arial"/>
                <w:color w:val="auto"/>
                <w:sz w:val="21"/>
                <w:highlight w:val="none"/>
              </w:rPr>
            </w:pPr>
          </w:p>
          <w:p w14:paraId="6C8E27A1">
            <w:pPr>
              <w:pStyle w:val="16"/>
              <w:spacing w:before="69" w:line="181" w:lineRule="auto"/>
              <w:ind w:left="382" w:leftChars="0"/>
              <w:rPr>
                <w:rFonts w:hint="default" w:eastAsia="新宋体"/>
                <w:color w:val="auto"/>
                <w:spacing w:val="-3"/>
                <w:sz w:val="21"/>
                <w:szCs w:val="21"/>
                <w:highlight w:val="none"/>
                <w:lang w:val="en-US" w:eastAsia="zh-CN"/>
              </w:rPr>
            </w:pPr>
            <w:r>
              <w:rPr>
                <w:rFonts w:hint="eastAsia"/>
                <w:color w:val="auto"/>
                <w:spacing w:val="-3"/>
                <w:sz w:val="21"/>
                <w:szCs w:val="21"/>
                <w:highlight w:val="none"/>
                <w:lang w:val="en-US" w:eastAsia="zh-CN"/>
              </w:rPr>
              <w:t>36</w:t>
            </w:r>
          </w:p>
        </w:tc>
        <w:tc>
          <w:tcPr>
            <w:tcW w:w="1742" w:type="dxa"/>
            <w:vAlign w:val="top"/>
          </w:tcPr>
          <w:p w14:paraId="4117F02F">
            <w:pPr>
              <w:spacing w:line="278" w:lineRule="auto"/>
              <w:rPr>
                <w:rFonts w:ascii="Arial"/>
                <w:color w:val="auto"/>
                <w:sz w:val="21"/>
                <w:highlight w:val="none"/>
              </w:rPr>
            </w:pPr>
          </w:p>
          <w:p w14:paraId="5F4F9E40">
            <w:pPr>
              <w:spacing w:line="278" w:lineRule="auto"/>
              <w:rPr>
                <w:rFonts w:ascii="Arial"/>
                <w:color w:val="auto"/>
                <w:sz w:val="21"/>
                <w:highlight w:val="none"/>
              </w:rPr>
            </w:pPr>
          </w:p>
          <w:p w14:paraId="77CB6BBE">
            <w:pPr>
              <w:spacing w:line="279" w:lineRule="auto"/>
              <w:rPr>
                <w:rFonts w:ascii="Arial"/>
                <w:color w:val="auto"/>
                <w:sz w:val="21"/>
                <w:highlight w:val="none"/>
              </w:rPr>
            </w:pPr>
          </w:p>
          <w:p w14:paraId="07DB9091">
            <w:pPr>
              <w:spacing w:line="279" w:lineRule="auto"/>
              <w:rPr>
                <w:rFonts w:ascii="Arial"/>
                <w:color w:val="auto"/>
                <w:sz w:val="21"/>
                <w:highlight w:val="none"/>
              </w:rPr>
            </w:pPr>
          </w:p>
          <w:p w14:paraId="6109A311">
            <w:pPr>
              <w:pStyle w:val="16"/>
              <w:spacing w:before="68" w:line="224" w:lineRule="auto"/>
              <w:ind w:left="456" w:leftChars="0"/>
              <w:rPr>
                <w:color w:val="auto"/>
                <w:spacing w:val="-3"/>
                <w:sz w:val="21"/>
                <w:szCs w:val="21"/>
                <w:highlight w:val="none"/>
              </w:rPr>
            </w:pPr>
            <w:r>
              <w:rPr>
                <w:color w:val="auto"/>
                <w:spacing w:val="-3"/>
                <w:sz w:val="21"/>
                <w:szCs w:val="21"/>
                <w:highlight w:val="none"/>
              </w:rPr>
              <w:t>特别说明</w:t>
            </w:r>
          </w:p>
        </w:tc>
        <w:tc>
          <w:tcPr>
            <w:tcW w:w="7462" w:type="dxa"/>
            <w:vAlign w:val="top"/>
          </w:tcPr>
          <w:p w14:paraId="2229B293">
            <w:pPr>
              <w:pStyle w:val="16"/>
              <w:spacing w:before="110" w:line="293" w:lineRule="auto"/>
              <w:ind w:left="105" w:right="102" w:firstLine="18"/>
              <w:rPr>
                <w:color w:val="auto"/>
                <w:sz w:val="21"/>
                <w:szCs w:val="21"/>
                <w:highlight w:val="none"/>
              </w:rPr>
            </w:pPr>
            <w:r>
              <w:rPr>
                <w:color w:val="auto"/>
                <w:spacing w:val="10"/>
                <w:sz w:val="21"/>
                <w:szCs w:val="21"/>
                <w:highlight w:val="none"/>
              </w:rPr>
              <w:t>1、投标人务必将加密电子投标文件在投标截止时间之前上传至政采云平台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1D54A041">
            <w:pPr>
              <w:pStyle w:val="16"/>
              <w:spacing w:before="105" w:line="281" w:lineRule="auto"/>
              <w:ind w:left="113" w:leftChars="0" w:hanging="3" w:firstLineChars="0"/>
              <w:rPr>
                <w:color w:val="auto"/>
                <w:spacing w:val="-2"/>
                <w:sz w:val="21"/>
                <w:szCs w:val="21"/>
                <w:highlight w:val="none"/>
              </w:rPr>
            </w:pPr>
            <w:r>
              <w:rPr>
                <w:color w:val="auto"/>
                <w:spacing w:val="-2"/>
                <w:sz w:val="21"/>
                <w:szCs w:val="21"/>
                <w:highlight w:val="none"/>
              </w:rPr>
              <w:t>2、投标文件解密时间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3CD0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15E6C9D8">
            <w:pPr>
              <w:spacing w:line="288" w:lineRule="auto"/>
              <w:jc w:val="center"/>
              <w:rPr>
                <w:color w:val="auto"/>
                <w:spacing w:val="-3"/>
                <w:sz w:val="21"/>
                <w:szCs w:val="21"/>
                <w:highlight w:val="none"/>
              </w:rPr>
            </w:pPr>
            <w:r>
              <w:rPr>
                <w:rFonts w:hint="eastAsia" w:eastAsia="宋体"/>
                <w:color w:val="auto"/>
                <w:sz w:val="21"/>
                <w:highlight w:val="none"/>
                <w:lang w:val="en-US" w:eastAsia="zh-CN"/>
              </w:rPr>
              <w:t>37</w:t>
            </w:r>
          </w:p>
        </w:tc>
        <w:tc>
          <w:tcPr>
            <w:tcW w:w="1742" w:type="dxa"/>
            <w:vAlign w:val="center"/>
          </w:tcPr>
          <w:p w14:paraId="23813C4D">
            <w:pPr>
              <w:spacing w:line="288" w:lineRule="auto"/>
              <w:jc w:val="center"/>
              <w:rPr>
                <w:color w:val="auto"/>
                <w:spacing w:val="-3"/>
                <w:sz w:val="21"/>
                <w:szCs w:val="21"/>
                <w:highlight w:val="none"/>
              </w:rPr>
            </w:pPr>
            <w:r>
              <w:rPr>
                <w:rFonts w:hint="eastAsia" w:ascii="Arial"/>
                <w:color w:val="auto"/>
                <w:sz w:val="21"/>
                <w:highlight w:val="none"/>
              </w:rPr>
              <w:t>履约保证金</w:t>
            </w:r>
          </w:p>
        </w:tc>
        <w:tc>
          <w:tcPr>
            <w:tcW w:w="7462" w:type="dxa"/>
            <w:vAlign w:val="center"/>
          </w:tcPr>
          <w:p w14:paraId="315356B3">
            <w:pPr>
              <w:spacing w:line="288" w:lineRule="auto"/>
              <w:jc w:val="both"/>
              <w:rPr>
                <w:color w:val="auto"/>
                <w:spacing w:val="-2"/>
                <w:sz w:val="21"/>
                <w:szCs w:val="21"/>
                <w:highlight w:val="none"/>
              </w:rPr>
            </w:pPr>
            <w:r>
              <w:rPr>
                <w:rFonts w:hint="eastAsia" w:ascii="Arial"/>
                <w:color w:val="auto"/>
                <w:sz w:val="21"/>
                <w:highlight w:val="none"/>
              </w:rPr>
              <w:t>本项目不收取履约保证金。</w:t>
            </w:r>
          </w:p>
        </w:tc>
      </w:tr>
      <w:tr w14:paraId="3CAA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0CD13367">
            <w:pPr>
              <w:spacing w:line="288" w:lineRule="auto"/>
              <w:jc w:val="center"/>
              <w:rPr>
                <w:rFonts w:hint="default"/>
                <w:color w:val="auto"/>
                <w:spacing w:val="-3"/>
                <w:sz w:val="21"/>
                <w:szCs w:val="21"/>
                <w:highlight w:val="none"/>
                <w:lang w:val="en-US"/>
              </w:rPr>
            </w:pPr>
            <w:r>
              <w:rPr>
                <w:rFonts w:hint="eastAsia" w:eastAsia="宋体"/>
                <w:color w:val="auto"/>
                <w:sz w:val="21"/>
                <w:highlight w:val="none"/>
                <w:lang w:val="en-US" w:eastAsia="zh-CN"/>
              </w:rPr>
              <w:t>38</w:t>
            </w:r>
          </w:p>
        </w:tc>
        <w:tc>
          <w:tcPr>
            <w:tcW w:w="1742" w:type="dxa"/>
            <w:vAlign w:val="center"/>
          </w:tcPr>
          <w:p w14:paraId="217356C6">
            <w:pPr>
              <w:spacing w:line="288" w:lineRule="auto"/>
              <w:jc w:val="center"/>
              <w:rPr>
                <w:color w:val="auto"/>
                <w:spacing w:val="-3"/>
                <w:sz w:val="21"/>
                <w:szCs w:val="21"/>
                <w:highlight w:val="none"/>
              </w:rPr>
            </w:pPr>
            <w:r>
              <w:rPr>
                <w:rFonts w:hint="eastAsia" w:ascii="Arial"/>
                <w:color w:val="auto"/>
                <w:sz w:val="21"/>
                <w:highlight w:val="none"/>
              </w:rPr>
              <w:t>对招标文件除资</w:t>
            </w:r>
            <w:r>
              <w:rPr>
                <w:rFonts w:hint="eastAsia" w:eastAsia="宋体"/>
                <w:color w:val="auto"/>
                <w:sz w:val="21"/>
                <w:highlight w:val="none"/>
                <w:lang w:val="en-US" w:eastAsia="zh-CN"/>
              </w:rPr>
              <w:t xml:space="preserve"> </w:t>
            </w:r>
            <w:r>
              <w:rPr>
                <w:rFonts w:hint="eastAsia" w:ascii="Arial"/>
                <w:color w:val="auto"/>
                <w:sz w:val="21"/>
                <w:highlight w:val="none"/>
              </w:rPr>
              <w:t>质要求、技术参</w:t>
            </w:r>
            <w:r>
              <w:rPr>
                <w:rFonts w:hint="eastAsia" w:eastAsia="宋体"/>
                <w:color w:val="auto"/>
                <w:sz w:val="21"/>
                <w:highlight w:val="none"/>
                <w:lang w:val="en-US" w:eastAsia="zh-CN"/>
              </w:rPr>
              <w:t xml:space="preserve"> </w:t>
            </w:r>
            <w:r>
              <w:rPr>
                <w:rFonts w:hint="eastAsia" w:ascii="Arial"/>
                <w:color w:val="auto"/>
                <w:sz w:val="21"/>
                <w:highlight w:val="none"/>
              </w:rPr>
              <w:t>数、商务要求、</w:t>
            </w:r>
            <w:r>
              <w:rPr>
                <w:rFonts w:hint="eastAsia" w:eastAsia="宋体"/>
                <w:color w:val="auto"/>
                <w:sz w:val="21"/>
                <w:highlight w:val="none"/>
                <w:lang w:val="en-US" w:eastAsia="zh-CN"/>
              </w:rPr>
              <w:t xml:space="preserve"> </w:t>
            </w:r>
            <w:r>
              <w:rPr>
                <w:rFonts w:hint="eastAsia" w:ascii="Arial"/>
                <w:color w:val="auto"/>
                <w:sz w:val="21"/>
                <w:highlight w:val="none"/>
              </w:rPr>
              <w:t>评分办法等采购</w:t>
            </w:r>
            <w:r>
              <w:rPr>
                <w:rFonts w:hint="eastAsia" w:eastAsia="宋体"/>
                <w:color w:val="auto"/>
                <w:sz w:val="21"/>
                <w:highlight w:val="none"/>
                <w:lang w:val="en-US" w:eastAsia="zh-CN"/>
              </w:rPr>
              <w:t xml:space="preserve"> </w:t>
            </w:r>
            <w:r>
              <w:rPr>
                <w:rFonts w:hint="eastAsia" w:ascii="Arial"/>
                <w:color w:val="auto"/>
                <w:sz w:val="21"/>
                <w:highlight w:val="none"/>
              </w:rPr>
              <w:t>需求内容以外事</w:t>
            </w:r>
            <w:r>
              <w:rPr>
                <w:rFonts w:hint="eastAsia" w:eastAsia="宋体"/>
                <w:color w:val="auto"/>
                <w:sz w:val="21"/>
                <w:highlight w:val="none"/>
                <w:lang w:val="en-US" w:eastAsia="zh-CN"/>
              </w:rPr>
              <w:t xml:space="preserve"> </w:t>
            </w:r>
            <w:r>
              <w:rPr>
                <w:rFonts w:hint="eastAsia" w:ascii="Arial"/>
                <w:color w:val="auto"/>
                <w:sz w:val="21"/>
                <w:highlight w:val="none"/>
              </w:rPr>
              <w:t>项、采购过程和</w:t>
            </w:r>
            <w:r>
              <w:rPr>
                <w:rFonts w:hint="eastAsia" w:eastAsia="宋体"/>
                <w:color w:val="auto"/>
                <w:sz w:val="21"/>
                <w:highlight w:val="none"/>
                <w:lang w:val="en-US" w:eastAsia="zh-CN"/>
              </w:rPr>
              <w:t xml:space="preserve"> </w:t>
            </w:r>
            <w:r>
              <w:rPr>
                <w:rFonts w:hint="eastAsia" w:ascii="Arial"/>
                <w:color w:val="auto"/>
                <w:sz w:val="21"/>
                <w:highlight w:val="none"/>
              </w:rPr>
              <w:t>采购结果的询问</w:t>
            </w:r>
            <w:r>
              <w:rPr>
                <w:rFonts w:hint="eastAsia" w:eastAsia="宋体"/>
                <w:color w:val="auto"/>
                <w:sz w:val="21"/>
                <w:highlight w:val="none"/>
                <w:lang w:val="en-US" w:eastAsia="zh-CN"/>
              </w:rPr>
              <w:t xml:space="preserve"> </w:t>
            </w:r>
            <w:r>
              <w:rPr>
                <w:rFonts w:hint="eastAsia" w:ascii="Arial"/>
                <w:color w:val="auto"/>
                <w:sz w:val="21"/>
                <w:highlight w:val="none"/>
              </w:rPr>
              <w:t>和质疑</w:t>
            </w:r>
          </w:p>
        </w:tc>
        <w:tc>
          <w:tcPr>
            <w:tcW w:w="7462" w:type="dxa"/>
            <w:vAlign w:val="center"/>
          </w:tcPr>
          <w:p w14:paraId="548FF1D9">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受理单位：乌鲁木齐鑫盛开源工程项目管理有限公司</w:t>
            </w:r>
          </w:p>
          <w:p w14:paraId="703E9C8B">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联 系 人：</w:t>
            </w:r>
            <w:r>
              <w:rPr>
                <w:rFonts w:hint="eastAsia"/>
                <w:color w:val="auto"/>
                <w:sz w:val="21"/>
                <w:highlight w:val="none"/>
                <w:lang w:val="en-US" w:eastAsia="zh-CN"/>
              </w:rPr>
              <w:t>蔡琰</w:t>
            </w:r>
          </w:p>
          <w:p w14:paraId="3C72CA29">
            <w:pPr>
              <w:spacing w:line="288" w:lineRule="auto"/>
              <w:ind w:firstLine="210" w:firstLineChars="100"/>
              <w:jc w:val="both"/>
              <w:rPr>
                <w:rFonts w:hint="default" w:ascii="Arial"/>
                <w:color w:val="auto"/>
                <w:sz w:val="21"/>
                <w:highlight w:val="none"/>
                <w:lang w:val="en-US" w:eastAsia="zh-CN"/>
              </w:rPr>
            </w:pPr>
            <w:r>
              <w:rPr>
                <w:rFonts w:hint="eastAsia" w:ascii="Arial"/>
                <w:color w:val="auto"/>
                <w:sz w:val="21"/>
                <w:highlight w:val="none"/>
              </w:rPr>
              <w:t>联系电话：</w:t>
            </w:r>
            <w:r>
              <w:rPr>
                <w:rFonts w:hint="eastAsia"/>
                <w:color w:val="auto"/>
                <w:sz w:val="21"/>
                <w:highlight w:val="none"/>
                <w:lang w:val="en-US" w:eastAsia="zh-CN"/>
              </w:rPr>
              <w:t>13679942122</w:t>
            </w:r>
          </w:p>
          <w:p w14:paraId="021F9025">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质疑函接受方式：现场接受或邮寄接受</w:t>
            </w:r>
          </w:p>
          <w:p w14:paraId="72F78F36">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地址：</w:t>
            </w:r>
            <w:r>
              <w:rPr>
                <w:rFonts w:hint="eastAsia" w:ascii="Arial"/>
                <w:color w:val="auto"/>
                <w:sz w:val="21"/>
                <w:highlight w:val="none"/>
                <w:lang w:eastAsia="zh-CN"/>
              </w:rPr>
              <w:t>伊宁市西环路开元新城3号写字楼1</w:t>
            </w:r>
            <w:r>
              <w:rPr>
                <w:rFonts w:hint="eastAsia"/>
                <w:color w:val="auto"/>
                <w:sz w:val="21"/>
                <w:highlight w:val="none"/>
                <w:lang w:val="en-US" w:eastAsia="zh-CN"/>
              </w:rPr>
              <w:t>2</w:t>
            </w:r>
            <w:r>
              <w:rPr>
                <w:rFonts w:hint="eastAsia" w:ascii="Arial"/>
                <w:color w:val="auto"/>
                <w:sz w:val="21"/>
                <w:highlight w:val="none"/>
                <w:lang w:eastAsia="zh-CN"/>
              </w:rPr>
              <w:t>层</w:t>
            </w:r>
          </w:p>
          <w:p w14:paraId="4D80832E">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对采购过程提出质疑时间：为各采购程序环节结束之日起七个工作日内。</w:t>
            </w:r>
          </w:p>
          <w:p w14:paraId="7861D597">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对采购结果提出质疑时间：为中标结果公告发布次日后七个工作日内。</w:t>
            </w:r>
          </w:p>
          <w:p w14:paraId="5C335E2A">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备注：</w:t>
            </w:r>
          </w:p>
          <w:p w14:paraId="55B9716F">
            <w:pPr>
              <w:numPr>
                <w:ilvl w:val="0"/>
                <w:numId w:val="1"/>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采购单位无正当理由不按照依法推荐的中标候选供应商顺序确定中标供应</w:t>
            </w:r>
          </w:p>
          <w:p w14:paraId="45BD8C5C">
            <w:pPr>
              <w:numPr>
                <w:ilvl w:val="0"/>
                <w:numId w:val="0"/>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商，或者在评标委员会依法推荐的中标候选供应商以外确定中标供应商的质疑</w:t>
            </w:r>
          </w:p>
          <w:p w14:paraId="063AFC2F">
            <w:pPr>
              <w:numPr>
                <w:ilvl w:val="0"/>
                <w:numId w:val="0"/>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由采购单位受理。</w:t>
            </w:r>
          </w:p>
          <w:p w14:paraId="167BBAFD">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供应商应当在法定质疑期内一次性提出针对统一采购程序环节的质疑。</w:t>
            </w:r>
          </w:p>
          <w:p w14:paraId="1B465F89">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投标人认为招标文件、招标过程或中标结果使自己的合法权益受到损害的</w:t>
            </w:r>
          </w:p>
          <w:p w14:paraId="6B08CAE5">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应当在知道或者应知其权益受到损害之日起在规定的期限内，以书面形式向采</w:t>
            </w:r>
          </w:p>
          <w:p w14:paraId="77559DFA">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购人或采购代理机构提出质疑。采购人或采购代理机构收到投标人书面质疑后</w:t>
            </w:r>
          </w:p>
          <w:p w14:paraId="40FB003C">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在规定的时间内，对质疑内容作出答复，投标人对采购人或采购代理机构的质</w:t>
            </w:r>
          </w:p>
          <w:p w14:paraId="33E19364">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疑答复不满意或者采购人或采购代理机构未在规定时间内作出答复的，可以在</w:t>
            </w:r>
          </w:p>
          <w:p w14:paraId="6E723B20">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答复期满后15个工作日内向有关监管部门进行投诉。投诉人对政府采购监督管</w:t>
            </w:r>
          </w:p>
          <w:p w14:paraId="1FE5756A">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理部门的投诉处理决定不服或者政府采购监督管理部门逾期未作处理的，可以</w:t>
            </w:r>
          </w:p>
          <w:p w14:paraId="053424EB">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依法申请行政复议或者向人民法院提起行政诉讼。</w:t>
            </w:r>
          </w:p>
          <w:p w14:paraId="5CCCD7DA">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质疑、投诉应当采用书面形式，质疑、投诉均应明确阐述招标文件、招标</w:t>
            </w:r>
          </w:p>
          <w:p w14:paraId="1F1892C5">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过程或中标结果中使自己合法权益受到损害的实质性内容，提供相关事实、依</w:t>
            </w:r>
          </w:p>
          <w:p w14:paraId="491CCE2C">
            <w:pPr>
              <w:numPr>
                <w:ilvl w:val="0"/>
                <w:numId w:val="0"/>
              </w:numPr>
              <w:spacing w:line="288" w:lineRule="auto"/>
              <w:ind w:leftChars="100"/>
              <w:jc w:val="both"/>
              <w:rPr>
                <w:color w:val="auto"/>
                <w:spacing w:val="-2"/>
                <w:sz w:val="21"/>
                <w:szCs w:val="21"/>
                <w:highlight w:val="none"/>
              </w:rPr>
            </w:pPr>
            <w:r>
              <w:rPr>
                <w:rFonts w:hint="eastAsia" w:ascii="Arial"/>
                <w:color w:val="auto"/>
                <w:sz w:val="21"/>
                <w:highlight w:val="none"/>
              </w:rPr>
              <w:t>据和证据及其来源或线索，便于有关单位调查、答复和处理。</w:t>
            </w:r>
          </w:p>
        </w:tc>
      </w:tr>
      <w:tr w14:paraId="14CE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6A5EFBBA">
            <w:pPr>
              <w:spacing w:line="288" w:lineRule="auto"/>
              <w:ind w:firstLine="420" w:firstLineChars="200"/>
              <w:jc w:val="both"/>
              <w:rPr>
                <w:rFonts w:hint="default"/>
                <w:color w:val="auto"/>
                <w:spacing w:val="-3"/>
                <w:sz w:val="21"/>
                <w:szCs w:val="21"/>
                <w:highlight w:val="none"/>
                <w:lang w:val="en-US"/>
              </w:rPr>
            </w:pPr>
            <w:r>
              <w:rPr>
                <w:rFonts w:hint="eastAsia" w:eastAsia="宋体"/>
                <w:color w:val="auto"/>
                <w:sz w:val="21"/>
                <w:highlight w:val="none"/>
                <w:lang w:val="en-US" w:eastAsia="zh-CN"/>
              </w:rPr>
              <w:t>39</w:t>
            </w:r>
          </w:p>
        </w:tc>
        <w:tc>
          <w:tcPr>
            <w:tcW w:w="1742" w:type="dxa"/>
            <w:vAlign w:val="center"/>
          </w:tcPr>
          <w:p w14:paraId="171B731D">
            <w:pPr>
              <w:spacing w:line="288" w:lineRule="auto"/>
              <w:ind w:firstLine="840" w:firstLineChars="400"/>
              <w:jc w:val="both"/>
              <w:rPr>
                <w:color w:val="auto"/>
                <w:spacing w:val="-3"/>
                <w:sz w:val="21"/>
                <w:szCs w:val="21"/>
                <w:highlight w:val="none"/>
              </w:rPr>
            </w:pPr>
            <w:r>
              <w:rPr>
                <w:rFonts w:hint="eastAsia" w:ascii="Arial"/>
                <w:color w:val="auto"/>
                <w:sz w:val="21"/>
                <w:highlight w:val="none"/>
              </w:rPr>
              <w:t>投诉</w:t>
            </w:r>
          </w:p>
        </w:tc>
        <w:tc>
          <w:tcPr>
            <w:tcW w:w="7462" w:type="dxa"/>
            <w:vAlign w:val="center"/>
          </w:tcPr>
          <w:p w14:paraId="1F29E8C5">
            <w:pPr>
              <w:spacing w:line="288" w:lineRule="auto"/>
              <w:ind w:firstLine="210" w:firstLineChars="100"/>
              <w:jc w:val="both"/>
              <w:rPr>
                <w:color w:val="auto"/>
                <w:spacing w:val="-2"/>
                <w:sz w:val="21"/>
                <w:szCs w:val="21"/>
                <w:highlight w:val="none"/>
              </w:rPr>
            </w:pPr>
            <w:r>
              <w:rPr>
                <w:rFonts w:hint="eastAsia" w:ascii="Arial"/>
                <w:color w:val="auto"/>
                <w:sz w:val="21"/>
                <w:highlight w:val="none"/>
              </w:rPr>
              <w:t>投诉受理单位：本采购项目同级财政部门</w:t>
            </w:r>
            <w:r>
              <w:rPr>
                <w:rFonts w:hint="eastAsia" w:ascii="Arial"/>
                <w:color w:val="auto"/>
                <w:sz w:val="21"/>
                <w:highlight w:val="none"/>
                <w:lang w:eastAsia="zh-CN"/>
              </w:rPr>
              <w:t>。</w:t>
            </w:r>
          </w:p>
        </w:tc>
      </w:tr>
      <w:tr w14:paraId="0876A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20A3F55D">
            <w:pPr>
              <w:numPr>
                <w:ilvl w:val="0"/>
                <w:numId w:val="0"/>
              </w:numPr>
              <w:spacing w:line="276" w:lineRule="auto"/>
              <w:ind w:left="0" w:leftChars="0" w:firstLine="408" w:firstLineChars="200"/>
              <w:jc w:val="both"/>
              <w:rPr>
                <w:rFonts w:hint="default" w:eastAsia="宋体"/>
                <w:color w:val="auto"/>
                <w:spacing w:val="-3"/>
                <w:sz w:val="21"/>
                <w:szCs w:val="21"/>
                <w:highlight w:val="none"/>
                <w:lang w:val="en-US" w:eastAsia="zh-CN"/>
              </w:rPr>
            </w:pPr>
            <w:r>
              <w:rPr>
                <w:rFonts w:hint="eastAsia" w:eastAsia="宋体"/>
                <w:color w:val="auto"/>
                <w:spacing w:val="-3"/>
                <w:sz w:val="21"/>
                <w:szCs w:val="21"/>
                <w:highlight w:val="none"/>
                <w:lang w:val="en-US" w:eastAsia="zh-CN"/>
              </w:rPr>
              <w:t>40</w:t>
            </w:r>
          </w:p>
        </w:tc>
        <w:tc>
          <w:tcPr>
            <w:tcW w:w="1742" w:type="dxa"/>
            <w:vAlign w:val="center"/>
          </w:tcPr>
          <w:p w14:paraId="26F9E8F0">
            <w:pPr>
              <w:spacing w:line="276" w:lineRule="auto"/>
              <w:jc w:val="center"/>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中标通知书</w:t>
            </w:r>
          </w:p>
          <w:p w14:paraId="3D960D95">
            <w:pPr>
              <w:spacing w:line="276" w:lineRule="auto"/>
              <w:jc w:val="center"/>
              <w:rPr>
                <w:color w:val="auto"/>
                <w:spacing w:val="-3"/>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领取方式</w:t>
            </w:r>
          </w:p>
        </w:tc>
        <w:tc>
          <w:tcPr>
            <w:tcW w:w="7462" w:type="dxa"/>
            <w:vAlign w:val="center"/>
          </w:tcPr>
          <w:p w14:paraId="71552FD8">
            <w:pPr>
              <w:spacing w:line="276" w:lineRule="auto"/>
              <w:ind w:firstLine="204" w:firstLineChars="100"/>
              <w:rPr>
                <w:rFonts w:hint="eastAsia"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en-US" w:bidi="ar-SA"/>
              </w:rPr>
              <w:t>中标公告在新疆政府采购网上公告后，请中标供应商凭有效身份证明证件到</w:t>
            </w:r>
            <w:r>
              <w:rPr>
                <w:rFonts w:hint="eastAsia" w:ascii="新宋体" w:hAnsi="新宋体" w:eastAsia="新宋体" w:cs="新宋体"/>
                <w:snapToGrid w:val="0"/>
                <w:color w:val="auto"/>
                <w:spacing w:val="-3"/>
                <w:kern w:val="0"/>
                <w:sz w:val="21"/>
                <w:szCs w:val="21"/>
                <w:highlight w:val="none"/>
                <w:lang w:val="en-US" w:eastAsia="zh-CN" w:bidi="ar-SA"/>
              </w:rPr>
              <w:t>伊</w:t>
            </w:r>
          </w:p>
          <w:p w14:paraId="3B83C8AB">
            <w:pPr>
              <w:spacing w:line="276" w:lineRule="auto"/>
              <w:ind w:firstLine="204" w:firstLineChars="100"/>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zh-CN" w:bidi="ar-SA"/>
              </w:rPr>
              <w:t>宁市西环路开元新城3号写字楼12层</w:t>
            </w:r>
            <w:r>
              <w:rPr>
                <w:rFonts w:hint="eastAsia" w:ascii="新宋体" w:hAnsi="新宋体" w:eastAsia="新宋体" w:cs="新宋体"/>
                <w:snapToGrid w:val="0"/>
                <w:color w:val="auto"/>
                <w:spacing w:val="-3"/>
                <w:kern w:val="0"/>
                <w:sz w:val="21"/>
                <w:szCs w:val="21"/>
                <w:highlight w:val="none"/>
                <w:lang w:val="en-US" w:eastAsia="en-US" w:bidi="ar-SA"/>
              </w:rPr>
              <w:t>受理处领取中标通知书。</w:t>
            </w:r>
          </w:p>
          <w:p w14:paraId="715888B5">
            <w:pPr>
              <w:spacing w:line="276" w:lineRule="auto"/>
              <w:ind w:firstLine="273" w:firstLineChars="134"/>
              <w:rPr>
                <w:rFonts w:hint="default"/>
                <w:color w:val="auto"/>
                <w:spacing w:val="-2"/>
                <w:sz w:val="21"/>
                <w:szCs w:val="21"/>
                <w:highlight w:val="none"/>
                <w:lang w:val="en-US"/>
              </w:rPr>
            </w:pPr>
            <w:r>
              <w:rPr>
                <w:rFonts w:hint="eastAsia" w:ascii="新宋体" w:hAnsi="新宋体" w:eastAsia="新宋体" w:cs="新宋体"/>
                <w:snapToGrid w:val="0"/>
                <w:color w:val="auto"/>
                <w:spacing w:val="-3"/>
                <w:kern w:val="0"/>
                <w:sz w:val="21"/>
                <w:szCs w:val="21"/>
                <w:highlight w:val="none"/>
                <w:lang w:val="en-US" w:eastAsia="en-US" w:bidi="ar-SA"/>
              </w:rPr>
              <w:t>联系电话：</w:t>
            </w:r>
            <w:r>
              <w:rPr>
                <w:rFonts w:hint="eastAsia" w:ascii="新宋体" w:hAnsi="新宋体" w:eastAsia="新宋体" w:cs="新宋体"/>
                <w:snapToGrid w:val="0"/>
                <w:color w:val="auto"/>
                <w:spacing w:val="-3"/>
                <w:kern w:val="0"/>
                <w:sz w:val="21"/>
                <w:szCs w:val="21"/>
                <w:highlight w:val="none"/>
                <w:lang w:val="en-US" w:eastAsia="zh-CN" w:bidi="ar-SA"/>
              </w:rPr>
              <w:t>13679942122</w:t>
            </w:r>
          </w:p>
        </w:tc>
      </w:tr>
      <w:tr w14:paraId="6386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2D8ECD2E">
            <w:pPr>
              <w:numPr>
                <w:ilvl w:val="0"/>
                <w:numId w:val="0"/>
              </w:numPr>
              <w:spacing w:line="276" w:lineRule="auto"/>
              <w:ind w:left="0" w:leftChars="0" w:firstLine="408" w:firstLineChars="200"/>
              <w:jc w:val="both"/>
              <w:rPr>
                <w:rFonts w:hint="default"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zh-CN" w:bidi="ar-SA"/>
              </w:rPr>
              <w:t>41</w:t>
            </w:r>
          </w:p>
        </w:tc>
        <w:tc>
          <w:tcPr>
            <w:tcW w:w="1742" w:type="dxa"/>
            <w:vAlign w:val="center"/>
          </w:tcPr>
          <w:p w14:paraId="1EBF260E">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w:t>
            </w:r>
          </w:p>
          <w:p w14:paraId="4E35EC51">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合同备案</w:t>
            </w:r>
          </w:p>
        </w:tc>
        <w:tc>
          <w:tcPr>
            <w:tcW w:w="7462" w:type="dxa"/>
            <w:vAlign w:val="center"/>
          </w:tcPr>
          <w:p w14:paraId="05335694">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政府采购合同签订之日起2个工作日内，采购人应将政府采购合同在新疆政府</w:t>
            </w:r>
          </w:p>
          <w:p w14:paraId="6C1B8838">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采购网公告。</w:t>
            </w:r>
          </w:p>
          <w:p w14:paraId="709B0AFE">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政府采购合同签订之日起2个工作日内，成交供应商应将政府采购合同向采购</w:t>
            </w:r>
          </w:p>
          <w:p w14:paraId="22C537B7">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代理机构审核备案。</w:t>
            </w:r>
          </w:p>
        </w:tc>
      </w:tr>
      <w:tr w14:paraId="5A15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65" w:type="dxa"/>
            <w:vAlign w:val="top"/>
          </w:tcPr>
          <w:p w14:paraId="75212430">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382" w:leftChars="0"/>
              <w:textAlignment w:val="baseline"/>
              <w:rPr>
                <w:rFonts w:hint="default"/>
                <w:color w:val="auto"/>
                <w:spacing w:val="-3"/>
                <w:sz w:val="21"/>
                <w:szCs w:val="21"/>
                <w:highlight w:val="none"/>
                <w:lang w:val="en-US" w:eastAsia="zh-CN"/>
              </w:rPr>
            </w:pPr>
            <w:r>
              <w:rPr>
                <w:rFonts w:hint="eastAsia"/>
                <w:color w:val="auto"/>
                <w:spacing w:val="-3"/>
                <w:sz w:val="21"/>
                <w:szCs w:val="21"/>
                <w:highlight w:val="none"/>
                <w:lang w:val="en-US" w:eastAsia="zh-CN"/>
              </w:rPr>
              <w:t>42</w:t>
            </w:r>
          </w:p>
        </w:tc>
        <w:tc>
          <w:tcPr>
            <w:tcW w:w="9204" w:type="dxa"/>
            <w:gridSpan w:val="2"/>
            <w:vAlign w:val="top"/>
          </w:tcPr>
          <w:p w14:paraId="45B9C07E">
            <w:pPr>
              <w:spacing w:line="276" w:lineRule="auto"/>
              <w:ind w:left="210" w:leftChars="100" w:firstLine="0" w:firstLineChars="0"/>
              <w:rPr>
                <w:color w:val="auto"/>
                <w:spacing w:val="-2"/>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投标文件中有弄虚作假的内容，其投标文件作废。（如假证书、假业绩、隐瞒不良行为记录、夸大荣誉、使用非本单位在职员工的相关证件及不符合采购文件规定的条款等）；在签订合同之前，投标人如发现投标人的投标文件有弄虚作假内容，招标人可拒绝与其签订合同。并将其列入政府采购黑名单库。</w:t>
            </w:r>
          </w:p>
        </w:tc>
      </w:tr>
      <w:tr w14:paraId="7228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965" w:type="dxa"/>
            <w:vAlign w:val="top"/>
          </w:tcPr>
          <w:p w14:paraId="244593C6">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382" w:leftChars="0"/>
              <w:textAlignment w:val="baseline"/>
              <w:rPr>
                <w:rFonts w:hint="eastAsia"/>
                <w:color w:val="auto"/>
                <w:spacing w:val="-3"/>
                <w:sz w:val="21"/>
                <w:szCs w:val="21"/>
                <w:highlight w:val="none"/>
                <w:lang w:val="en-US" w:eastAsia="zh-CN"/>
              </w:rPr>
            </w:pPr>
            <w:r>
              <w:rPr>
                <w:rFonts w:hint="eastAsia"/>
                <w:color w:val="auto"/>
                <w:spacing w:val="-3"/>
                <w:sz w:val="21"/>
                <w:szCs w:val="21"/>
                <w:highlight w:val="none"/>
                <w:lang w:val="en-US" w:eastAsia="zh-CN"/>
              </w:rPr>
              <w:t>43</w:t>
            </w:r>
          </w:p>
        </w:tc>
        <w:tc>
          <w:tcPr>
            <w:tcW w:w="1742" w:type="dxa"/>
            <w:vAlign w:val="top"/>
          </w:tcPr>
          <w:p w14:paraId="7120BC5D">
            <w:pPr>
              <w:pStyle w:val="16"/>
              <w:keepNext w:val="0"/>
              <w:keepLines w:val="0"/>
              <w:pageBreakBefore w:val="0"/>
              <w:widowControl/>
              <w:kinsoku w:val="0"/>
              <w:wordWrap/>
              <w:overflowPunct/>
              <w:topLinePunct w:val="0"/>
              <w:autoSpaceDE w:val="0"/>
              <w:autoSpaceDN w:val="0"/>
              <w:bidi w:val="0"/>
              <w:adjustRightInd w:val="0"/>
              <w:snapToGrid w:val="0"/>
              <w:spacing w:before="254" w:line="360" w:lineRule="exact"/>
              <w:ind w:left="351" w:leftChars="0"/>
              <w:textAlignment w:val="baseline"/>
              <w:rPr>
                <w:color w:val="auto"/>
                <w:spacing w:val="-3"/>
                <w:sz w:val="21"/>
                <w:szCs w:val="21"/>
                <w:highlight w:val="none"/>
              </w:rPr>
            </w:pPr>
            <w:r>
              <w:rPr>
                <w:color w:val="auto"/>
                <w:spacing w:val="-3"/>
                <w:sz w:val="21"/>
                <w:szCs w:val="21"/>
                <w:highlight w:val="none"/>
              </w:rPr>
              <w:t>文件解释权</w:t>
            </w:r>
          </w:p>
        </w:tc>
        <w:tc>
          <w:tcPr>
            <w:tcW w:w="7462" w:type="dxa"/>
            <w:vAlign w:val="top"/>
          </w:tcPr>
          <w:p w14:paraId="1CEF19AF">
            <w:pPr>
              <w:pStyle w:val="16"/>
              <w:keepNext w:val="0"/>
              <w:keepLines w:val="0"/>
              <w:pageBreakBefore w:val="0"/>
              <w:widowControl/>
              <w:kinsoku w:val="0"/>
              <w:wordWrap/>
              <w:overflowPunct/>
              <w:topLinePunct w:val="0"/>
              <w:autoSpaceDE w:val="0"/>
              <w:autoSpaceDN w:val="0"/>
              <w:bidi w:val="0"/>
              <w:adjustRightInd w:val="0"/>
              <w:snapToGrid w:val="0"/>
              <w:spacing w:before="254" w:line="360" w:lineRule="exact"/>
              <w:ind w:left="115" w:leftChars="0"/>
              <w:textAlignment w:val="baseline"/>
              <w:rPr>
                <w:color w:val="auto"/>
                <w:spacing w:val="-2"/>
                <w:sz w:val="21"/>
                <w:szCs w:val="21"/>
                <w:highlight w:val="none"/>
              </w:rPr>
            </w:pPr>
            <w:r>
              <w:rPr>
                <w:color w:val="auto"/>
                <w:spacing w:val="-2"/>
                <w:sz w:val="21"/>
                <w:szCs w:val="21"/>
                <w:highlight w:val="none"/>
              </w:rPr>
              <w:t>本招标文件的解释权归</w:t>
            </w:r>
            <w:r>
              <w:rPr>
                <w:rFonts w:hint="eastAsia"/>
                <w:color w:val="auto"/>
                <w:spacing w:val="-2"/>
                <w:sz w:val="21"/>
                <w:szCs w:val="21"/>
                <w:highlight w:val="none"/>
                <w:lang w:eastAsia="zh-CN"/>
              </w:rPr>
              <w:t>伊犁哈萨克自治州纤维检验所</w:t>
            </w:r>
            <w:r>
              <w:rPr>
                <w:color w:val="auto"/>
                <w:spacing w:val="-2"/>
                <w:sz w:val="21"/>
                <w:szCs w:val="21"/>
                <w:highlight w:val="none"/>
              </w:rPr>
              <w:t>。</w:t>
            </w:r>
          </w:p>
        </w:tc>
      </w:tr>
    </w:tbl>
    <w:p w14:paraId="2530958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hAnsi="Arial" w:eastAsia="Arial" w:cs="Arial"/>
          <w:color w:val="auto"/>
          <w:sz w:val="21"/>
          <w:szCs w:val="21"/>
          <w:highlight w:val="none"/>
        </w:rPr>
        <w:sectPr>
          <w:footerReference r:id="rId8" w:type="default"/>
          <w:pgSz w:w="11905" w:h="16839"/>
          <w:pgMar w:top="400" w:right="862" w:bottom="1250" w:left="862" w:header="0" w:footer="1090" w:gutter="0"/>
          <w:pgNumType w:fmt="numberInDash"/>
          <w:cols w:space="720" w:num="1"/>
        </w:sectPr>
      </w:pPr>
    </w:p>
    <w:p w14:paraId="09369C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z w:val="28"/>
          <w:szCs w:val="28"/>
          <w:highlight w:val="none"/>
        </w:rPr>
      </w:pPr>
      <w:r>
        <w:rPr>
          <w:b/>
          <w:bCs/>
          <w:color w:val="auto"/>
          <w:spacing w:val="-4"/>
          <w:sz w:val="28"/>
          <w:szCs w:val="28"/>
          <w:highlight w:val="none"/>
        </w:rPr>
        <w:t>二、投标人须知</w:t>
      </w:r>
    </w:p>
    <w:p w14:paraId="5091786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11"/>
          <w:sz w:val="28"/>
          <w:szCs w:val="28"/>
          <w:highlight w:val="none"/>
        </w:rPr>
        <w:t>（一）总</w:t>
      </w:r>
      <w:r>
        <w:rPr>
          <w:b/>
          <w:bCs/>
          <w:color w:val="auto"/>
          <w:spacing w:val="1"/>
          <w:sz w:val="28"/>
          <w:szCs w:val="28"/>
          <w:highlight w:val="none"/>
        </w:rPr>
        <w:t xml:space="preserve">    </w:t>
      </w:r>
      <w:r>
        <w:rPr>
          <w:b/>
          <w:bCs/>
          <w:color w:val="auto"/>
          <w:spacing w:val="-11"/>
          <w:sz w:val="28"/>
          <w:szCs w:val="28"/>
          <w:highlight w:val="none"/>
        </w:rPr>
        <w:t>则</w:t>
      </w:r>
    </w:p>
    <w:p w14:paraId="7D20A43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w:t>
      </w:r>
      <w:r>
        <w:rPr>
          <w:b/>
          <w:bCs/>
          <w:color w:val="auto"/>
          <w:spacing w:val="66"/>
          <w:w w:val="101"/>
          <w:sz w:val="24"/>
          <w:szCs w:val="24"/>
          <w:highlight w:val="none"/>
        </w:rPr>
        <w:t xml:space="preserve"> </w:t>
      </w:r>
      <w:r>
        <w:rPr>
          <w:b/>
          <w:bCs/>
          <w:color w:val="auto"/>
          <w:spacing w:val="-3"/>
          <w:sz w:val="24"/>
          <w:szCs w:val="24"/>
          <w:highlight w:val="none"/>
        </w:rPr>
        <w:t>项目概况</w:t>
      </w:r>
    </w:p>
    <w:p w14:paraId="7291C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1.1 本次招标采购</w:t>
      </w:r>
    </w:p>
    <w:p w14:paraId="5B43D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2"/>
          <w:sz w:val="24"/>
          <w:szCs w:val="24"/>
          <w:highlight w:val="none"/>
          <w:lang w:eastAsia="zh-CN"/>
        </w:rPr>
        <w:t>伊犁哈萨克自治州纤维检验所2025年棉花公证检验设备配件及空调辅助设备维护服务项目</w:t>
      </w:r>
      <w:r>
        <w:rPr>
          <w:rFonts w:ascii="新宋体" w:hAnsi="新宋体" w:eastAsia="新宋体" w:cs="新宋体"/>
          <w:color w:val="auto"/>
          <w:spacing w:val="-2"/>
          <w:sz w:val="24"/>
          <w:szCs w:val="24"/>
          <w:highlight w:val="none"/>
        </w:rPr>
        <w:t xml:space="preserve"> </w:t>
      </w:r>
    </w:p>
    <w:p w14:paraId="5C60B4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color w:val="auto"/>
          <w:spacing w:val="-1"/>
          <w:sz w:val="21"/>
          <w:szCs w:val="21"/>
          <w:highlight w:val="none"/>
          <w:lang w:val="en-US" w:eastAsia="zh-CN"/>
        </w:rPr>
        <w:t>MHGZJC-2025-001</w:t>
      </w:r>
    </w:p>
    <w:p w14:paraId="55C7C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招标单位：</w:t>
      </w:r>
      <w:r>
        <w:rPr>
          <w:rFonts w:hint="eastAsia" w:ascii="新宋体" w:hAnsi="新宋体" w:eastAsia="新宋体" w:cs="新宋体"/>
          <w:color w:val="auto"/>
          <w:spacing w:val="-2"/>
          <w:sz w:val="24"/>
          <w:szCs w:val="24"/>
          <w:highlight w:val="none"/>
          <w:lang w:eastAsia="zh-CN"/>
        </w:rPr>
        <w:t>伊犁哈萨克自治州纤维检验所</w:t>
      </w:r>
    </w:p>
    <w:p w14:paraId="7B4B1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合同履行期限</w:t>
      </w:r>
      <w:r>
        <w:rPr>
          <w:rFonts w:hint="eastAsia" w:ascii="新宋体" w:hAnsi="新宋体" w:eastAsia="新宋体" w:cs="新宋体"/>
          <w:color w:val="auto"/>
          <w:spacing w:val="-2"/>
          <w:sz w:val="24"/>
          <w:szCs w:val="24"/>
          <w:highlight w:val="none"/>
          <w:lang w:eastAsia="zh-CN"/>
        </w:rPr>
        <w:t>：</w:t>
      </w:r>
    </w:p>
    <w:p w14:paraId="12A251F4">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ascii="新宋体" w:hAnsi="新宋体" w:eastAsia="新宋体" w:cs="新宋体"/>
          <w:snapToGrid w:val="0"/>
          <w:color w:val="auto"/>
          <w:spacing w:val="-2"/>
          <w:kern w:val="0"/>
          <w:sz w:val="24"/>
          <w:szCs w:val="24"/>
          <w:highlight w:val="none"/>
          <w:lang w:val="en-US" w:eastAsia="en-US" w:bidi="ar-SA"/>
        </w:rPr>
      </w:pPr>
      <w:r>
        <w:rPr>
          <w:rFonts w:hint="eastAsia" w:ascii="新宋体" w:hAnsi="新宋体" w:eastAsia="新宋体" w:cs="新宋体"/>
          <w:snapToGrid w:val="0"/>
          <w:color w:val="auto"/>
          <w:spacing w:val="-2"/>
          <w:kern w:val="0"/>
          <w:sz w:val="24"/>
          <w:szCs w:val="24"/>
          <w:highlight w:val="none"/>
          <w:lang w:val="en-US" w:eastAsia="en-US" w:bidi="ar-SA"/>
        </w:rPr>
        <w:t>①实验室辅助设备维护保养部分服务期限：365日历日（自合同签订之日起计）。</w:t>
      </w:r>
    </w:p>
    <w:p w14:paraId="64DE7A6C">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ascii="新宋体" w:hAnsi="新宋体" w:eastAsia="新宋体" w:cs="新宋体"/>
          <w:snapToGrid w:val="0"/>
          <w:color w:val="auto"/>
          <w:spacing w:val="-2"/>
          <w:kern w:val="0"/>
          <w:sz w:val="24"/>
          <w:szCs w:val="24"/>
          <w:highlight w:val="none"/>
          <w:lang w:val="en-US" w:eastAsia="zh-CN" w:bidi="ar-SA"/>
        </w:rPr>
      </w:pPr>
      <w:r>
        <w:rPr>
          <w:rFonts w:hint="eastAsia" w:ascii="新宋体" w:hAnsi="新宋体" w:eastAsia="新宋体" w:cs="新宋体"/>
          <w:snapToGrid w:val="0"/>
          <w:color w:val="auto"/>
          <w:spacing w:val="-2"/>
          <w:kern w:val="0"/>
          <w:sz w:val="24"/>
          <w:szCs w:val="24"/>
          <w:highlight w:val="none"/>
          <w:lang w:val="en-US" w:eastAsia="en-US" w:bidi="ar-SA"/>
        </w:rPr>
        <w:t>②实验室检验设备的配件、升级保养：实验室检验设备配件到位时间90日（自合同签订之日起计）；升级保养于60日内完成（自合同签订之日起计）</w:t>
      </w:r>
      <w:r>
        <w:rPr>
          <w:rFonts w:hint="eastAsia" w:ascii="新宋体" w:hAnsi="新宋体" w:eastAsia="新宋体" w:cs="新宋体"/>
          <w:snapToGrid w:val="0"/>
          <w:color w:val="auto"/>
          <w:spacing w:val="-2"/>
          <w:kern w:val="0"/>
          <w:sz w:val="24"/>
          <w:szCs w:val="24"/>
          <w:highlight w:val="none"/>
          <w:lang w:val="en-US" w:eastAsia="zh-CN" w:bidi="ar-SA"/>
        </w:rPr>
        <w:t>。</w:t>
      </w:r>
    </w:p>
    <w:p w14:paraId="4297D7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snapToGrid w:val="0"/>
          <w:color w:val="auto"/>
          <w:spacing w:val="-2"/>
          <w:kern w:val="0"/>
          <w:sz w:val="24"/>
          <w:szCs w:val="24"/>
          <w:highlight w:val="none"/>
          <w:lang w:val="en-US" w:eastAsia="en-US" w:bidi="ar-SA"/>
        </w:rPr>
      </w:pPr>
      <w:r>
        <w:rPr>
          <w:rFonts w:hint="eastAsia" w:ascii="新宋体" w:hAnsi="新宋体" w:eastAsia="新宋体" w:cs="新宋体"/>
          <w:snapToGrid w:val="0"/>
          <w:color w:val="auto"/>
          <w:spacing w:val="-2"/>
          <w:kern w:val="0"/>
          <w:sz w:val="24"/>
          <w:szCs w:val="24"/>
          <w:highlight w:val="none"/>
          <w:lang w:val="en-US" w:eastAsia="en-US" w:bidi="ar-SA"/>
        </w:rPr>
        <w:t>③HVI1000型棉花大容量快速测试仪的维护大保养服务的服务期限：2025年9月前完成</w:t>
      </w:r>
      <w:r>
        <w:rPr>
          <w:rFonts w:hint="eastAsia" w:ascii="新宋体" w:hAnsi="新宋体" w:eastAsia="新宋体" w:cs="新宋体"/>
          <w:snapToGrid w:val="0"/>
          <w:color w:val="auto"/>
          <w:spacing w:val="-2"/>
          <w:kern w:val="0"/>
          <w:sz w:val="24"/>
          <w:szCs w:val="24"/>
          <w:highlight w:val="none"/>
          <w:lang w:val="en-US" w:eastAsia="zh-CN" w:bidi="ar-SA"/>
        </w:rPr>
        <w:t>；</w:t>
      </w:r>
      <w:r>
        <w:rPr>
          <w:rFonts w:hint="eastAsia" w:ascii="新宋体" w:hAnsi="新宋体" w:eastAsia="新宋体" w:cs="新宋体"/>
          <w:snapToGrid w:val="0"/>
          <w:color w:val="auto"/>
          <w:spacing w:val="-2"/>
          <w:kern w:val="0"/>
          <w:sz w:val="24"/>
          <w:szCs w:val="24"/>
          <w:highlight w:val="none"/>
          <w:lang w:val="en-US" w:eastAsia="en-US" w:bidi="ar-SA"/>
        </w:rPr>
        <w:t>准确性调整核查服务于60日内完成（自合同签订之日起计）。</w:t>
      </w:r>
    </w:p>
    <w:p w14:paraId="6C4B5D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项目地点：</w:t>
      </w:r>
      <w:r>
        <w:rPr>
          <w:rFonts w:hint="eastAsia" w:ascii="新宋体" w:hAnsi="新宋体" w:eastAsia="新宋体" w:cs="新宋体"/>
          <w:color w:val="auto"/>
          <w:spacing w:val="-2"/>
          <w:sz w:val="24"/>
          <w:szCs w:val="24"/>
          <w:highlight w:val="none"/>
          <w:lang w:val="en-US" w:eastAsia="zh-CN"/>
        </w:rPr>
        <w:t>奎屯市和伊宁市两地</w:t>
      </w:r>
    </w:p>
    <w:p w14:paraId="56D3B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 xml:space="preserve">1.2 招标单位联系人：曲志勇          联系电话：18009991686 </w:t>
      </w:r>
    </w:p>
    <w:p w14:paraId="0ADA8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代理机构：</w:t>
      </w:r>
      <w:r>
        <w:rPr>
          <w:rFonts w:hint="eastAsia" w:ascii="新宋体" w:hAnsi="新宋体" w:eastAsia="新宋体" w:cs="新宋体"/>
          <w:color w:val="auto"/>
          <w:spacing w:val="-2"/>
          <w:sz w:val="24"/>
          <w:szCs w:val="24"/>
          <w:highlight w:val="none"/>
          <w:lang w:eastAsia="zh-CN"/>
        </w:rPr>
        <w:t>乌鲁木齐鑫盛开源工程项目管理有限公司</w:t>
      </w:r>
    </w:p>
    <w:p w14:paraId="19B12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联系人：</w:t>
      </w:r>
      <w:r>
        <w:rPr>
          <w:rFonts w:hint="eastAsia" w:ascii="新宋体" w:hAnsi="新宋体" w:eastAsia="新宋体" w:cs="新宋体"/>
          <w:color w:val="auto"/>
          <w:spacing w:val="-2"/>
          <w:sz w:val="24"/>
          <w:szCs w:val="24"/>
          <w:highlight w:val="none"/>
          <w:lang w:eastAsia="zh-CN"/>
        </w:rPr>
        <w:t>蔡琰</w:t>
      </w:r>
      <w:r>
        <w:rPr>
          <w:rFonts w:ascii="新宋体" w:hAnsi="新宋体" w:eastAsia="新宋体" w:cs="新宋体"/>
          <w:color w:val="auto"/>
          <w:spacing w:val="-2"/>
          <w:sz w:val="24"/>
          <w:szCs w:val="24"/>
          <w:highlight w:val="none"/>
        </w:rPr>
        <w:t xml:space="preserve">                      联系电话：</w:t>
      </w:r>
      <w:r>
        <w:rPr>
          <w:rFonts w:hint="eastAsia" w:ascii="新宋体" w:hAnsi="新宋体" w:eastAsia="新宋体" w:cs="新宋体"/>
          <w:color w:val="auto"/>
          <w:spacing w:val="-2"/>
          <w:sz w:val="24"/>
          <w:szCs w:val="24"/>
          <w:highlight w:val="none"/>
          <w:lang w:eastAsia="zh-CN"/>
        </w:rPr>
        <w:t>13679942122</w:t>
      </w:r>
    </w:p>
    <w:p w14:paraId="2A29D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eastAsia="zh-CN"/>
        </w:rPr>
        <w:t>1.3 资金来源：</w:t>
      </w:r>
      <w:r>
        <w:rPr>
          <w:rFonts w:hint="eastAsia" w:ascii="新宋体" w:hAnsi="新宋体" w:eastAsia="新宋体" w:cs="新宋体"/>
          <w:color w:val="auto"/>
          <w:spacing w:val="-2"/>
          <w:sz w:val="24"/>
          <w:szCs w:val="24"/>
          <w:highlight w:val="none"/>
          <w:lang w:val="en-US" w:eastAsia="zh-CN"/>
        </w:rPr>
        <w:t>2025年度纤维公证检验经费</w:t>
      </w:r>
    </w:p>
    <w:p w14:paraId="6FC981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val="en-US" w:eastAsia="zh-CN"/>
        </w:rPr>
      </w:pPr>
      <w:r>
        <w:rPr>
          <w:rFonts w:hint="eastAsia" w:ascii="新宋体" w:hAnsi="新宋体" w:eastAsia="新宋体" w:cs="新宋体"/>
          <w:color w:val="auto"/>
          <w:spacing w:val="-2"/>
          <w:sz w:val="24"/>
          <w:szCs w:val="24"/>
          <w:highlight w:val="none"/>
          <w:lang w:eastAsia="zh-CN"/>
        </w:rPr>
        <w:t>1.4 本项目预算：</w:t>
      </w:r>
      <w:r>
        <w:rPr>
          <w:rFonts w:hint="eastAsia" w:ascii="新宋体" w:hAnsi="新宋体" w:eastAsia="新宋体" w:cs="新宋体"/>
          <w:color w:val="auto"/>
          <w:spacing w:val="-2"/>
          <w:sz w:val="24"/>
          <w:szCs w:val="24"/>
          <w:highlight w:val="none"/>
          <w:lang w:val="en-US" w:eastAsia="zh-CN"/>
        </w:rPr>
        <w:t>最高投标限价：397万元，大写：叁佰玖拾柒万元整；</w:t>
      </w:r>
    </w:p>
    <w:p w14:paraId="0EEA1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val="en-US" w:eastAsia="zh-CN"/>
        </w:rPr>
        <w:t>（其中：①实验室辅助设备维护保养部分：294万元；②实验室检验设备的配件、升级保养：66万元；③HVI1000型棉花大容量快速测试仪的维护大保养服务（颜色头准确性核查服务）：31万元）。</w:t>
      </w:r>
      <w:r>
        <w:rPr>
          <w:rFonts w:hint="eastAsia" w:ascii="新宋体" w:hAnsi="新宋体" w:eastAsia="新宋体" w:cs="新宋体"/>
          <w:color w:val="auto"/>
          <w:spacing w:val="-2"/>
          <w:sz w:val="24"/>
          <w:szCs w:val="24"/>
          <w:highlight w:val="none"/>
          <w:lang w:eastAsia="zh-CN"/>
        </w:rPr>
        <w:t>投标人报价不得高于预算价。</w:t>
      </w:r>
    </w:p>
    <w:p w14:paraId="0B4648C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2.</w:t>
      </w:r>
      <w:r>
        <w:rPr>
          <w:b/>
          <w:bCs/>
          <w:color w:val="auto"/>
          <w:spacing w:val="63"/>
          <w:sz w:val="24"/>
          <w:szCs w:val="24"/>
          <w:highlight w:val="none"/>
        </w:rPr>
        <w:t xml:space="preserve"> </w:t>
      </w:r>
      <w:r>
        <w:rPr>
          <w:b/>
          <w:bCs/>
          <w:color w:val="auto"/>
          <w:sz w:val="24"/>
          <w:szCs w:val="24"/>
          <w:highlight w:val="none"/>
        </w:rPr>
        <w:t>招标范围</w:t>
      </w:r>
    </w:p>
    <w:p w14:paraId="671A276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新宋体" w:hAnsi="新宋体" w:eastAsia="新宋体" w:cs="新宋体"/>
          <w:color w:val="auto"/>
          <w:spacing w:val="-3"/>
          <w:sz w:val="24"/>
          <w:szCs w:val="24"/>
          <w:highlight w:val="none"/>
          <w:lang w:eastAsia="zh-CN"/>
        </w:rPr>
      </w:pPr>
      <w:r>
        <w:rPr>
          <w:rFonts w:ascii="新宋体" w:hAnsi="新宋体" w:eastAsia="新宋体" w:cs="新宋体"/>
          <w:color w:val="auto"/>
          <w:spacing w:val="-2"/>
          <w:sz w:val="24"/>
          <w:szCs w:val="24"/>
          <w:highlight w:val="none"/>
        </w:rPr>
        <w:t>2.1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采购内容：</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p>
    <w:p w14:paraId="6FD9A22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a）实验室辅助设备的维护保养；</w:t>
      </w:r>
    </w:p>
    <w:p w14:paraId="0BE149B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b）实验室检验设备的配件、升级保养；</w:t>
      </w:r>
    </w:p>
    <w:p w14:paraId="0133C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c）HVI1000型棉花大容量快速测试仪的维护大保养服务</w:t>
      </w:r>
      <w:r>
        <w:rPr>
          <w:rFonts w:hint="eastAsia"/>
          <w:b w:val="0"/>
          <w:bCs w:val="0"/>
          <w:color w:val="auto"/>
          <w:sz w:val="18"/>
          <w:szCs w:val="18"/>
          <w:highlight w:val="none"/>
          <w:lang w:val="en-US" w:eastAsia="zh-CN"/>
        </w:rPr>
        <w:t>（颜色头准确性核查服务）</w:t>
      </w:r>
      <w:r>
        <w:rPr>
          <w:rFonts w:hint="eastAsia" w:ascii="新宋体" w:hAnsi="新宋体" w:eastAsia="新宋体" w:cs="新宋体"/>
          <w:color w:val="auto"/>
          <w:spacing w:val="-3"/>
          <w:sz w:val="24"/>
          <w:szCs w:val="24"/>
          <w:highlight w:val="none"/>
          <w:lang w:val="en-US" w:eastAsia="zh-CN"/>
        </w:rPr>
        <w:t>；</w:t>
      </w:r>
    </w:p>
    <w:p w14:paraId="6EB41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52" w:firstLineChars="7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37A88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2"/>
          <w:sz w:val="24"/>
          <w:szCs w:val="24"/>
          <w:highlight w:val="none"/>
        </w:rPr>
        <w:t>技术要求：详见招标文件第四章采购清单及</w:t>
      </w:r>
      <w:r>
        <w:rPr>
          <w:rFonts w:ascii="新宋体" w:hAnsi="新宋体" w:eastAsia="新宋体" w:cs="新宋体"/>
          <w:color w:val="auto"/>
          <w:spacing w:val="-3"/>
          <w:sz w:val="24"/>
          <w:szCs w:val="24"/>
          <w:highlight w:val="none"/>
        </w:rPr>
        <w:t>技术参数。</w:t>
      </w:r>
    </w:p>
    <w:p w14:paraId="511906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3.</w:t>
      </w:r>
      <w:r>
        <w:rPr>
          <w:b/>
          <w:bCs/>
          <w:color w:val="auto"/>
          <w:spacing w:val="66"/>
          <w:w w:val="101"/>
          <w:sz w:val="24"/>
          <w:szCs w:val="24"/>
          <w:highlight w:val="none"/>
        </w:rPr>
        <w:t xml:space="preserve"> </w:t>
      </w:r>
      <w:r>
        <w:rPr>
          <w:b/>
          <w:bCs/>
          <w:color w:val="auto"/>
          <w:spacing w:val="-7"/>
          <w:sz w:val="24"/>
          <w:szCs w:val="24"/>
          <w:highlight w:val="none"/>
        </w:rPr>
        <w:t>标段划分：</w:t>
      </w:r>
    </w:p>
    <w:p w14:paraId="3199B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4"/>
          <w:sz w:val="24"/>
          <w:szCs w:val="24"/>
          <w:highlight w:val="none"/>
        </w:rPr>
        <w:t>本项目划分：1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4"/>
          <w:sz w:val="24"/>
          <w:szCs w:val="24"/>
          <w:highlight w:val="none"/>
        </w:rPr>
        <w:t>个标段</w:t>
      </w:r>
    </w:p>
    <w:p w14:paraId="5BC302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4.</w:t>
      </w:r>
      <w:r>
        <w:rPr>
          <w:b/>
          <w:bCs/>
          <w:color w:val="auto"/>
          <w:spacing w:val="65"/>
          <w:w w:val="101"/>
          <w:sz w:val="24"/>
          <w:szCs w:val="24"/>
          <w:highlight w:val="none"/>
        </w:rPr>
        <w:t xml:space="preserve"> </w:t>
      </w:r>
      <w:r>
        <w:rPr>
          <w:b/>
          <w:bCs/>
          <w:color w:val="auto"/>
          <w:spacing w:val="-6"/>
          <w:sz w:val="24"/>
          <w:szCs w:val="24"/>
          <w:highlight w:val="none"/>
        </w:rPr>
        <w:t>招标方式：</w:t>
      </w:r>
    </w:p>
    <w:p w14:paraId="644EC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本项目招标方式：公开招标。</w:t>
      </w:r>
    </w:p>
    <w:p w14:paraId="1EDAC1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5.</w:t>
      </w:r>
      <w:r>
        <w:rPr>
          <w:b/>
          <w:bCs/>
          <w:color w:val="auto"/>
          <w:spacing w:val="67"/>
          <w:sz w:val="24"/>
          <w:szCs w:val="24"/>
          <w:highlight w:val="none"/>
        </w:rPr>
        <w:t xml:space="preserve"> </w:t>
      </w:r>
      <w:r>
        <w:rPr>
          <w:b/>
          <w:bCs/>
          <w:color w:val="auto"/>
          <w:spacing w:val="-7"/>
          <w:sz w:val="24"/>
          <w:szCs w:val="24"/>
          <w:highlight w:val="none"/>
        </w:rPr>
        <w:t>计价方式：</w:t>
      </w:r>
    </w:p>
    <w:p w14:paraId="2CAA6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本次招标项目合同采用</w:t>
      </w:r>
      <w:r>
        <w:rPr>
          <w:rFonts w:ascii="新宋体" w:hAnsi="新宋体" w:eastAsia="新宋体" w:cs="新宋体"/>
          <w:color w:val="auto"/>
          <w:spacing w:val="-2"/>
          <w:sz w:val="24"/>
          <w:szCs w:val="24"/>
          <w:highlight w:val="none"/>
          <w:u w:val="single" w:color="auto"/>
        </w:rPr>
        <w:t xml:space="preserve">  </w:t>
      </w:r>
      <w:r>
        <w:rPr>
          <w:rFonts w:hint="eastAsia" w:ascii="新宋体" w:hAnsi="新宋体" w:eastAsia="新宋体" w:cs="新宋体"/>
          <w:color w:val="auto"/>
          <w:spacing w:val="-2"/>
          <w:sz w:val="24"/>
          <w:szCs w:val="24"/>
          <w:highlight w:val="none"/>
          <w:u w:val="single" w:color="auto"/>
          <w:lang w:val="en-US" w:eastAsia="zh-CN"/>
        </w:rPr>
        <w:t>固定总价合同</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8B76E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6.</w:t>
      </w:r>
      <w:r>
        <w:rPr>
          <w:b/>
          <w:bCs/>
          <w:color w:val="auto"/>
          <w:spacing w:val="70"/>
          <w:sz w:val="24"/>
          <w:szCs w:val="24"/>
          <w:highlight w:val="none"/>
        </w:rPr>
        <w:t xml:space="preserve"> </w:t>
      </w:r>
      <w:r>
        <w:rPr>
          <w:b/>
          <w:bCs/>
          <w:color w:val="auto"/>
          <w:spacing w:val="-7"/>
          <w:sz w:val="24"/>
          <w:szCs w:val="24"/>
          <w:highlight w:val="none"/>
        </w:rPr>
        <w:t>评标办法：</w:t>
      </w:r>
    </w:p>
    <w:p w14:paraId="06CB4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6.1</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2"/>
          <w:sz w:val="24"/>
          <w:szCs w:val="24"/>
          <w:highlight w:val="none"/>
        </w:rPr>
        <w:t>本次招标评标采用</w:t>
      </w:r>
      <w:r>
        <w:rPr>
          <w:rFonts w:ascii="新宋体" w:hAnsi="新宋体" w:eastAsia="新宋体" w:cs="新宋体"/>
          <w:color w:val="auto"/>
          <w:spacing w:val="-2"/>
          <w:sz w:val="24"/>
          <w:szCs w:val="24"/>
          <w:highlight w:val="none"/>
          <w:u w:val="single" w:color="auto"/>
        </w:rPr>
        <w:t xml:space="preserve">  综合评分法 </w:t>
      </w:r>
      <w:r>
        <w:rPr>
          <w:rFonts w:ascii="新宋体" w:hAnsi="新宋体" w:eastAsia="新宋体" w:cs="新宋体"/>
          <w:color w:val="auto"/>
          <w:spacing w:val="-2"/>
          <w:sz w:val="24"/>
          <w:szCs w:val="24"/>
          <w:highlight w:val="none"/>
        </w:rPr>
        <w:t>（详见第三章评标办法）</w:t>
      </w:r>
    </w:p>
    <w:p w14:paraId="1E10641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7.</w:t>
      </w:r>
      <w:r>
        <w:rPr>
          <w:b/>
          <w:bCs/>
          <w:color w:val="auto"/>
          <w:spacing w:val="63"/>
          <w:sz w:val="24"/>
          <w:szCs w:val="24"/>
          <w:highlight w:val="none"/>
        </w:rPr>
        <w:t xml:space="preserve"> </w:t>
      </w:r>
      <w:r>
        <w:rPr>
          <w:b/>
          <w:bCs/>
          <w:color w:val="auto"/>
          <w:spacing w:val="-6"/>
          <w:sz w:val="24"/>
          <w:szCs w:val="24"/>
          <w:highlight w:val="none"/>
        </w:rPr>
        <w:t>投标人资格：</w:t>
      </w:r>
    </w:p>
    <w:p w14:paraId="29D45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7.1 见投标人须知前附表</w:t>
      </w:r>
    </w:p>
    <w:p w14:paraId="536FB2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8.</w:t>
      </w:r>
      <w:r>
        <w:rPr>
          <w:b/>
          <w:bCs/>
          <w:color w:val="auto"/>
          <w:spacing w:val="65"/>
          <w:sz w:val="24"/>
          <w:szCs w:val="24"/>
          <w:highlight w:val="none"/>
        </w:rPr>
        <w:t xml:space="preserve"> </w:t>
      </w:r>
      <w:r>
        <w:rPr>
          <w:b/>
          <w:bCs/>
          <w:color w:val="auto"/>
          <w:sz w:val="24"/>
          <w:szCs w:val="24"/>
          <w:highlight w:val="none"/>
        </w:rPr>
        <w:t>投标费用</w:t>
      </w:r>
    </w:p>
    <w:p w14:paraId="3A191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3"/>
          <w:sz w:val="24"/>
          <w:szCs w:val="24"/>
          <w:highlight w:val="none"/>
        </w:rPr>
        <w:t>投标人准备和参加投标活动发生的费用自理。</w:t>
      </w:r>
    </w:p>
    <w:p w14:paraId="14C0AC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9.</w:t>
      </w:r>
      <w:r>
        <w:rPr>
          <w:b/>
          <w:bCs/>
          <w:color w:val="auto"/>
          <w:spacing w:val="66"/>
          <w:sz w:val="24"/>
          <w:szCs w:val="24"/>
          <w:highlight w:val="none"/>
        </w:rPr>
        <w:t xml:space="preserve"> </w:t>
      </w:r>
      <w:r>
        <w:rPr>
          <w:b/>
          <w:bCs/>
          <w:color w:val="auto"/>
          <w:sz w:val="24"/>
          <w:szCs w:val="24"/>
          <w:highlight w:val="none"/>
        </w:rPr>
        <w:t>踏勘现场</w:t>
      </w:r>
    </w:p>
    <w:p w14:paraId="3D6EA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投标人须知前附表规定组织踏勘现场的，招标人按</w:t>
      </w:r>
      <w:r>
        <w:rPr>
          <w:rFonts w:ascii="新宋体" w:hAnsi="新宋体" w:eastAsia="新宋体" w:cs="新宋体"/>
          <w:color w:val="auto"/>
          <w:spacing w:val="-2"/>
          <w:sz w:val="24"/>
          <w:szCs w:val="24"/>
          <w:highlight w:val="none"/>
        </w:rPr>
        <w:t>投标人须知前附表规定的时间、地</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点组织投标人踏勘项目现场。</w:t>
      </w:r>
    </w:p>
    <w:p w14:paraId="0208F8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投标人踏勘现场发生的费用自理。</w:t>
      </w:r>
    </w:p>
    <w:p w14:paraId="2DFD14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9.3</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2"/>
          <w:sz w:val="24"/>
          <w:szCs w:val="24"/>
          <w:highlight w:val="none"/>
        </w:rPr>
        <w:t>除招标人的原因外，投标人自行负责在踏勘现场中所发生的人员伤亡和财产损失。</w:t>
      </w:r>
    </w:p>
    <w:p w14:paraId="0494BC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招标人在踏勘现场中介绍的场地和相关的周边环境</w:t>
      </w:r>
      <w:r>
        <w:rPr>
          <w:rFonts w:ascii="新宋体" w:hAnsi="新宋体" w:eastAsia="新宋体" w:cs="新宋体"/>
          <w:color w:val="auto"/>
          <w:spacing w:val="-2"/>
          <w:sz w:val="24"/>
          <w:szCs w:val="24"/>
          <w:highlight w:val="none"/>
        </w:rPr>
        <w:t>情况，供投标人在编制投标文件时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参考，招标人不对投标人据此作出的判断和决策</w:t>
      </w:r>
      <w:r>
        <w:rPr>
          <w:rFonts w:ascii="新宋体" w:hAnsi="新宋体" w:eastAsia="新宋体" w:cs="新宋体"/>
          <w:color w:val="auto"/>
          <w:spacing w:val="-3"/>
          <w:sz w:val="24"/>
          <w:szCs w:val="24"/>
          <w:highlight w:val="none"/>
        </w:rPr>
        <w:t>负责。</w:t>
      </w:r>
    </w:p>
    <w:p w14:paraId="4D62706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10.</w:t>
      </w:r>
      <w:r>
        <w:rPr>
          <w:b/>
          <w:bCs/>
          <w:color w:val="auto"/>
          <w:spacing w:val="67"/>
          <w:w w:val="101"/>
          <w:sz w:val="24"/>
          <w:szCs w:val="24"/>
          <w:highlight w:val="none"/>
        </w:rPr>
        <w:t xml:space="preserve"> </w:t>
      </w:r>
      <w:r>
        <w:rPr>
          <w:b/>
          <w:bCs/>
          <w:color w:val="auto"/>
          <w:spacing w:val="-6"/>
          <w:sz w:val="24"/>
          <w:szCs w:val="24"/>
          <w:highlight w:val="none"/>
        </w:rPr>
        <w:t>投标预备会</w:t>
      </w:r>
    </w:p>
    <w:p w14:paraId="4CA73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投标人须知前附表规定召开投标预备会的，招标人按投标人须知前附表规定的时间</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和地点召开投标预备会，澄清投标人提出的</w:t>
      </w:r>
      <w:r>
        <w:rPr>
          <w:rFonts w:ascii="新宋体" w:hAnsi="新宋体" w:eastAsia="新宋体" w:cs="新宋体"/>
          <w:color w:val="auto"/>
          <w:spacing w:val="-3"/>
          <w:sz w:val="24"/>
          <w:szCs w:val="24"/>
          <w:highlight w:val="none"/>
        </w:rPr>
        <w:t>问题。</w:t>
      </w:r>
    </w:p>
    <w:p w14:paraId="6DF12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投标人应在投标人须知前附表规定的时间前，将提出的问题送达招标人，以便招标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人澄清。</w:t>
      </w:r>
    </w:p>
    <w:p w14:paraId="2284F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10.3</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招标人在投标人须知前附表规定的时间，将对投标人所提的问题进行澄清。该澄清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内容为招标文件的组成部分。</w:t>
      </w:r>
    </w:p>
    <w:p w14:paraId="319E14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11.</w:t>
      </w:r>
      <w:r>
        <w:rPr>
          <w:b/>
          <w:bCs/>
          <w:color w:val="auto"/>
          <w:spacing w:val="67"/>
          <w:sz w:val="24"/>
          <w:szCs w:val="24"/>
          <w:highlight w:val="none"/>
        </w:rPr>
        <w:t xml:space="preserve"> </w:t>
      </w:r>
      <w:r>
        <w:rPr>
          <w:b/>
          <w:bCs/>
          <w:color w:val="auto"/>
          <w:spacing w:val="-4"/>
          <w:sz w:val="24"/>
          <w:szCs w:val="24"/>
          <w:highlight w:val="none"/>
        </w:rPr>
        <w:t>联合投标：本项目不接受联合体投标。</w:t>
      </w:r>
    </w:p>
    <w:p w14:paraId="7117EA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bookmarkStart w:id="10" w:name="bookmark5"/>
      <w:bookmarkEnd w:id="10"/>
      <w:r>
        <w:rPr>
          <w:b/>
          <w:bCs/>
          <w:color w:val="auto"/>
          <w:spacing w:val="-6"/>
          <w:sz w:val="24"/>
          <w:szCs w:val="24"/>
          <w:highlight w:val="none"/>
        </w:rPr>
        <w:t>12.</w:t>
      </w:r>
      <w:r>
        <w:rPr>
          <w:b/>
          <w:bCs/>
          <w:color w:val="auto"/>
          <w:spacing w:val="67"/>
          <w:w w:val="101"/>
          <w:sz w:val="24"/>
          <w:szCs w:val="24"/>
          <w:highlight w:val="none"/>
        </w:rPr>
        <w:t xml:space="preserve"> </w:t>
      </w:r>
      <w:r>
        <w:rPr>
          <w:b/>
          <w:bCs/>
          <w:color w:val="auto"/>
          <w:spacing w:val="-6"/>
          <w:sz w:val="24"/>
          <w:szCs w:val="24"/>
          <w:highlight w:val="none"/>
        </w:rPr>
        <w:t>招标代理费</w:t>
      </w:r>
    </w:p>
    <w:p w14:paraId="55D9B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5"/>
          <w:sz w:val="24"/>
          <w:szCs w:val="24"/>
          <w:highlight w:val="none"/>
        </w:rPr>
        <w:t>招标代理费由</w:t>
      </w:r>
      <w:r>
        <w:rPr>
          <w:rFonts w:hint="eastAsia" w:ascii="新宋体" w:hAnsi="新宋体" w:eastAsia="新宋体" w:cs="新宋体"/>
          <w:color w:val="auto"/>
          <w:spacing w:val="-5"/>
          <w:sz w:val="24"/>
          <w:szCs w:val="24"/>
          <w:highlight w:val="none"/>
          <w:lang w:val="en-US" w:eastAsia="zh-CN"/>
        </w:rPr>
        <w:t>成交人</w:t>
      </w:r>
      <w:r>
        <w:rPr>
          <w:rFonts w:ascii="新宋体" w:hAnsi="新宋体" w:eastAsia="新宋体" w:cs="新宋体"/>
          <w:color w:val="auto"/>
          <w:spacing w:val="-5"/>
          <w:sz w:val="24"/>
          <w:szCs w:val="24"/>
          <w:highlight w:val="none"/>
        </w:rPr>
        <w:t>支付。</w:t>
      </w:r>
    </w:p>
    <w:p w14:paraId="5E84F25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13.</w:t>
      </w:r>
      <w:r>
        <w:rPr>
          <w:b/>
          <w:bCs/>
          <w:color w:val="auto"/>
          <w:spacing w:val="66"/>
          <w:sz w:val="24"/>
          <w:szCs w:val="24"/>
          <w:highlight w:val="none"/>
        </w:rPr>
        <w:t xml:space="preserve"> </w:t>
      </w:r>
      <w:r>
        <w:rPr>
          <w:b/>
          <w:bCs/>
          <w:color w:val="auto"/>
          <w:spacing w:val="-4"/>
          <w:sz w:val="24"/>
          <w:szCs w:val="24"/>
          <w:highlight w:val="none"/>
        </w:rPr>
        <w:t>投标人应注意的事项</w:t>
      </w:r>
    </w:p>
    <w:p w14:paraId="5CF64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投标人一旦下载本招标文件并参加投标，即被认为接受了本招标文件中的所有条件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和规定。投标人必须严格按招标文件的要求编制投标文件， 投标文件宜编制页码和目录，以便</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8"/>
          <w:sz w:val="24"/>
          <w:szCs w:val="24"/>
          <w:highlight w:val="none"/>
        </w:rPr>
        <w:t>评委审核。</w:t>
      </w:r>
    </w:p>
    <w:p w14:paraId="232FF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投标人对采购内容中规定的技术参数、规格、数量和要求等最大限度的满足招标文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件的要求。</w:t>
      </w:r>
    </w:p>
    <w:p w14:paraId="19D92A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13.3</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z w:val="24"/>
          <w:szCs w:val="24"/>
          <w:highlight w:val="none"/>
        </w:rPr>
        <w:t>所有投标人的投标保证金都应在投标文件规定的投标保证金缴纳截止</w:t>
      </w:r>
      <w:r>
        <w:rPr>
          <w:rFonts w:ascii="新宋体" w:hAnsi="新宋体" w:eastAsia="新宋体" w:cs="新宋体"/>
          <w:color w:val="auto"/>
          <w:spacing w:val="-1"/>
          <w:sz w:val="24"/>
          <w:szCs w:val="24"/>
          <w:highlight w:val="none"/>
        </w:rPr>
        <w:t>日期前缴纳，</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以资金到账时间为准。</w:t>
      </w:r>
    </w:p>
    <w:p w14:paraId="28C74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13.4</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法定代表人为同一个人的两个及两个以上法人，母公司、全资子公司</w:t>
      </w:r>
      <w:r>
        <w:rPr>
          <w:rFonts w:ascii="新宋体" w:hAnsi="新宋体" w:eastAsia="新宋体" w:cs="新宋体"/>
          <w:color w:val="auto"/>
          <w:spacing w:val="-4"/>
          <w:sz w:val="24"/>
          <w:szCs w:val="24"/>
          <w:highlight w:val="none"/>
        </w:rPr>
        <w:t>及其控股公司，</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均不得同时参加本项目的投标。</w:t>
      </w:r>
    </w:p>
    <w:p w14:paraId="565D0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本招标文件不再对上述情况进行描述。</w:t>
      </w:r>
    </w:p>
    <w:p w14:paraId="769FD8D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新宋体" w:hAnsi="新宋体" w:eastAsia="新宋体" w:cs="新宋体"/>
          <w:color w:val="auto"/>
          <w:spacing w:val="-5"/>
          <w:sz w:val="24"/>
          <w:szCs w:val="24"/>
          <w:highlight w:val="none"/>
        </w:rPr>
        <w:t>14.</w:t>
      </w:r>
      <w:r>
        <w:rPr>
          <w:rFonts w:ascii="新宋体" w:hAnsi="新宋体" w:eastAsia="新宋体" w:cs="新宋体"/>
          <w:color w:val="auto"/>
          <w:spacing w:val="35"/>
          <w:sz w:val="24"/>
          <w:szCs w:val="24"/>
          <w:highlight w:val="none"/>
        </w:rPr>
        <w:t xml:space="preserve"> </w:t>
      </w:r>
      <w:r>
        <w:rPr>
          <w:b/>
          <w:bCs/>
          <w:color w:val="auto"/>
          <w:spacing w:val="-5"/>
          <w:sz w:val="24"/>
          <w:szCs w:val="24"/>
          <w:highlight w:val="none"/>
        </w:rPr>
        <w:t>需要补充的其它内容</w:t>
      </w:r>
    </w:p>
    <w:p w14:paraId="79A15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（1）本招标文件前后条款若有不一致之处，在澄清答疑时又未作出明确规定时，各投标</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2"/>
          <w:sz w:val="24"/>
          <w:szCs w:val="24"/>
          <w:highlight w:val="none"/>
        </w:rPr>
        <w:t>人的投标文件只要满足其中任一条款，均视为对本招标文件的响应。</w:t>
      </w:r>
    </w:p>
    <w:p w14:paraId="48AC5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（2）投标企业被行业行政主管部门或招投标综合监</w:t>
      </w:r>
      <w:r>
        <w:rPr>
          <w:rFonts w:ascii="新宋体" w:hAnsi="新宋体" w:eastAsia="新宋体" w:cs="新宋体"/>
          <w:color w:val="auto"/>
          <w:spacing w:val="-1"/>
          <w:sz w:val="24"/>
          <w:szCs w:val="24"/>
          <w:highlight w:val="none"/>
        </w:rPr>
        <w:t>督管理部门暂停投标资格且开标日在</w:t>
      </w:r>
      <w:r>
        <w:rPr>
          <w:rFonts w:ascii="新宋体" w:hAnsi="新宋体" w:eastAsia="新宋体" w:cs="新宋体"/>
          <w:color w:val="auto"/>
          <w:sz w:val="24"/>
          <w:szCs w:val="24"/>
          <w:highlight w:val="none"/>
        </w:rPr>
        <w:t xml:space="preserve"> 处罚期限内的，一律限制投标资格，不得参加本项目招投标活动，若中标取消中标资格。</w:t>
      </w:r>
    </w:p>
    <w:p w14:paraId="2D61A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若本项目允许采购进口产品，供应商应保证所投产品可履行合法报通关手续进入中国关境内。若本项目不允许采购进口产品，如供应商所投产品为进口产品，其投标将被认定为投标无效。</w:t>
      </w:r>
    </w:p>
    <w:p w14:paraId="46649D9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（二）招标文件</w:t>
      </w:r>
    </w:p>
    <w:p w14:paraId="46A664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15.</w:t>
      </w:r>
      <w:r>
        <w:rPr>
          <w:b/>
          <w:bCs/>
          <w:color w:val="auto"/>
          <w:spacing w:val="66"/>
          <w:sz w:val="24"/>
          <w:szCs w:val="24"/>
          <w:highlight w:val="none"/>
        </w:rPr>
        <w:t xml:space="preserve"> </w:t>
      </w:r>
      <w:r>
        <w:rPr>
          <w:b/>
          <w:bCs/>
          <w:color w:val="auto"/>
          <w:spacing w:val="-4"/>
          <w:sz w:val="24"/>
          <w:szCs w:val="24"/>
          <w:highlight w:val="none"/>
        </w:rPr>
        <w:t>招标文件的编制依据</w:t>
      </w:r>
    </w:p>
    <w:p w14:paraId="41BB1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根据《中华人</w:t>
      </w:r>
      <w:r>
        <w:rPr>
          <w:rFonts w:ascii="新宋体" w:hAnsi="新宋体" w:eastAsia="新宋体" w:cs="新宋体"/>
          <w:color w:val="auto"/>
          <w:spacing w:val="-4"/>
          <w:sz w:val="24"/>
          <w:szCs w:val="24"/>
          <w:highlight w:val="none"/>
        </w:rPr>
        <w:t>民共和国政府采购法及其实</w:t>
      </w:r>
      <w:r>
        <w:rPr>
          <w:rFonts w:ascii="新宋体" w:hAnsi="新宋体" w:eastAsia="新宋体" w:cs="新宋体"/>
          <w:color w:val="auto"/>
          <w:spacing w:val="-3"/>
          <w:sz w:val="24"/>
          <w:szCs w:val="24"/>
          <w:highlight w:val="none"/>
        </w:rPr>
        <w:t>施条例》、《政府采购货物和服务招标投标管理办法》</w:t>
      </w:r>
      <w:r>
        <w:rPr>
          <w:rFonts w:hint="eastAsia" w:ascii="新宋体" w:hAnsi="新宋体" w:eastAsia="新宋体" w:cs="新宋体"/>
          <w:color w:val="auto"/>
          <w:spacing w:val="-3"/>
          <w:sz w:val="24"/>
          <w:szCs w:val="24"/>
          <w:highlight w:val="none"/>
          <w:lang w:eastAsia="zh-CN"/>
        </w:rPr>
        <w:t>、《关于政府采购进口产品管理有关问题的通知》(财库[2007]119号)、《关于政府采购进口产品管理有关问题的通知财办库》(财库[2008]〕248 号)</w:t>
      </w:r>
      <w:r>
        <w:rPr>
          <w:rFonts w:ascii="新宋体" w:hAnsi="新宋体" w:eastAsia="新宋体" w:cs="新宋体"/>
          <w:color w:val="auto"/>
          <w:spacing w:val="-3"/>
          <w:sz w:val="24"/>
          <w:szCs w:val="24"/>
          <w:highlight w:val="none"/>
        </w:rPr>
        <w:t>和《中华人民共和国</w:t>
      </w:r>
      <w:r>
        <w:rPr>
          <w:rFonts w:hint="eastAsia" w:ascii="新宋体" w:hAnsi="新宋体" w:eastAsia="新宋体" w:cs="新宋体"/>
          <w:color w:val="auto"/>
          <w:spacing w:val="-3"/>
          <w:sz w:val="24"/>
          <w:szCs w:val="24"/>
          <w:highlight w:val="none"/>
          <w:lang w:val="en-US" w:eastAsia="zh-CN"/>
        </w:rPr>
        <w:t>民法典</w:t>
      </w:r>
      <w:r>
        <w:rPr>
          <w:rFonts w:ascii="新宋体" w:hAnsi="新宋体" w:eastAsia="新宋体" w:cs="新宋体"/>
          <w:color w:val="auto"/>
          <w:spacing w:val="-3"/>
          <w:sz w:val="24"/>
          <w:szCs w:val="24"/>
          <w:highlight w:val="none"/>
        </w:rPr>
        <w:t>》等相关法</w:t>
      </w:r>
      <w:r>
        <w:rPr>
          <w:rFonts w:ascii="新宋体" w:hAnsi="新宋体" w:eastAsia="新宋体" w:cs="新宋体"/>
          <w:color w:val="auto"/>
          <w:spacing w:val="-2"/>
          <w:sz w:val="24"/>
          <w:szCs w:val="24"/>
          <w:highlight w:val="none"/>
        </w:rPr>
        <w:t>律法规和规章及部、自治区、市级规范性文件的规定，编制本招标文件。</w:t>
      </w:r>
    </w:p>
    <w:p w14:paraId="7EE4DD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16.</w:t>
      </w:r>
      <w:r>
        <w:rPr>
          <w:b/>
          <w:bCs/>
          <w:color w:val="auto"/>
          <w:spacing w:val="68"/>
          <w:w w:val="101"/>
          <w:sz w:val="24"/>
          <w:szCs w:val="24"/>
          <w:highlight w:val="none"/>
        </w:rPr>
        <w:t xml:space="preserve"> </w:t>
      </w:r>
      <w:r>
        <w:rPr>
          <w:b/>
          <w:bCs/>
          <w:color w:val="auto"/>
          <w:spacing w:val="-5"/>
          <w:sz w:val="24"/>
          <w:szCs w:val="24"/>
          <w:highlight w:val="none"/>
        </w:rPr>
        <w:t>招标文件的组成</w:t>
      </w:r>
    </w:p>
    <w:p w14:paraId="4B0C3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16.1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8"/>
          <w:sz w:val="24"/>
          <w:szCs w:val="24"/>
          <w:highlight w:val="none"/>
        </w:rPr>
        <w:t>招标文件包括内容：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第一章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招标公告</w:t>
      </w:r>
    </w:p>
    <w:p w14:paraId="730A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第二章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投标须知</w:t>
      </w:r>
    </w:p>
    <w:p w14:paraId="5C8C5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第三章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评标办法</w:t>
      </w:r>
    </w:p>
    <w:p w14:paraId="25F7D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第四章  采购清单及技术参数</w:t>
      </w:r>
    </w:p>
    <w:p w14:paraId="704B1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第五章</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合同条款及格式</w:t>
      </w:r>
    </w:p>
    <w:p w14:paraId="4F579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第六章  投标文件格式文本</w:t>
      </w:r>
    </w:p>
    <w:p w14:paraId="2D5B7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除</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16.1 内容外，招标答疑亦为招标文件的组成部分，对招标人和投标人</w:t>
      </w:r>
      <w:r>
        <w:rPr>
          <w:rFonts w:ascii="新宋体" w:hAnsi="新宋体" w:eastAsia="新宋体" w:cs="新宋体"/>
          <w:color w:val="auto"/>
          <w:spacing w:val="-8"/>
          <w:sz w:val="24"/>
          <w:szCs w:val="24"/>
          <w:highlight w:val="none"/>
        </w:rPr>
        <w:t>起约束作用。</w:t>
      </w:r>
    </w:p>
    <w:p w14:paraId="05514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16.3</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投标人应仔细阅读和检查招标文件的全部内容。如发现缺页或附件不全，应及时向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招标人提出，以便补齐。如有疑问，应在投标人须知前附表规定的时间前，要求招标人对招标</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6"/>
          <w:sz w:val="24"/>
          <w:szCs w:val="24"/>
          <w:highlight w:val="none"/>
        </w:rPr>
        <w:t>文件予以澄清。</w:t>
      </w:r>
    </w:p>
    <w:p w14:paraId="29BE3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16.4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z w:val="24"/>
          <w:szCs w:val="24"/>
          <w:highlight w:val="none"/>
        </w:rPr>
        <w:t xml:space="preserve">招标文件的澄清，但不指明澄清问题的来源。如果澄清内容影响投标文件编制的， </w:t>
      </w:r>
      <w:r>
        <w:rPr>
          <w:rFonts w:ascii="新宋体" w:hAnsi="新宋体" w:eastAsia="新宋体" w:cs="新宋体"/>
          <w:color w:val="auto"/>
          <w:spacing w:val="-4"/>
          <w:sz w:val="24"/>
          <w:szCs w:val="24"/>
          <w:highlight w:val="none"/>
        </w:rPr>
        <w:t>将相应延长投标截止时间。</w:t>
      </w:r>
    </w:p>
    <w:p w14:paraId="49C508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17.</w:t>
      </w:r>
      <w:r>
        <w:rPr>
          <w:b/>
          <w:bCs/>
          <w:color w:val="auto"/>
          <w:spacing w:val="65"/>
          <w:w w:val="101"/>
          <w:sz w:val="24"/>
          <w:szCs w:val="24"/>
          <w:highlight w:val="none"/>
        </w:rPr>
        <w:t xml:space="preserve"> </w:t>
      </w:r>
      <w:r>
        <w:rPr>
          <w:b/>
          <w:bCs/>
          <w:color w:val="auto"/>
          <w:spacing w:val="-3"/>
          <w:sz w:val="24"/>
          <w:szCs w:val="24"/>
          <w:highlight w:val="none"/>
        </w:rPr>
        <w:t>招标文件的修改、补充、解释</w:t>
      </w:r>
    </w:p>
    <w:p w14:paraId="0C76F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17.1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招标文件发出后，招标人在规定的投标截止时间前可对招标文件进行必要的修改和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补充，请各位投标人注意查看有关澄清内容，如不及时查看造成后果由投标人自负。招标文件</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
          <w:sz w:val="24"/>
          <w:szCs w:val="24"/>
          <w:highlight w:val="none"/>
        </w:rPr>
        <w:t>的修改、补充等内容作为招标文件的组成部分，具有约束作用。</w:t>
      </w:r>
    </w:p>
    <w:p w14:paraId="0CBC1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17.2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4"/>
          <w:sz w:val="24"/>
          <w:szCs w:val="24"/>
          <w:highlight w:val="none"/>
        </w:rPr>
        <w:t>招标文件的解释</w:t>
      </w:r>
    </w:p>
    <w:p w14:paraId="43861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本招标文件由招标人（或其委托的</w:t>
      </w:r>
      <w:r>
        <w:rPr>
          <w:rFonts w:hint="eastAsia" w:ascii="新宋体" w:hAnsi="新宋体" w:eastAsia="新宋体" w:cs="新宋体"/>
          <w:color w:val="auto"/>
          <w:spacing w:val="-2"/>
          <w:sz w:val="24"/>
          <w:szCs w:val="24"/>
          <w:highlight w:val="none"/>
          <w:lang w:eastAsia="zh-CN"/>
        </w:rPr>
        <w:t>采购代理机构</w:t>
      </w:r>
      <w:r>
        <w:rPr>
          <w:rFonts w:ascii="新宋体" w:hAnsi="新宋体" w:eastAsia="新宋体" w:cs="新宋体"/>
          <w:color w:val="auto"/>
          <w:spacing w:val="-2"/>
          <w:sz w:val="24"/>
          <w:szCs w:val="24"/>
          <w:highlight w:val="none"/>
        </w:rPr>
        <w:t>）负责解释。</w:t>
      </w:r>
    </w:p>
    <w:p w14:paraId="24B863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18.</w:t>
      </w:r>
      <w:r>
        <w:rPr>
          <w:b/>
          <w:bCs/>
          <w:color w:val="auto"/>
          <w:spacing w:val="68"/>
          <w:w w:val="101"/>
          <w:sz w:val="24"/>
          <w:szCs w:val="24"/>
          <w:highlight w:val="none"/>
        </w:rPr>
        <w:t xml:space="preserve"> </w:t>
      </w:r>
      <w:r>
        <w:rPr>
          <w:b/>
          <w:bCs/>
          <w:color w:val="auto"/>
          <w:spacing w:val="-5"/>
          <w:sz w:val="24"/>
          <w:szCs w:val="24"/>
          <w:highlight w:val="none"/>
        </w:rPr>
        <w:t>招标文件的发出</w:t>
      </w:r>
    </w:p>
    <w:p w14:paraId="1ED50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Arial"/>
          <w:color w:val="auto"/>
          <w:sz w:val="21"/>
          <w:highlight w:val="none"/>
        </w:rPr>
      </w:pPr>
      <w:r>
        <w:rPr>
          <w:rFonts w:ascii="新宋体" w:hAnsi="新宋体" w:eastAsia="新宋体" w:cs="新宋体"/>
          <w:color w:val="auto"/>
          <w:spacing w:val="1"/>
          <w:sz w:val="24"/>
          <w:szCs w:val="24"/>
          <w:highlight w:val="none"/>
        </w:rPr>
        <w:t>18.1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招标文件、招标文件的澄清、修改、补充及招标答疑等均应报招投标监督管理机构</w:t>
      </w:r>
      <w:r>
        <w:rPr>
          <w:rFonts w:ascii="新宋体" w:hAnsi="新宋体" w:eastAsia="新宋体" w:cs="新宋体"/>
          <w:color w:val="auto"/>
          <w:spacing w:val="-5"/>
          <w:sz w:val="24"/>
          <w:szCs w:val="24"/>
          <w:highlight w:val="none"/>
        </w:rPr>
        <w:t>备案后，方可发出。</w:t>
      </w:r>
    </w:p>
    <w:p w14:paraId="4FFEF46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19.最高限价的作用和说明</w:t>
      </w:r>
    </w:p>
    <w:p w14:paraId="10DF9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19.1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本项目最高限价见投标人须知前附表。</w:t>
      </w:r>
    </w:p>
    <w:p w14:paraId="355D4BF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（三）投标文件的编制</w:t>
      </w:r>
    </w:p>
    <w:p w14:paraId="4FA38704">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z w:val="24"/>
          <w:szCs w:val="24"/>
          <w:highlight w:val="none"/>
        </w:rPr>
      </w:pPr>
      <w:r>
        <w:rPr>
          <w:b/>
          <w:bCs/>
          <w:color w:val="auto"/>
          <w:spacing w:val="-3"/>
          <w:sz w:val="24"/>
          <w:szCs w:val="24"/>
          <w:highlight w:val="none"/>
        </w:rPr>
        <w:t>20.</w:t>
      </w:r>
      <w:r>
        <w:rPr>
          <w:b/>
          <w:bCs/>
          <w:color w:val="auto"/>
          <w:spacing w:val="75"/>
          <w:sz w:val="24"/>
          <w:szCs w:val="24"/>
          <w:highlight w:val="none"/>
        </w:rPr>
        <w:t xml:space="preserve"> </w:t>
      </w:r>
      <w:r>
        <w:rPr>
          <w:b/>
          <w:bCs/>
          <w:color w:val="auto"/>
          <w:spacing w:val="-3"/>
          <w:sz w:val="24"/>
          <w:szCs w:val="24"/>
          <w:highlight w:val="none"/>
        </w:rPr>
        <w:t>投标的语言及度量衡单位</w:t>
      </w:r>
    </w:p>
    <w:p w14:paraId="0EF91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投标人的投标文件、以及投标人与招</w:t>
      </w:r>
      <w:r>
        <w:rPr>
          <w:rFonts w:ascii="新宋体" w:hAnsi="新宋体" w:eastAsia="新宋体" w:cs="新宋体"/>
          <w:color w:val="auto"/>
          <w:spacing w:val="1"/>
          <w:sz w:val="24"/>
          <w:szCs w:val="24"/>
          <w:highlight w:val="none"/>
        </w:rPr>
        <w:t>标人就投标的所有往来函电，均须使用简体中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文。</w:t>
      </w:r>
    </w:p>
    <w:p w14:paraId="751F0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除招标文件中另有规定外，投标书所使用的度量衡均须采用法定计量单位。</w:t>
      </w:r>
    </w:p>
    <w:p w14:paraId="48319D8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21.</w:t>
      </w:r>
      <w:r>
        <w:rPr>
          <w:b/>
          <w:bCs/>
          <w:color w:val="auto"/>
          <w:spacing w:val="63"/>
          <w:w w:val="101"/>
          <w:sz w:val="24"/>
          <w:szCs w:val="24"/>
          <w:highlight w:val="none"/>
        </w:rPr>
        <w:t xml:space="preserve"> </w:t>
      </w:r>
      <w:r>
        <w:rPr>
          <w:b/>
          <w:bCs/>
          <w:color w:val="auto"/>
          <w:spacing w:val="-3"/>
          <w:sz w:val="24"/>
          <w:szCs w:val="24"/>
          <w:highlight w:val="none"/>
        </w:rPr>
        <w:t>投标文件的组成</w:t>
      </w:r>
    </w:p>
    <w:p w14:paraId="624F8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投标文件由商务标、技术标、经济标，按以下顺序编制</w:t>
      </w:r>
      <w:r>
        <w:rPr>
          <w:rFonts w:ascii="新宋体" w:hAnsi="新宋体" w:eastAsia="新宋体" w:cs="新宋体"/>
          <w:color w:val="auto"/>
          <w:spacing w:val="-8"/>
          <w:sz w:val="24"/>
          <w:szCs w:val="24"/>
          <w:highlight w:val="none"/>
        </w:rPr>
        <w:t>并提交电子投标文件（务必按以下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顺序编制，每页加盖公章）</w:t>
      </w:r>
    </w:p>
    <w:p w14:paraId="51C2B3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9"/>
          <w:sz w:val="24"/>
          <w:szCs w:val="24"/>
          <w:highlight w:val="none"/>
        </w:rPr>
        <w:t>21.1</w:t>
      </w:r>
      <w:r>
        <w:rPr>
          <w:b/>
          <w:bCs/>
          <w:color w:val="auto"/>
          <w:spacing w:val="14"/>
          <w:sz w:val="24"/>
          <w:szCs w:val="24"/>
          <w:highlight w:val="none"/>
        </w:rPr>
        <w:t xml:space="preserve"> </w:t>
      </w:r>
      <w:r>
        <w:rPr>
          <w:b/>
          <w:bCs/>
          <w:color w:val="auto"/>
          <w:spacing w:val="-9"/>
          <w:sz w:val="24"/>
          <w:szCs w:val="24"/>
          <w:highlight w:val="none"/>
        </w:rPr>
        <w:t>商务标</w:t>
      </w:r>
    </w:p>
    <w:p w14:paraId="59C67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（1）法定代表人身份证明及其有效身份证复印件或授权委托书及其有效身份证复印件；</w:t>
      </w:r>
    </w:p>
    <w:p w14:paraId="7FE5F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（2）投标单位基本情况；</w:t>
      </w:r>
    </w:p>
    <w:p w14:paraId="6685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（3）投标保证金打款凭证或投标保函；</w:t>
      </w:r>
    </w:p>
    <w:p w14:paraId="17B4F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（4）商务条款响应/偏离表；</w:t>
      </w:r>
    </w:p>
    <w:p w14:paraId="04782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（5）在经营活动中没有重大违法记录的书面声明；</w:t>
      </w:r>
    </w:p>
    <w:p w14:paraId="1A431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（6）社会法人无失信被执行行为承诺书；</w:t>
      </w:r>
    </w:p>
    <w:p w14:paraId="5627C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（7）无重大税收违法行为承诺书；</w:t>
      </w:r>
    </w:p>
    <w:p w14:paraId="58F33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（8）中标服务费承诺书；</w:t>
      </w:r>
    </w:p>
    <w:p w14:paraId="28ED1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（9）售后服务；</w:t>
      </w:r>
    </w:p>
    <w:p w14:paraId="63E05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（10）投标人认为需要提供的其他材料；</w:t>
      </w:r>
    </w:p>
    <w:p w14:paraId="08FDB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（11）商务部分评分细则里需要提供的相关材料及方案；</w:t>
      </w:r>
    </w:p>
    <w:p w14:paraId="16585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注：凡提供复印件的资料需加盖投标人印章，提供营业执照加盖印章复印件的，投标企业</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自行承担复印件二维码不清晰可能导致投标人证件审查不通过的后果。</w:t>
      </w:r>
    </w:p>
    <w:p w14:paraId="372FB1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21.2 技术标</w:t>
      </w:r>
    </w:p>
    <w:p w14:paraId="7E3A6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（1）技术要求响应/偏离表；</w:t>
      </w:r>
    </w:p>
    <w:p w14:paraId="05DFB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（2）货物的详细配置清单；</w:t>
      </w:r>
    </w:p>
    <w:p w14:paraId="6DAB5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（3）项目实施方案；</w:t>
      </w:r>
    </w:p>
    <w:p w14:paraId="4038C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（4）服务承诺书；</w:t>
      </w:r>
    </w:p>
    <w:p w14:paraId="24548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Arial"/>
          <w:color w:val="auto"/>
          <w:sz w:val="21"/>
          <w:highlight w:val="none"/>
        </w:rPr>
      </w:pPr>
      <w:r>
        <w:rPr>
          <w:rFonts w:ascii="新宋体" w:hAnsi="新宋体" w:eastAsia="新宋体" w:cs="新宋体"/>
          <w:color w:val="auto"/>
          <w:spacing w:val="-5"/>
          <w:sz w:val="24"/>
          <w:szCs w:val="24"/>
          <w:highlight w:val="none"/>
        </w:rPr>
        <w:t>（5）招标文件规定的其它材料；</w:t>
      </w:r>
    </w:p>
    <w:p w14:paraId="068C9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注：投标人应提交其货物和服务符合招标文件规定的证明，作为投</w:t>
      </w:r>
      <w:r>
        <w:rPr>
          <w:rFonts w:ascii="新宋体" w:hAnsi="新宋体" w:eastAsia="新宋体" w:cs="新宋体"/>
          <w:color w:val="auto"/>
          <w:spacing w:val="-2"/>
          <w:sz w:val="24"/>
          <w:szCs w:val="24"/>
          <w:highlight w:val="none"/>
        </w:rPr>
        <w:t>标文件的一部分。</w:t>
      </w:r>
    </w:p>
    <w:p w14:paraId="2B999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货物和服务与招标文件的要求相一致的证明，可以是文字资料、图纸、数据、检测报告等，</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8"/>
          <w:sz w:val="24"/>
          <w:szCs w:val="24"/>
          <w:highlight w:val="none"/>
        </w:rPr>
        <w:t>包括：</w:t>
      </w:r>
    </w:p>
    <w:p w14:paraId="4EDF8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1、所投货物主要技术指标和性能的详细说明。</w:t>
      </w:r>
    </w:p>
    <w:p w14:paraId="2305A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2、对照招标文件技术规范要求，逐条说明所提供货物和服务已对招标文件的技术规范要</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7"/>
          <w:sz w:val="24"/>
          <w:szCs w:val="24"/>
          <w:highlight w:val="none"/>
        </w:rPr>
        <w:t>求作出了实质性响应，或申明与技术规范要求的偏差和例外。特别对于有具体参数要求的指标，</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
          <w:sz w:val="24"/>
          <w:szCs w:val="24"/>
          <w:highlight w:val="none"/>
        </w:rPr>
        <w:t>投标人必须提供所投货物的具体参数。</w:t>
      </w:r>
    </w:p>
    <w:p w14:paraId="3DBAD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3、商务条款的偏差和例外。</w:t>
      </w:r>
    </w:p>
    <w:p w14:paraId="60572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4、投标人的技术规范应符合招标文件设备清单的</w:t>
      </w:r>
      <w:r>
        <w:rPr>
          <w:rFonts w:ascii="新宋体" w:hAnsi="新宋体" w:eastAsia="新宋体" w:cs="新宋体"/>
          <w:color w:val="auto"/>
          <w:sz w:val="24"/>
          <w:szCs w:val="24"/>
          <w:highlight w:val="none"/>
        </w:rPr>
        <w:t xml:space="preserve">要求，投标人可提出改进建议，但该建 </w:t>
      </w:r>
      <w:r>
        <w:rPr>
          <w:rFonts w:ascii="新宋体" w:hAnsi="新宋体" w:eastAsia="新宋体" w:cs="新宋体"/>
          <w:color w:val="auto"/>
          <w:spacing w:val="-3"/>
          <w:sz w:val="24"/>
          <w:szCs w:val="24"/>
          <w:highlight w:val="none"/>
        </w:rPr>
        <w:t>议应相当于或优于招标文件设备清单的技术规范要求的规定，以使招标人满意并得到招标人的</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1"/>
          <w:sz w:val="24"/>
          <w:szCs w:val="24"/>
          <w:highlight w:val="none"/>
        </w:rPr>
        <w:t>同意。</w:t>
      </w:r>
    </w:p>
    <w:p w14:paraId="17ED4C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21.3 经济标</w:t>
      </w:r>
    </w:p>
    <w:p w14:paraId="519AA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（1）投标承诺书；</w:t>
      </w:r>
    </w:p>
    <w:p w14:paraId="09399F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（2）开标一览表；</w:t>
      </w:r>
    </w:p>
    <w:p w14:paraId="15821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（3）报价明细表；</w:t>
      </w:r>
    </w:p>
    <w:p w14:paraId="1E312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（4）诚信投标承诺书；</w:t>
      </w:r>
    </w:p>
    <w:p w14:paraId="16EF8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（5）投标人认为需要提供的其他材料。</w:t>
      </w:r>
    </w:p>
    <w:p w14:paraId="0142D8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22.</w:t>
      </w:r>
      <w:r>
        <w:rPr>
          <w:b/>
          <w:bCs/>
          <w:color w:val="auto"/>
          <w:spacing w:val="63"/>
          <w:sz w:val="24"/>
          <w:szCs w:val="24"/>
          <w:highlight w:val="none"/>
        </w:rPr>
        <w:t xml:space="preserve"> </w:t>
      </w:r>
      <w:r>
        <w:rPr>
          <w:b/>
          <w:bCs/>
          <w:color w:val="auto"/>
          <w:spacing w:val="-4"/>
          <w:sz w:val="24"/>
          <w:szCs w:val="24"/>
          <w:highlight w:val="none"/>
        </w:rPr>
        <w:t>投标报价</w:t>
      </w:r>
    </w:p>
    <w:p w14:paraId="04634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投标报价文件中的单价和总价全部采用人民</w:t>
      </w:r>
      <w:r>
        <w:rPr>
          <w:rFonts w:ascii="新宋体" w:hAnsi="新宋体" w:eastAsia="新宋体" w:cs="新宋体"/>
          <w:color w:val="auto"/>
          <w:spacing w:val="-3"/>
          <w:sz w:val="24"/>
          <w:szCs w:val="24"/>
          <w:highlight w:val="none"/>
        </w:rPr>
        <w:t>币表示。</w:t>
      </w:r>
    </w:p>
    <w:p w14:paraId="462FE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投标报价表上应清楚地标明投标人拟</w:t>
      </w:r>
      <w:r>
        <w:rPr>
          <w:rFonts w:ascii="新宋体" w:hAnsi="新宋体" w:eastAsia="新宋体" w:cs="新宋体"/>
          <w:color w:val="auto"/>
          <w:spacing w:val="1"/>
          <w:sz w:val="24"/>
          <w:szCs w:val="24"/>
          <w:highlight w:val="none"/>
        </w:rPr>
        <w:t>提供货物的名称、型号、生产厂家、数量、单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价和总价等。</w:t>
      </w:r>
    </w:p>
    <w:p w14:paraId="0EE74F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22.3</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投标人只允许有一个方案、一个报价。</w:t>
      </w:r>
    </w:p>
    <w:p w14:paraId="51278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投标人应按“采购清单及技术参数</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”所列货物逐项</w:t>
      </w:r>
      <w:r>
        <w:rPr>
          <w:rFonts w:ascii="新宋体" w:hAnsi="新宋体" w:eastAsia="新宋体" w:cs="新宋体"/>
          <w:color w:val="auto"/>
          <w:sz w:val="24"/>
          <w:szCs w:val="24"/>
          <w:highlight w:val="none"/>
        </w:rPr>
        <w:t xml:space="preserve">进行报价，并最终按货物总量乘 </w:t>
      </w:r>
      <w:r>
        <w:rPr>
          <w:rFonts w:ascii="新宋体" w:hAnsi="新宋体" w:eastAsia="新宋体" w:cs="新宋体"/>
          <w:color w:val="auto"/>
          <w:spacing w:val="-3"/>
          <w:sz w:val="24"/>
          <w:szCs w:val="24"/>
          <w:highlight w:val="none"/>
        </w:rPr>
        <w:t>以货物单价报总价，不得采用总价下浮的方式进行报价。</w:t>
      </w:r>
    </w:p>
    <w:p w14:paraId="3D82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22.5</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投标报价的价格是货物交货地验收价格，其总价即为履行合同的固定总价。</w:t>
      </w:r>
    </w:p>
    <w:p w14:paraId="029FE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22.6</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投标报价应由法定代表人或被授权人签署。</w:t>
      </w:r>
    </w:p>
    <w:p w14:paraId="13C92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22.7</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投标人的报价不得高于本次招标最高限价。</w:t>
      </w:r>
    </w:p>
    <w:p w14:paraId="15D53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22.8</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总投标价中不得包含招标文件要求以外的内容，否则，在评标时不予核减，但在授</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予合同时，招标人有权将这部分价格从其中标价格</w:t>
      </w:r>
      <w:r>
        <w:rPr>
          <w:rFonts w:ascii="新宋体" w:hAnsi="新宋体" w:eastAsia="新宋体" w:cs="新宋体"/>
          <w:color w:val="auto"/>
          <w:spacing w:val="-3"/>
          <w:sz w:val="24"/>
          <w:szCs w:val="24"/>
          <w:highlight w:val="none"/>
        </w:rPr>
        <w:t>中扣除。</w:t>
      </w:r>
    </w:p>
    <w:p w14:paraId="655513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23.</w:t>
      </w:r>
      <w:r>
        <w:rPr>
          <w:b/>
          <w:bCs/>
          <w:color w:val="auto"/>
          <w:spacing w:val="66"/>
          <w:sz w:val="24"/>
          <w:szCs w:val="24"/>
          <w:highlight w:val="none"/>
        </w:rPr>
        <w:t xml:space="preserve"> </w:t>
      </w:r>
      <w:r>
        <w:rPr>
          <w:b/>
          <w:bCs/>
          <w:color w:val="auto"/>
          <w:spacing w:val="-4"/>
          <w:sz w:val="24"/>
          <w:szCs w:val="24"/>
          <w:highlight w:val="none"/>
        </w:rPr>
        <w:t>投标有效期</w:t>
      </w:r>
    </w:p>
    <w:p w14:paraId="3078E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除投标人须知前附表另有规定外，投标有效期为</w:t>
      </w:r>
      <w:r>
        <w:rPr>
          <w:rFonts w:hint="eastAsia" w:ascii="新宋体" w:hAnsi="新宋体" w:eastAsia="新宋体" w:cs="新宋体"/>
          <w:color w:val="auto"/>
          <w:spacing w:val="-4"/>
          <w:sz w:val="24"/>
          <w:szCs w:val="24"/>
          <w:highlight w:val="none"/>
          <w:lang w:val="en-US" w:eastAsia="zh-CN"/>
        </w:rPr>
        <w:t>90</w:t>
      </w:r>
      <w:r>
        <w:rPr>
          <w:rFonts w:ascii="新宋体" w:hAnsi="新宋体" w:eastAsia="新宋体" w:cs="新宋体"/>
          <w:color w:val="auto"/>
          <w:spacing w:val="-4"/>
          <w:sz w:val="24"/>
          <w:szCs w:val="24"/>
          <w:highlight w:val="none"/>
        </w:rPr>
        <w:t>日历日（自投标截止时间起开始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计算）。</w:t>
      </w:r>
    </w:p>
    <w:p w14:paraId="1CB9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在投标有效期内，投标人撤销或修改其投标文件的，应承担招标文件和法律规定的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责任。</w:t>
      </w:r>
    </w:p>
    <w:p w14:paraId="2CC96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23.3 出现特殊情况需要延长投标有效期的，招标人以书面形式通知所有投标人延长投标</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6"/>
          <w:sz w:val="24"/>
          <w:szCs w:val="24"/>
          <w:highlight w:val="none"/>
        </w:rPr>
        <w:t>有效期。投标人同意延长的， 应相应延长其投标保证金的有效期，但不得要求或被允许修改或</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1"/>
          <w:sz w:val="24"/>
          <w:szCs w:val="24"/>
          <w:highlight w:val="none"/>
        </w:rPr>
        <w:t>撤销其投标文件；投标人拒绝延长的，其投标失效，但投标人有权收回</w:t>
      </w:r>
      <w:r>
        <w:rPr>
          <w:rFonts w:ascii="新宋体" w:hAnsi="新宋体" w:eastAsia="新宋体" w:cs="新宋体"/>
          <w:color w:val="auto"/>
          <w:spacing w:val="-2"/>
          <w:sz w:val="24"/>
          <w:szCs w:val="24"/>
          <w:highlight w:val="none"/>
        </w:rPr>
        <w:t>其投标保证金。</w:t>
      </w:r>
    </w:p>
    <w:p w14:paraId="02B9EA7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24.</w:t>
      </w:r>
      <w:r>
        <w:rPr>
          <w:b/>
          <w:bCs/>
          <w:color w:val="auto"/>
          <w:spacing w:val="66"/>
          <w:sz w:val="24"/>
          <w:szCs w:val="24"/>
          <w:highlight w:val="none"/>
        </w:rPr>
        <w:t xml:space="preserve"> </w:t>
      </w:r>
      <w:r>
        <w:rPr>
          <w:b/>
          <w:bCs/>
          <w:color w:val="auto"/>
          <w:spacing w:val="-4"/>
          <w:sz w:val="24"/>
          <w:szCs w:val="24"/>
          <w:highlight w:val="none"/>
        </w:rPr>
        <w:t>投标保证金</w:t>
      </w:r>
    </w:p>
    <w:p w14:paraId="418B6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投标人须知前附表规定递交投标保证</w:t>
      </w:r>
      <w:r>
        <w:rPr>
          <w:rFonts w:ascii="新宋体" w:hAnsi="新宋体" w:eastAsia="新宋体" w:cs="新宋体"/>
          <w:color w:val="auto"/>
          <w:spacing w:val="1"/>
          <w:sz w:val="24"/>
          <w:szCs w:val="24"/>
          <w:highlight w:val="none"/>
        </w:rPr>
        <w:t>金的，投标人在递交投标文件的同时，应按投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标人须知前附表规定的金额、担保形式和第六章“投标文件格式”规定的或者事先经过招标人</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2"/>
          <w:sz w:val="24"/>
          <w:szCs w:val="24"/>
          <w:highlight w:val="none"/>
        </w:rPr>
        <w:t>认可的投标保证金格式递交投标保证金，并作为其投标文件的组成部分。</w:t>
      </w:r>
    </w:p>
    <w:p w14:paraId="01CFB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投标人不按本章</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项要求提交保证金的，</w:t>
      </w:r>
      <w:r>
        <w:rPr>
          <w:rFonts w:ascii="新宋体" w:hAnsi="新宋体" w:eastAsia="新宋体" w:cs="新宋体"/>
          <w:color w:val="auto"/>
          <w:spacing w:val="-3"/>
          <w:sz w:val="24"/>
          <w:szCs w:val="24"/>
          <w:highlight w:val="none"/>
        </w:rPr>
        <w:t>评标委员会按无效标处理。</w:t>
      </w:r>
    </w:p>
    <w:p w14:paraId="5EA0B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24.3 中标通知书发出之日起</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个工作日内，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pacing w:val="-2"/>
          <w:sz w:val="24"/>
          <w:szCs w:val="24"/>
          <w:highlight w:val="none"/>
        </w:rPr>
        <w:t>向未中标的投标人退还投标保证金；招标人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与中标人签订合同后</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个工作日内，向中标人退还投标保证</w:t>
      </w:r>
      <w:r>
        <w:rPr>
          <w:rFonts w:ascii="新宋体" w:hAnsi="新宋体" w:eastAsia="新宋体" w:cs="新宋体"/>
          <w:color w:val="auto"/>
          <w:spacing w:val="-4"/>
          <w:sz w:val="24"/>
          <w:szCs w:val="24"/>
          <w:highlight w:val="none"/>
        </w:rPr>
        <w:t>金。</w:t>
      </w:r>
    </w:p>
    <w:p w14:paraId="15F12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24.4</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有下列情形之一的，投标保证金将不予</w:t>
      </w:r>
      <w:r>
        <w:rPr>
          <w:rFonts w:ascii="新宋体" w:hAnsi="新宋体" w:eastAsia="新宋体" w:cs="新宋体"/>
          <w:color w:val="auto"/>
          <w:spacing w:val="-4"/>
          <w:sz w:val="24"/>
          <w:szCs w:val="24"/>
          <w:highlight w:val="none"/>
        </w:rPr>
        <w:t>退还：</w:t>
      </w:r>
    </w:p>
    <w:p w14:paraId="00430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（1）投标人在规定的投标有效期内撤销或修改其投标文件；</w:t>
      </w:r>
    </w:p>
    <w:p w14:paraId="2C3B44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（2）中标人无正当理由拒签合同协议书或未按招</w:t>
      </w:r>
      <w:r>
        <w:rPr>
          <w:rFonts w:ascii="新宋体" w:hAnsi="新宋体" w:eastAsia="新宋体" w:cs="新宋体"/>
          <w:color w:val="auto"/>
          <w:spacing w:val="-2"/>
          <w:sz w:val="24"/>
          <w:szCs w:val="24"/>
          <w:highlight w:val="none"/>
        </w:rPr>
        <w:t>标文件规定提交履约保证金。</w:t>
      </w:r>
    </w:p>
    <w:p w14:paraId="1CE6CE3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4"/>
          <w:sz w:val="28"/>
          <w:szCs w:val="28"/>
          <w:highlight w:val="none"/>
        </w:rPr>
        <w:t>（四）投标文件的密封和递交</w:t>
      </w:r>
    </w:p>
    <w:p w14:paraId="7EBCEB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25.</w:t>
      </w:r>
      <w:r>
        <w:rPr>
          <w:b/>
          <w:bCs/>
          <w:color w:val="auto"/>
          <w:spacing w:val="72"/>
          <w:sz w:val="24"/>
          <w:szCs w:val="24"/>
          <w:highlight w:val="none"/>
        </w:rPr>
        <w:t xml:space="preserve"> </w:t>
      </w:r>
      <w:r>
        <w:rPr>
          <w:b/>
          <w:bCs/>
          <w:color w:val="auto"/>
          <w:spacing w:val="-3"/>
          <w:sz w:val="24"/>
          <w:szCs w:val="24"/>
          <w:highlight w:val="none"/>
        </w:rPr>
        <w:t>投标文件的份数和签署</w:t>
      </w:r>
    </w:p>
    <w:p w14:paraId="591AE6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25.1</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z w:val="24"/>
          <w:szCs w:val="24"/>
          <w:highlight w:val="none"/>
        </w:rPr>
        <w:t xml:space="preserve">加密电子版投标文件（一份）在投标截止时间前通过政采云平台上传到指定位置， </w:t>
      </w:r>
      <w:r>
        <w:rPr>
          <w:rFonts w:ascii="新宋体" w:hAnsi="新宋体" w:eastAsia="新宋体" w:cs="新宋体"/>
          <w:color w:val="auto"/>
          <w:spacing w:val="-3"/>
          <w:sz w:val="24"/>
          <w:szCs w:val="24"/>
          <w:highlight w:val="none"/>
        </w:rPr>
        <w:t>否则视为无效，投标文件须按招标文件要求签署。</w:t>
      </w:r>
    </w:p>
    <w:p w14:paraId="4BCF3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25.2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投标文件中的授权书、投标承诺书及</w:t>
      </w:r>
      <w:r>
        <w:rPr>
          <w:rFonts w:ascii="新宋体" w:hAnsi="新宋体" w:eastAsia="新宋体" w:cs="新宋体"/>
          <w:color w:val="auto"/>
          <w:spacing w:val="1"/>
          <w:sz w:val="24"/>
          <w:szCs w:val="24"/>
          <w:highlight w:val="none"/>
        </w:rPr>
        <w:t>开标一览表等应当在格式文本要求的相应位置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签字和盖章。</w:t>
      </w:r>
    </w:p>
    <w:p w14:paraId="6C731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25.3</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全套投标文件应无修改和行间插字。如有修改，须在修改处加盖投标单位法定代表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人或其委托代理人的印鉴。</w:t>
      </w:r>
    </w:p>
    <w:p w14:paraId="4FDC01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26.</w:t>
      </w:r>
      <w:r>
        <w:rPr>
          <w:b/>
          <w:bCs/>
          <w:color w:val="auto"/>
          <w:spacing w:val="65"/>
          <w:sz w:val="24"/>
          <w:szCs w:val="24"/>
          <w:highlight w:val="none"/>
        </w:rPr>
        <w:t xml:space="preserve"> </w:t>
      </w:r>
      <w:r>
        <w:rPr>
          <w:b/>
          <w:bCs/>
          <w:color w:val="auto"/>
          <w:spacing w:val="-2"/>
          <w:sz w:val="24"/>
          <w:szCs w:val="24"/>
          <w:highlight w:val="none"/>
        </w:rPr>
        <w:t>投标文件的装订、密封和标记（本项目不适用）</w:t>
      </w:r>
    </w:p>
    <w:p w14:paraId="0C9FBF4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27.</w:t>
      </w:r>
      <w:r>
        <w:rPr>
          <w:b/>
          <w:bCs/>
          <w:color w:val="auto"/>
          <w:spacing w:val="63"/>
          <w:w w:val="101"/>
          <w:sz w:val="24"/>
          <w:szCs w:val="24"/>
          <w:highlight w:val="none"/>
        </w:rPr>
        <w:t xml:space="preserve"> </w:t>
      </w:r>
      <w:r>
        <w:rPr>
          <w:b/>
          <w:bCs/>
          <w:color w:val="auto"/>
          <w:spacing w:val="-3"/>
          <w:sz w:val="24"/>
          <w:szCs w:val="24"/>
          <w:highlight w:val="none"/>
        </w:rPr>
        <w:t>投标文件的提交</w:t>
      </w:r>
    </w:p>
    <w:p w14:paraId="42E38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2"/>
          <w:sz w:val="24"/>
          <w:szCs w:val="24"/>
          <w:highlight w:val="none"/>
        </w:rPr>
        <w:t>投标人应在投标人须知前附表规定的投标截止时间前递交投标文件。</w:t>
      </w:r>
    </w:p>
    <w:p w14:paraId="06D55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投标人递交投标文件的地点：见投标人须知</w:t>
      </w:r>
      <w:r>
        <w:rPr>
          <w:rFonts w:ascii="新宋体" w:hAnsi="新宋体" w:eastAsia="新宋体" w:cs="新宋体"/>
          <w:color w:val="auto"/>
          <w:spacing w:val="-3"/>
          <w:sz w:val="24"/>
          <w:szCs w:val="24"/>
          <w:highlight w:val="none"/>
        </w:rPr>
        <w:t>前附表。</w:t>
      </w:r>
    </w:p>
    <w:p w14:paraId="041C2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Arial"/>
          <w:color w:val="auto"/>
          <w:sz w:val="21"/>
          <w:highlight w:val="none"/>
        </w:rPr>
      </w:pPr>
      <w:r>
        <w:rPr>
          <w:rFonts w:ascii="新宋体" w:hAnsi="新宋体" w:eastAsia="新宋体" w:cs="新宋体"/>
          <w:color w:val="auto"/>
          <w:spacing w:val="-2"/>
          <w:sz w:val="24"/>
          <w:szCs w:val="24"/>
          <w:highlight w:val="none"/>
        </w:rPr>
        <w:t>27.3</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除投标人须知前附表另有规定外，投标人所递交的投标文件不予退还。</w:t>
      </w:r>
    </w:p>
    <w:p w14:paraId="4E94A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z w:val="24"/>
          <w:szCs w:val="24"/>
          <w:highlight w:val="none"/>
          <w:lang w:eastAsia="zh-CN"/>
        </w:rPr>
      </w:pPr>
      <w:r>
        <w:rPr>
          <w:rFonts w:ascii="新宋体" w:hAnsi="新宋体" w:eastAsia="新宋体" w:cs="新宋体"/>
          <w:color w:val="auto"/>
          <w:spacing w:val="-2"/>
          <w:sz w:val="24"/>
          <w:szCs w:val="24"/>
          <w:highlight w:val="none"/>
        </w:rPr>
        <w:t>27.4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招标人收到投标文件后，向投标人出</w:t>
      </w:r>
      <w:r>
        <w:rPr>
          <w:rFonts w:ascii="新宋体" w:hAnsi="新宋体" w:eastAsia="新宋体" w:cs="新宋体"/>
          <w:color w:val="auto"/>
          <w:spacing w:val="-3"/>
          <w:sz w:val="24"/>
          <w:szCs w:val="24"/>
          <w:highlight w:val="none"/>
        </w:rPr>
        <w:t>具签收凭证。</w:t>
      </w:r>
      <w:r>
        <w:rPr>
          <w:rFonts w:hint="eastAsia" w:ascii="新宋体" w:hAnsi="新宋体" w:eastAsia="新宋体" w:cs="新宋体"/>
          <w:color w:val="auto"/>
          <w:spacing w:val="-3"/>
          <w:sz w:val="24"/>
          <w:szCs w:val="24"/>
          <w:highlight w:val="none"/>
          <w:lang w:eastAsia="zh-CN"/>
        </w:rPr>
        <w:t>（</w:t>
      </w:r>
      <w:r>
        <w:rPr>
          <w:rFonts w:hint="eastAsia" w:ascii="新宋体" w:hAnsi="新宋体" w:eastAsia="新宋体" w:cs="新宋体"/>
          <w:color w:val="auto"/>
          <w:spacing w:val="-3"/>
          <w:sz w:val="24"/>
          <w:szCs w:val="24"/>
          <w:highlight w:val="none"/>
          <w:lang w:val="en-US" w:eastAsia="zh-CN"/>
        </w:rPr>
        <w:t>不见面开标不适用</w:t>
      </w:r>
      <w:r>
        <w:rPr>
          <w:rFonts w:hint="eastAsia" w:ascii="新宋体" w:hAnsi="新宋体" w:eastAsia="新宋体" w:cs="新宋体"/>
          <w:color w:val="auto"/>
          <w:spacing w:val="-3"/>
          <w:sz w:val="24"/>
          <w:szCs w:val="24"/>
          <w:highlight w:val="none"/>
          <w:lang w:eastAsia="zh-CN"/>
        </w:rPr>
        <w:t>）</w:t>
      </w:r>
    </w:p>
    <w:p w14:paraId="2FC9D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27.5</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2"/>
          <w:sz w:val="24"/>
          <w:szCs w:val="24"/>
          <w:highlight w:val="none"/>
        </w:rPr>
        <w:t>逾期送达的或者未送达指定地点的投标文件，招标人不予受理。</w:t>
      </w:r>
    </w:p>
    <w:p w14:paraId="571E4CA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28.</w:t>
      </w:r>
      <w:r>
        <w:rPr>
          <w:b/>
          <w:bCs/>
          <w:color w:val="auto"/>
          <w:spacing w:val="64"/>
          <w:w w:val="101"/>
          <w:sz w:val="24"/>
          <w:szCs w:val="24"/>
          <w:highlight w:val="none"/>
        </w:rPr>
        <w:t xml:space="preserve"> </w:t>
      </w:r>
      <w:r>
        <w:rPr>
          <w:b/>
          <w:bCs/>
          <w:color w:val="auto"/>
          <w:spacing w:val="-2"/>
          <w:sz w:val="24"/>
          <w:szCs w:val="24"/>
          <w:highlight w:val="none"/>
        </w:rPr>
        <w:t>投标文件的补充、修改与撤回</w:t>
      </w:r>
    </w:p>
    <w:p w14:paraId="0ABFA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投标人在提交投标文件以后，在规定</w:t>
      </w:r>
      <w:r>
        <w:rPr>
          <w:rFonts w:ascii="新宋体" w:hAnsi="新宋体" w:eastAsia="新宋体" w:cs="新宋体"/>
          <w:color w:val="auto"/>
          <w:spacing w:val="1"/>
          <w:sz w:val="24"/>
          <w:szCs w:val="24"/>
          <w:highlight w:val="none"/>
        </w:rPr>
        <w:t>的投标截止时间之前，可以补充、修改或撤回</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已提交的投标文件。补充、修改的内容为投标文件的组成部分。</w:t>
      </w:r>
    </w:p>
    <w:p w14:paraId="33521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28.2</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8"/>
          <w:sz w:val="24"/>
          <w:szCs w:val="24"/>
          <w:highlight w:val="none"/>
        </w:rPr>
        <w:t>投标人对投标文件的补充、修改，应按本须知第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26</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条和第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条有关规定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密封、标记和提交。</w:t>
      </w:r>
    </w:p>
    <w:p w14:paraId="1899E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在投标截止时间之后，投标人不得补充、修改投标文</w:t>
      </w:r>
      <w:r>
        <w:rPr>
          <w:rFonts w:ascii="新宋体" w:hAnsi="新宋体" w:eastAsia="新宋体" w:cs="新宋体"/>
          <w:color w:val="auto"/>
          <w:spacing w:val="-3"/>
          <w:sz w:val="24"/>
          <w:szCs w:val="24"/>
          <w:highlight w:val="none"/>
        </w:rPr>
        <w:t>件。</w:t>
      </w:r>
    </w:p>
    <w:p w14:paraId="0B28BF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3"/>
          <w:sz w:val="28"/>
          <w:szCs w:val="28"/>
          <w:highlight w:val="none"/>
        </w:rPr>
        <w:t>（五）开标、评标和定标</w:t>
      </w:r>
    </w:p>
    <w:p w14:paraId="1D772B5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29.</w:t>
      </w:r>
      <w:r>
        <w:rPr>
          <w:b/>
          <w:bCs/>
          <w:color w:val="auto"/>
          <w:spacing w:val="64"/>
          <w:sz w:val="24"/>
          <w:szCs w:val="24"/>
          <w:highlight w:val="none"/>
        </w:rPr>
        <w:t xml:space="preserve"> </w:t>
      </w:r>
      <w:r>
        <w:rPr>
          <w:b/>
          <w:bCs/>
          <w:color w:val="auto"/>
          <w:spacing w:val="-5"/>
          <w:sz w:val="24"/>
          <w:szCs w:val="24"/>
          <w:highlight w:val="none"/>
        </w:rPr>
        <w:t>开标</w:t>
      </w:r>
    </w:p>
    <w:p w14:paraId="75C65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开标的时间和地点</w:t>
      </w:r>
    </w:p>
    <w:p w14:paraId="29C13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29.1.1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条提交投标文件的</w:t>
      </w:r>
      <w:r>
        <w:rPr>
          <w:rFonts w:ascii="新宋体" w:hAnsi="新宋体" w:eastAsia="新宋体" w:cs="新宋体"/>
          <w:color w:val="auto"/>
          <w:spacing w:val="-3"/>
          <w:sz w:val="24"/>
          <w:szCs w:val="24"/>
          <w:highlight w:val="none"/>
        </w:rPr>
        <w:t>截止时间和地点，按时参加。</w:t>
      </w:r>
    </w:p>
    <w:p w14:paraId="7C70B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开标程序</w:t>
      </w:r>
    </w:p>
    <w:p w14:paraId="57F68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本项目采用不见面开标：</w:t>
      </w:r>
    </w:p>
    <w:p w14:paraId="0724D8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（1）到投标截止时间后，主持人主持开标会议；</w:t>
      </w:r>
    </w:p>
    <w:p w14:paraId="02010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（2）公布投标人，投标文件解密；</w:t>
      </w:r>
    </w:p>
    <w:p w14:paraId="7C20D9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（3）评标专家进入评审阶段；</w:t>
      </w:r>
    </w:p>
    <w:p w14:paraId="1A2D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（4）评标结束后，有关人员在开标记录表签字确认。</w:t>
      </w:r>
    </w:p>
    <w:p w14:paraId="64C71B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30.</w:t>
      </w:r>
      <w:r>
        <w:rPr>
          <w:b/>
          <w:bCs/>
          <w:color w:val="auto"/>
          <w:spacing w:val="65"/>
          <w:sz w:val="24"/>
          <w:szCs w:val="24"/>
          <w:highlight w:val="none"/>
        </w:rPr>
        <w:t xml:space="preserve"> </w:t>
      </w:r>
      <w:r>
        <w:rPr>
          <w:b/>
          <w:bCs/>
          <w:color w:val="auto"/>
          <w:spacing w:val="-4"/>
          <w:sz w:val="24"/>
          <w:szCs w:val="24"/>
          <w:highlight w:val="none"/>
        </w:rPr>
        <w:t>评标委员会</w:t>
      </w:r>
    </w:p>
    <w:p w14:paraId="1E326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3"/>
          <w:sz w:val="24"/>
          <w:szCs w:val="24"/>
          <w:highlight w:val="none"/>
        </w:rPr>
        <w:t>评标委员会的组成</w:t>
      </w:r>
    </w:p>
    <w:p w14:paraId="476C2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3"/>
          <w:sz w:val="24"/>
          <w:szCs w:val="24"/>
          <w:highlight w:val="none"/>
        </w:rPr>
        <w:t>评标由招标人依法组建的评标委员会负责。</w:t>
      </w:r>
    </w:p>
    <w:p w14:paraId="3370D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30.1.2</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评标委员会负责人依法推荐或确定。</w:t>
      </w:r>
    </w:p>
    <w:p w14:paraId="1AD53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30.2</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3"/>
          <w:sz w:val="24"/>
          <w:szCs w:val="24"/>
          <w:highlight w:val="none"/>
        </w:rPr>
        <w:t>评标委员会成员名单在中标结果确定前应当保密。</w:t>
      </w:r>
    </w:p>
    <w:p w14:paraId="44C57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30.3</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3"/>
          <w:sz w:val="24"/>
          <w:szCs w:val="24"/>
          <w:highlight w:val="none"/>
        </w:rPr>
        <w:t>评标委员会成员有下述情形的，应当主动提出回避：</w:t>
      </w:r>
    </w:p>
    <w:p w14:paraId="2B681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（1）投标人或投标人主要负责人的近亲属；</w:t>
      </w:r>
    </w:p>
    <w:p w14:paraId="1D7D0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（2）项目主管部门或者行政监督部门的人员；</w:t>
      </w:r>
    </w:p>
    <w:p w14:paraId="0DAD4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（3）与投标人有经济利益关系；</w:t>
      </w:r>
    </w:p>
    <w:p w14:paraId="7E87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2"/>
          <w:sz w:val="24"/>
          <w:szCs w:val="24"/>
          <w:highlight w:val="none"/>
        </w:rPr>
        <w:t>曾因在招标、评标以及其他与招标投标有关活动中从事违法行为而受过行政处罚或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刑事处罚的；</w:t>
      </w:r>
    </w:p>
    <w:p w14:paraId="4CCEA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Arial"/>
          <w:color w:val="auto"/>
          <w:sz w:val="21"/>
          <w:highlight w:val="none"/>
        </w:rPr>
      </w:pPr>
      <w:r>
        <w:rPr>
          <w:rFonts w:ascii="新宋体" w:hAnsi="新宋体" w:eastAsia="新宋体" w:cs="新宋体"/>
          <w:color w:val="auto"/>
          <w:spacing w:val="-3"/>
          <w:sz w:val="24"/>
          <w:szCs w:val="24"/>
          <w:highlight w:val="none"/>
        </w:rPr>
        <w:t>（5）与投标人有其他利害关系。</w:t>
      </w:r>
    </w:p>
    <w:p w14:paraId="2B121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30.4</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评标委员会应当向招标人提出书面评标报告，并抄送有关行政监督部门。评标报告</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应当如实记载以下内容：</w:t>
      </w:r>
    </w:p>
    <w:p w14:paraId="40859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（1）基本情况和数据表；</w:t>
      </w:r>
    </w:p>
    <w:p w14:paraId="30AA7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（2）评标委员会成员名单；</w:t>
      </w:r>
    </w:p>
    <w:p w14:paraId="178E6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（3）开标记录；</w:t>
      </w:r>
    </w:p>
    <w:p w14:paraId="4ED22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（4）符合要求的投标人一览表；</w:t>
      </w:r>
    </w:p>
    <w:p w14:paraId="7902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（5）无效标情况说明；</w:t>
      </w:r>
    </w:p>
    <w:p w14:paraId="11B59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（6）评标标准、评标方法或者评标因素一览表；</w:t>
      </w:r>
    </w:p>
    <w:p w14:paraId="352269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（7）经评审的价格或者评分比较一览表；</w:t>
      </w:r>
    </w:p>
    <w:p w14:paraId="4BE0B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（8）投标人串标、围标等违规行为的确认报告；</w:t>
      </w:r>
    </w:p>
    <w:p w14:paraId="3DA8B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（9）经评审的投标人排序；</w:t>
      </w:r>
    </w:p>
    <w:p w14:paraId="0CC5C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（10）推荐的中标候选人名单；</w:t>
      </w:r>
    </w:p>
    <w:p w14:paraId="57EA3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（11）澄清、说明、补正事项纪要。</w:t>
      </w:r>
    </w:p>
    <w:p w14:paraId="739E5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30.5</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评标委员会应自觉接受有关监督管理部门的现场监督，评标委员会成员与评标活动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有关的工作人员和监督人员不得向他人透露对投标文件的评审和比较、中标候选人的推荐以及</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2"/>
          <w:sz w:val="24"/>
          <w:szCs w:val="24"/>
          <w:highlight w:val="none"/>
        </w:rPr>
        <w:t>与评标有关的其他情况。投标文件及与评标有关的资料应当保密。</w:t>
      </w:r>
    </w:p>
    <w:p w14:paraId="40BAFA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31.</w:t>
      </w:r>
      <w:r>
        <w:rPr>
          <w:b/>
          <w:bCs/>
          <w:color w:val="auto"/>
          <w:spacing w:val="68"/>
          <w:sz w:val="24"/>
          <w:szCs w:val="24"/>
          <w:highlight w:val="none"/>
        </w:rPr>
        <w:t xml:space="preserve"> </w:t>
      </w:r>
      <w:r>
        <w:rPr>
          <w:b/>
          <w:bCs/>
          <w:color w:val="auto"/>
          <w:spacing w:val="-6"/>
          <w:sz w:val="24"/>
          <w:szCs w:val="24"/>
          <w:highlight w:val="none"/>
        </w:rPr>
        <w:t>评标</w:t>
      </w:r>
    </w:p>
    <w:p w14:paraId="498AB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评标准备工作</w:t>
      </w:r>
    </w:p>
    <w:p w14:paraId="5C5E8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31.1.1</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3"/>
          <w:sz w:val="24"/>
          <w:szCs w:val="24"/>
          <w:highlight w:val="none"/>
        </w:rPr>
        <w:t>阅读由招标人或招标代理单位编写的招标项目情况的说明材料；</w:t>
      </w:r>
    </w:p>
    <w:p w14:paraId="3219EF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31.1.2</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3"/>
          <w:sz w:val="24"/>
          <w:szCs w:val="24"/>
          <w:highlight w:val="none"/>
        </w:rPr>
        <w:t>阅读、研究招标文件和相关评标资料，获取评标所需要的重要信息和数据；</w:t>
      </w:r>
    </w:p>
    <w:p w14:paraId="579B3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31.1.3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熟悉招标文件规定的评标方法及在</w:t>
      </w:r>
      <w:r>
        <w:rPr>
          <w:rFonts w:ascii="新宋体" w:hAnsi="新宋体" w:eastAsia="新宋体" w:cs="新宋体"/>
          <w:color w:val="auto"/>
          <w:spacing w:val="-3"/>
          <w:sz w:val="24"/>
          <w:szCs w:val="24"/>
          <w:highlight w:val="none"/>
        </w:rPr>
        <w:t>评标过程中需要考虑的相关因素；</w:t>
      </w:r>
    </w:p>
    <w:p w14:paraId="363C2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31.1.4</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4"/>
          <w:sz w:val="24"/>
          <w:szCs w:val="24"/>
          <w:highlight w:val="none"/>
        </w:rPr>
        <w:t>核对评标工作用表。</w:t>
      </w:r>
    </w:p>
    <w:p w14:paraId="4E599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31.2</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评标办法</w:t>
      </w:r>
    </w:p>
    <w:p w14:paraId="7A282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31.2.1</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1"/>
          <w:sz w:val="24"/>
          <w:szCs w:val="24"/>
          <w:highlight w:val="none"/>
        </w:rPr>
        <w:t>评标委员会按照第三章“评标办法</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规定的方法、评审因素、标准和程序对投标 </w:t>
      </w:r>
      <w:r>
        <w:rPr>
          <w:rFonts w:ascii="新宋体" w:hAnsi="新宋体" w:eastAsia="新宋体" w:cs="新宋体"/>
          <w:color w:val="auto"/>
          <w:spacing w:val="-1"/>
          <w:sz w:val="24"/>
          <w:szCs w:val="24"/>
          <w:highlight w:val="none"/>
        </w:rPr>
        <w:t>文件进行评审。第三章“评标办法”没有规定的方法、评审因素和标准，</w:t>
      </w:r>
      <w:r>
        <w:rPr>
          <w:rFonts w:ascii="新宋体" w:hAnsi="新宋体" w:eastAsia="新宋体" w:cs="新宋体"/>
          <w:color w:val="auto"/>
          <w:spacing w:val="-2"/>
          <w:sz w:val="24"/>
          <w:szCs w:val="24"/>
          <w:highlight w:val="none"/>
        </w:rPr>
        <w:t>不作为评标依据。</w:t>
      </w:r>
    </w:p>
    <w:p w14:paraId="33B59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31.3</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8"/>
          <w:sz w:val="24"/>
          <w:szCs w:val="24"/>
          <w:highlight w:val="none"/>
        </w:rPr>
        <w:t>评标原则：</w:t>
      </w:r>
    </w:p>
    <w:p w14:paraId="2F2686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遵循公平、公正、科学和择优的原则。</w:t>
      </w:r>
    </w:p>
    <w:p w14:paraId="542E9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评标报告的签署</w:t>
      </w:r>
    </w:p>
    <w:p w14:paraId="23E99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31.4.1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评标委员会应当编制书面评标报告，所有成员应签字确认。对评标结论持有异议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的评标委员会成员可以书面方式阐述其不同意见和理由。评标委员会成员拒绝在评</w:t>
      </w:r>
      <w:r>
        <w:rPr>
          <w:rFonts w:ascii="新宋体" w:hAnsi="新宋体" w:eastAsia="新宋体" w:cs="新宋体"/>
          <w:color w:val="auto"/>
          <w:spacing w:val="-4"/>
          <w:sz w:val="24"/>
          <w:szCs w:val="24"/>
          <w:highlight w:val="none"/>
        </w:rPr>
        <w:t>标报告上签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字且不陈述其不同意见和理由的，视为同意评标结论。</w:t>
      </w:r>
    </w:p>
    <w:p w14:paraId="4F2B2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31.5</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投标文件的澄清</w:t>
      </w:r>
    </w:p>
    <w:p w14:paraId="3A7C3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在评标过程中，评标委员会认为需要，在招投标监督管理部门的监督下，可要求</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投标人对投标文件中的有关问题进行澄清或提供补充说明及有关资料，投标人应做出书面答复。</w:t>
      </w:r>
    </w:p>
    <w:p w14:paraId="7C952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31.5.2</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书面答复须经投标人法定代表人或其委托代理人签字或盖章，签字或盖章的书面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答复将被视为投标文件的组成部分。</w:t>
      </w:r>
    </w:p>
    <w:p w14:paraId="18879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31.6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5"/>
          <w:sz w:val="24"/>
          <w:szCs w:val="24"/>
          <w:highlight w:val="none"/>
        </w:rPr>
        <w:t>评审意见分歧的处理办法：</w:t>
      </w:r>
    </w:p>
    <w:p w14:paraId="6122B3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（1）评标委员会应当对投标人提供的报告、证明材料及详细说明认真</w:t>
      </w:r>
      <w:r>
        <w:rPr>
          <w:rFonts w:ascii="新宋体" w:hAnsi="新宋体" w:eastAsia="新宋体" w:cs="新宋体"/>
          <w:color w:val="auto"/>
          <w:spacing w:val="-1"/>
          <w:sz w:val="24"/>
          <w:szCs w:val="24"/>
          <w:highlight w:val="none"/>
        </w:rPr>
        <w:t>研究。对存在意见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分歧的，可采用投票方式表决决定（按多数评委意见为准</w:t>
      </w:r>
      <w:r>
        <w:rPr>
          <w:rFonts w:ascii="新宋体" w:hAnsi="新宋体" w:eastAsia="新宋体" w:cs="新宋体"/>
          <w:color w:val="auto"/>
          <w:spacing w:val="2"/>
          <w:sz w:val="24"/>
          <w:szCs w:val="24"/>
          <w:highlight w:val="none"/>
        </w:rPr>
        <w:t>）；</w:t>
      </w:r>
    </w:p>
    <w:p w14:paraId="4F9A7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（2）招标投标当事人对评标结果提出异议或者投诉，招投标监督机构认为需要</w:t>
      </w:r>
      <w:r>
        <w:rPr>
          <w:rFonts w:ascii="新宋体" w:hAnsi="新宋体" w:eastAsia="新宋体" w:cs="新宋体"/>
          <w:color w:val="auto"/>
          <w:spacing w:val="-1"/>
          <w:sz w:val="24"/>
          <w:szCs w:val="24"/>
          <w:highlight w:val="none"/>
        </w:rPr>
        <w:t>重新进行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评标的，评标委员会成员应当按照招投标监督机构要求重新评标。</w:t>
      </w:r>
    </w:p>
    <w:p w14:paraId="68CAC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31.7</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评标过程的保密</w:t>
      </w:r>
    </w:p>
    <w:p w14:paraId="5B7E0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31.7.1 开标后，直至授予中标人合同为止，凡属于对投标文件的审查、澄清、评价和比</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1"/>
          <w:sz w:val="24"/>
          <w:szCs w:val="24"/>
          <w:highlight w:val="none"/>
        </w:rPr>
        <w:t>较有关的资料以及中标候选人的推荐情况及与评标有关的其他</w:t>
      </w:r>
      <w:r>
        <w:rPr>
          <w:rFonts w:ascii="新宋体" w:hAnsi="新宋体" w:eastAsia="新宋体" w:cs="新宋体"/>
          <w:color w:val="auto"/>
          <w:spacing w:val="-2"/>
          <w:sz w:val="24"/>
          <w:szCs w:val="24"/>
          <w:highlight w:val="none"/>
        </w:rPr>
        <w:t>任何情况均须严格保密。</w:t>
      </w:r>
    </w:p>
    <w:p w14:paraId="0CD548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32.  定标</w:t>
      </w:r>
    </w:p>
    <w:p w14:paraId="3830DA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32.1</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5"/>
          <w:sz w:val="24"/>
          <w:szCs w:val="24"/>
          <w:highlight w:val="none"/>
        </w:rPr>
        <w:t>中标候选人的确定</w:t>
      </w:r>
    </w:p>
    <w:p w14:paraId="64F250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32.1.1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除投标人须知前附表规定评标委员会直接确定中标人外，招标人依据评标委员会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推荐的中标候选人确定中标人，评标委员会推荐中标候选人的人数见投标人须知前附表。评审</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结束后，根据评标委员会评审初步结论，招标人（或代理公司）将对推荐的中标候选人及其法</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5"/>
          <w:sz w:val="24"/>
          <w:szCs w:val="24"/>
          <w:highlight w:val="none"/>
        </w:rPr>
        <w:t>定代表人、项目负责人是否是人民法院公布的失信被执行人进行网上核查，</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5"/>
          <w:sz w:val="24"/>
          <w:szCs w:val="24"/>
          <w:highlight w:val="none"/>
        </w:rPr>
        <w:t>若核查结果与投标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人承诺不一致，则提交评标委员会取消其预中标候选人资格，依次替补，并再次对替补单位进</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0"/>
          <w:sz w:val="24"/>
          <w:szCs w:val="24"/>
          <w:highlight w:val="none"/>
        </w:rPr>
        <w:t>行核查。</w:t>
      </w:r>
    </w:p>
    <w:p w14:paraId="342DBA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32.1.2 中标人确定后，招标人应将中标结果在新疆政府采购网上</w:t>
      </w:r>
      <w:r>
        <w:rPr>
          <w:rFonts w:ascii="新宋体" w:hAnsi="新宋体" w:eastAsia="新宋体" w:cs="新宋体"/>
          <w:color w:val="auto"/>
          <w:spacing w:val="-12"/>
          <w:sz w:val="24"/>
          <w:szCs w:val="24"/>
          <w:highlight w:val="none"/>
        </w:rPr>
        <w:t>公示</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12"/>
          <w:sz w:val="24"/>
          <w:szCs w:val="24"/>
          <w:highlight w:val="none"/>
        </w:rPr>
        <w:t>1</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12"/>
          <w:sz w:val="24"/>
          <w:szCs w:val="24"/>
          <w:highlight w:val="none"/>
        </w:rPr>
        <w:t>个工作日。</w:t>
      </w:r>
    </w:p>
    <w:p w14:paraId="18ACD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32.2</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6"/>
          <w:sz w:val="24"/>
          <w:szCs w:val="24"/>
          <w:highlight w:val="none"/>
        </w:rPr>
        <w:t>中标人的确定</w:t>
      </w:r>
    </w:p>
    <w:p w14:paraId="3B9E5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32.2.1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若招标人未接到投诉或公共资源监督管理部门未通知招标人中标候选人在招标投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标活动中有违法行为的，招标人应当确定排名第一的中标候选人为中标人，排名第一的中标候</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5"/>
          <w:sz w:val="24"/>
          <w:szCs w:val="24"/>
          <w:highlight w:val="none"/>
        </w:rPr>
        <w:t>选人放弃中标、因不可抗力提出不能履行合同，</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或者招标文件规定应当提交履约保证金而在规</w:t>
      </w:r>
    </w:p>
    <w:p w14:paraId="28C93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定的期限内未能提交的，招标人可以确定排名第二的中标候选人为中标人或重新组织招标。排</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名第二的中标候选人因前款规定的同样原因不能签订合同的，招标人可以确定排名第三的中标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候选人为中标人或重新组织招标。</w:t>
      </w:r>
    </w:p>
    <w:p w14:paraId="46417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32.3</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6"/>
          <w:sz w:val="24"/>
          <w:szCs w:val="24"/>
          <w:highlight w:val="none"/>
        </w:rPr>
        <w:t>中标通知书</w:t>
      </w:r>
    </w:p>
    <w:p w14:paraId="7985D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32.3.1 中标人确定后，招标人将向中标人发出中标通知书。</w:t>
      </w:r>
    </w:p>
    <w:p w14:paraId="76F5C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32.3.2 中标通知书须加盖招标人、</w:t>
      </w:r>
      <w:r>
        <w:rPr>
          <w:rFonts w:hint="eastAsia" w:ascii="新宋体" w:hAnsi="新宋体" w:eastAsia="新宋体" w:cs="新宋体"/>
          <w:color w:val="auto"/>
          <w:spacing w:val="-3"/>
          <w:sz w:val="24"/>
          <w:szCs w:val="24"/>
          <w:highlight w:val="none"/>
          <w:lang w:eastAsia="zh-CN"/>
        </w:rPr>
        <w:t>采购代理机构</w:t>
      </w:r>
      <w:r>
        <w:rPr>
          <w:rFonts w:ascii="新宋体" w:hAnsi="新宋体" w:eastAsia="新宋体" w:cs="新宋体"/>
          <w:color w:val="auto"/>
          <w:spacing w:val="-3"/>
          <w:sz w:val="24"/>
          <w:szCs w:val="24"/>
          <w:highlight w:val="none"/>
        </w:rPr>
        <w:t>公章，</w:t>
      </w:r>
      <w:r>
        <w:rPr>
          <w:rFonts w:ascii="新宋体" w:hAnsi="新宋体" w:eastAsia="新宋体" w:cs="新宋体"/>
          <w:color w:val="auto"/>
          <w:spacing w:val="-4"/>
          <w:sz w:val="24"/>
          <w:szCs w:val="24"/>
          <w:highlight w:val="none"/>
        </w:rPr>
        <w:t>方可发出。</w:t>
      </w:r>
    </w:p>
    <w:p w14:paraId="537C96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33.</w:t>
      </w:r>
      <w:r>
        <w:rPr>
          <w:b/>
          <w:bCs/>
          <w:color w:val="auto"/>
          <w:spacing w:val="67"/>
          <w:sz w:val="24"/>
          <w:szCs w:val="24"/>
          <w:highlight w:val="none"/>
        </w:rPr>
        <w:t xml:space="preserve"> </w:t>
      </w:r>
      <w:r>
        <w:rPr>
          <w:b/>
          <w:bCs/>
          <w:color w:val="auto"/>
          <w:spacing w:val="-3"/>
          <w:sz w:val="24"/>
          <w:szCs w:val="24"/>
          <w:highlight w:val="none"/>
        </w:rPr>
        <w:t>开评标异常情况处理</w:t>
      </w:r>
    </w:p>
    <w:p w14:paraId="5EC3F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33.1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4"/>
          <w:sz w:val="24"/>
          <w:szCs w:val="24"/>
          <w:highlight w:val="none"/>
        </w:rPr>
        <w:t>重新招标</w:t>
      </w:r>
    </w:p>
    <w:p w14:paraId="5B7EA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有下列情形之一的，招标人将重新招标：</w:t>
      </w:r>
    </w:p>
    <w:p w14:paraId="39421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（1）经评标委员会评审后否决所有投标的；</w:t>
      </w:r>
    </w:p>
    <w:p w14:paraId="7730B5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（2）出现影响采购公正的违法、违规行为的；</w:t>
      </w:r>
    </w:p>
    <w:p w14:paraId="660BD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（3）投标人的报价均脱离实际且无充分证据的；</w:t>
      </w:r>
    </w:p>
    <w:p w14:paraId="4033A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（4）因重大变故，采购任务取消的。</w:t>
      </w:r>
    </w:p>
    <w:p w14:paraId="20437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（5）法律、法规规定的其他情形。</w:t>
      </w:r>
    </w:p>
    <w:p w14:paraId="616328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6"/>
          <w:sz w:val="28"/>
          <w:szCs w:val="28"/>
          <w:highlight w:val="none"/>
        </w:rPr>
        <w:t>（六）合同的授予</w:t>
      </w:r>
    </w:p>
    <w:p w14:paraId="1202294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34.  合同</w:t>
      </w:r>
    </w:p>
    <w:p w14:paraId="234A9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招标人与中标人将于中标通知书发出之日起</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30 日内，按照招标文件和</w:t>
      </w:r>
      <w:r>
        <w:rPr>
          <w:rFonts w:ascii="新宋体" w:hAnsi="新宋体" w:eastAsia="新宋体" w:cs="新宋体"/>
          <w:color w:val="auto"/>
          <w:spacing w:val="-4"/>
          <w:sz w:val="24"/>
          <w:szCs w:val="24"/>
          <w:highlight w:val="none"/>
        </w:rPr>
        <w:t>投标文件和中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标人订立书面采购合同。合同双方不得再行订立背离合同实质性内容的其他协议。合同价款按</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5"/>
          <w:sz w:val="24"/>
          <w:szCs w:val="24"/>
          <w:highlight w:val="none"/>
        </w:rPr>
        <w:t>招标文件前附表规定。</w:t>
      </w:r>
    </w:p>
    <w:p w14:paraId="746B8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招标人如不按招标文件第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条的规定与中标人订立合同，或者招</w:t>
      </w:r>
      <w:r>
        <w:rPr>
          <w:rFonts w:ascii="新宋体" w:hAnsi="新宋体" w:eastAsia="新宋体" w:cs="新宋体"/>
          <w:color w:val="auto"/>
          <w:spacing w:val="-3"/>
          <w:sz w:val="24"/>
          <w:szCs w:val="24"/>
          <w:highlight w:val="none"/>
        </w:rPr>
        <w:t>标人、中标人订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立背离合同实质性内容的协议，招标人应当按投标保证金的数额对投标人进行赔偿，给投标人</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造成的损失超过投标保证金数额的，还应当对超过部分</w:t>
      </w:r>
      <w:r>
        <w:rPr>
          <w:rFonts w:ascii="新宋体" w:hAnsi="新宋体" w:eastAsia="新宋体" w:cs="新宋体"/>
          <w:color w:val="auto"/>
          <w:spacing w:val="-7"/>
          <w:sz w:val="24"/>
          <w:szCs w:val="24"/>
          <w:highlight w:val="none"/>
        </w:rPr>
        <w:t>予以赔偿，同时依法承担相应法律责任。</w:t>
      </w:r>
    </w:p>
    <w:p w14:paraId="41888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34.3</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3"/>
          <w:sz w:val="24"/>
          <w:szCs w:val="24"/>
          <w:highlight w:val="none"/>
        </w:rPr>
        <w:t>中标人如不按本投标须知第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条的规定与招标人订立合同，招标人将取消其中标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资格，投标保证金不予退还，给招标人造成的损失超过投标保证金数额的，还应当对</w:t>
      </w:r>
      <w:r>
        <w:rPr>
          <w:rFonts w:ascii="新宋体" w:hAnsi="新宋体" w:eastAsia="新宋体" w:cs="新宋体"/>
          <w:color w:val="auto"/>
          <w:spacing w:val="-4"/>
          <w:sz w:val="24"/>
          <w:szCs w:val="24"/>
          <w:highlight w:val="none"/>
        </w:rPr>
        <w:t>超过部分</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予以赔偿，同时依法承担相应法律责任。</w:t>
      </w:r>
    </w:p>
    <w:p w14:paraId="2F989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 xml:space="preserve">34.4 中标人应当按照合同约定履行义务，完成中标项目，不得将中标项目转让（转包） </w:t>
      </w:r>
      <w:r>
        <w:rPr>
          <w:rFonts w:ascii="新宋体" w:hAnsi="新宋体" w:eastAsia="新宋体" w:cs="新宋体"/>
          <w:color w:val="auto"/>
          <w:spacing w:val="-10"/>
          <w:sz w:val="24"/>
          <w:szCs w:val="24"/>
          <w:highlight w:val="none"/>
        </w:rPr>
        <w:t>给他人。</w:t>
      </w:r>
    </w:p>
    <w:p w14:paraId="7CE8314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35.  履约保证金</w:t>
      </w:r>
    </w:p>
    <w:p w14:paraId="62629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35.1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z w:val="24"/>
          <w:szCs w:val="24"/>
          <w:highlight w:val="none"/>
        </w:rPr>
        <w:t>在签订合同后五日内，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 xml:space="preserve">中标人应按投标人须知前附表规定的金额、担保形式向招标 </w:t>
      </w:r>
      <w:r>
        <w:rPr>
          <w:rFonts w:ascii="新宋体" w:hAnsi="新宋体" w:eastAsia="新宋体" w:cs="新宋体"/>
          <w:color w:val="auto"/>
          <w:spacing w:val="-6"/>
          <w:sz w:val="24"/>
          <w:szCs w:val="24"/>
          <w:highlight w:val="none"/>
        </w:rPr>
        <w:t>人提交履约保证金。</w:t>
      </w:r>
    </w:p>
    <w:p w14:paraId="50491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35.2 中标人不能按本章第</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项要求提交履约保证金的，视为放弃中标，其</w:t>
      </w:r>
      <w:r>
        <w:rPr>
          <w:rFonts w:ascii="新宋体" w:hAnsi="新宋体" w:eastAsia="新宋体" w:cs="新宋体"/>
          <w:color w:val="auto"/>
          <w:spacing w:val="-4"/>
          <w:sz w:val="24"/>
          <w:szCs w:val="24"/>
          <w:highlight w:val="none"/>
        </w:rPr>
        <w:t>投标保证金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不予退还，给招标人造成的损失超过投标保证金数额的，中标</w:t>
      </w:r>
      <w:r>
        <w:rPr>
          <w:rFonts w:ascii="新宋体" w:hAnsi="新宋体" w:eastAsia="新宋体" w:cs="新宋体"/>
          <w:color w:val="auto"/>
          <w:spacing w:val="-2"/>
          <w:sz w:val="24"/>
          <w:szCs w:val="24"/>
          <w:highlight w:val="none"/>
        </w:rPr>
        <w:t>人还应当对超过部分予以赔偿。</w:t>
      </w:r>
    </w:p>
    <w:p w14:paraId="2668BB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（七）纪律和监督</w:t>
      </w:r>
    </w:p>
    <w:p w14:paraId="15DC79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36.</w:t>
      </w:r>
      <w:r>
        <w:rPr>
          <w:b/>
          <w:bCs/>
          <w:color w:val="auto"/>
          <w:spacing w:val="67"/>
          <w:w w:val="101"/>
          <w:sz w:val="24"/>
          <w:szCs w:val="24"/>
          <w:highlight w:val="none"/>
        </w:rPr>
        <w:t xml:space="preserve"> </w:t>
      </w:r>
      <w:r>
        <w:rPr>
          <w:b/>
          <w:bCs/>
          <w:color w:val="auto"/>
          <w:spacing w:val="-3"/>
          <w:sz w:val="24"/>
          <w:szCs w:val="24"/>
          <w:highlight w:val="none"/>
        </w:rPr>
        <w:t>对招标人的纪律要求</w:t>
      </w:r>
    </w:p>
    <w:p w14:paraId="468C0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36.1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招标人不得泄漏招标投标活动中应当保密的情况和资料，不得与投标人串通损害国</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家利益，社会公共利益或者他人合法权益。</w:t>
      </w:r>
    </w:p>
    <w:p w14:paraId="06EBAF5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37.</w:t>
      </w:r>
      <w:r>
        <w:rPr>
          <w:b/>
          <w:bCs/>
          <w:color w:val="auto"/>
          <w:spacing w:val="67"/>
          <w:w w:val="101"/>
          <w:sz w:val="24"/>
          <w:szCs w:val="24"/>
          <w:highlight w:val="none"/>
        </w:rPr>
        <w:t xml:space="preserve"> </w:t>
      </w:r>
      <w:r>
        <w:rPr>
          <w:b/>
          <w:bCs/>
          <w:color w:val="auto"/>
          <w:spacing w:val="-3"/>
          <w:sz w:val="24"/>
          <w:szCs w:val="24"/>
          <w:highlight w:val="none"/>
        </w:rPr>
        <w:t>对投标人的纪律要求</w:t>
      </w:r>
    </w:p>
    <w:p w14:paraId="1387FE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37.1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投标人不得相互串通投标或者与招标人串通投标，不得向招标人或者评标委员会成</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员行贿谋取中标，不得以他人名义投标或者以其他方式弄虚作假骗取中标；投标人不得以任何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方式干扰、影响评标工作。</w:t>
      </w:r>
    </w:p>
    <w:p w14:paraId="065BD3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38.</w:t>
      </w:r>
      <w:r>
        <w:rPr>
          <w:b/>
          <w:bCs/>
          <w:color w:val="auto"/>
          <w:spacing w:val="79"/>
          <w:sz w:val="24"/>
          <w:szCs w:val="24"/>
          <w:highlight w:val="none"/>
        </w:rPr>
        <w:t xml:space="preserve"> </w:t>
      </w:r>
      <w:r>
        <w:rPr>
          <w:b/>
          <w:bCs/>
          <w:color w:val="auto"/>
          <w:spacing w:val="-3"/>
          <w:sz w:val="24"/>
          <w:szCs w:val="24"/>
          <w:highlight w:val="none"/>
        </w:rPr>
        <w:t>对评标委员会成员的纪律要求</w:t>
      </w:r>
    </w:p>
    <w:p w14:paraId="12CCF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标委员会成员不得收受他人的财物或者其他好处，不得向他人透漏对投标文件的评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审和比较、中标候选人的推荐情况以及评标有关的其他情况。</w:t>
      </w:r>
    </w:p>
    <w:p w14:paraId="6B213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在评标活动中，评标委员会成员不得擅离职守，影响评标程序正常进行，不得使用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第三章“评标办法”没有规定的评审因素和标准</w:t>
      </w:r>
      <w:r>
        <w:rPr>
          <w:rFonts w:ascii="新宋体" w:hAnsi="新宋体" w:eastAsia="新宋体" w:cs="新宋体"/>
          <w:color w:val="auto"/>
          <w:spacing w:val="-3"/>
          <w:sz w:val="24"/>
          <w:szCs w:val="24"/>
          <w:highlight w:val="none"/>
        </w:rPr>
        <w:t>进行评标。</w:t>
      </w:r>
    </w:p>
    <w:p w14:paraId="1C68DA3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39.</w:t>
      </w:r>
      <w:r>
        <w:rPr>
          <w:b/>
          <w:bCs/>
          <w:color w:val="auto"/>
          <w:spacing w:val="72"/>
          <w:w w:val="101"/>
          <w:sz w:val="24"/>
          <w:szCs w:val="24"/>
          <w:highlight w:val="none"/>
        </w:rPr>
        <w:t xml:space="preserve"> </w:t>
      </w:r>
      <w:r>
        <w:rPr>
          <w:b/>
          <w:bCs/>
          <w:color w:val="auto"/>
          <w:spacing w:val="-2"/>
          <w:sz w:val="24"/>
          <w:szCs w:val="24"/>
          <w:highlight w:val="none"/>
        </w:rPr>
        <w:t>对与评标活动有关的工作人员的纪律要求</w:t>
      </w:r>
    </w:p>
    <w:p w14:paraId="0A393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39.1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与评标活动有关的工作人员不得收受他人的财物或者其他好处，不得向他人透漏对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投标文件的评审和比较、中标候选人的推荐情况以及评标有关的其他情况。在评标活动中， 与</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2"/>
          <w:sz w:val="24"/>
          <w:szCs w:val="24"/>
          <w:highlight w:val="none"/>
        </w:rPr>
        <w:t>评标活动有关的工作人员不得擅离职守，影响评标程序正常进行。</w:t>
      </w:r>
    </w:p>
    <w:p w14:paraId="3C9D317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（八）质疑与投诉</w:t>
      </w:r>
    </w:p>
    <w:p w14:paraId="766A465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40.  质疑</w:t>
      </w:r>
    </w:p>
    <w:p w14:paraId="1DCF2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招标文件发售后，参与采购活动的投标人如发</w:t>
      </w:r>
      <w:r>
        <w:rPr>
          <w:rFonts w:ascii="新宋体" w:hAnsi="新宋体" w:eastAsia="新宋体" w:cs="新宋体"/>
          <w:color w:val="auto"/>
          <w:spacing w:val="1"/>
          <w:sz w:val="24"/>
          <w:szCs w:val="24"/>
          <w:highlight w:val="none"/>
        </w:rPr>
        <w:t>现招标文件的商务条款、技术要求存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在倾向性、错误、遗漏、含混不清等问题，可在招标文件规定的时间之前，请与招标人联系，</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提出质疑，要求修改或澄清。</w:t>
      </w:r>
    </w:p>
    <w:p w14:paraId="23C2B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40.2 中标公告发布后，参与投标的投标人对</w:t>
      </w:r>
      <w:r>
        <w:rPr>
          <w:rFonts w:ascii="新宋体" w:hAnsi="新宋体" w:eastAsia="新宋体" w:cs="新宋体"/>
          <w:color w:val="auto"/>
          <w:sz w:val="24"/>
          <w:szCs w:val="24"/>
          <w:highlight w:val="none"/>
        </w:rPr>
        <w:t xml:space="preserve">中标公告有异议的，应该在中标公告发布之 </w:t>
      </w:r>
      <w:r>
        <w:rPr>
          <w:rFonts w:ascii="新宋体" w:hAnsi="新宋体" w:eastAsia="新宋体" w:cs="新宋体"/>
          <w:color w:val="auto"/>
          <w:spacing w:val="-3"/>
          <w:sz w:val="24"/>
          <w:szCs w:val="24"/>
          <w:highlight w:val="none"/>
        </w:rPr>
        <w:t>日起七个工作日内向招标人书面提出质疑。未在规定时间提出质疑的，不予受理。</w:t>
      </w:r>
    </w:p>
    <w:p w14:paraId="76551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参与投标的投标人对中标公告提出的</w:t>
      </w:r>
      <w:r>
        <w:rPr>
          <w:rFonts w:ascii="新宋体" w:hAnsi="新宋体" w:eastAsia="新宋体" w:cs="新宋体"/>
          <w:color w:val="auto"/>
          <w:spacing w:val="1"/>
          <w:sz w:val="24"/>
          <w:szCs w:val="24"/>
          <w:highlight w:val="none"/>
        </w:rPr>
        <w:t>书面质疑，负有举证的责任。在质疑函中应清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楚地写明所质疑的项目名称、编号、标包号标包名、质疑的事项与事实等内容， 并附上质疑事</w:t>
      </w:r>
    </w:p>
    <w:p w14:paraId="5D4B9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项、事实的证明文件。投标人在经其法定代表人签字并盖上投标人公章后，将该质疑函当面递</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8"/>
          <w:sz w:val="24"/>
          <w:szCs w:val="24"/>
          <w:highlight w:val="none"/>
        </w:rPr>
        <w:t>交至招标人。</w:t>
      </w:r>
    </w:p>
    <w:p w14:paraId="38A3B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招标人在收到投标人的质疑函后，将审查质疑</w:t>
      </w:r>
      <w:r>
        <w:rPr>
          <w:rFonts w:ascii="新宋体" w:hAnsi="新宋体" w:eastAsia="新宋体" w:cs="新宋体"/>
          <w:color w:val="auto"/>
          <w:spacing w:val="1"/>
          <w:sz w:val="24"/>
          <w:szCs w:val="24"/>
          <w:highlight w:val="none"/>
        </w:rPr>
        <w:t>函的格式、内容以及所附的证明文件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是否符合要求。如不符合，说明原因退回投标人；如符合要求，则接受该质疑函并向投标人出</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7"/>
          <w:sz w:val="24"/>
          <w:szCs w:val="24"/>
          <w:highlight w:val="none"/>
        </w:rPr>
        <w:t>具受理证明。</w:t>
      </w:r>
    </w:p>
    <w:p w14:paraId="4860A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处理质疑的时间，从实际接受投标人</w:t>
      </w:r>
      <w:r>
        <w:rPr>
          <w:rFonts w:ascii="新宋体" w:hAnsi="新宋体" w:eastAsia="新宋体" w:cs="新宋体"/>
          <w:color w:val="auto"/>
          <w:spacing w:val="-2"/>
          <w:sz w:val="24"/>
          <w:szCs w:val="24"/>
          <w:highlight w:val="none"/>
        </w:rPr>
        <w:t>质疑函、出具受理证明的时间开始计算。</w:t>
      </w:r>
    </w:p>
    <w:p w14:paraId="55F91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投标人对招标人的答复不满意，或者招标人未</w:t>
      </w:r>
      <w:r>
        <w:rPr>
          <w:rFonts w:ascii="新宋体" w:hAnsi="新宋体" w:eastAsia="新宋体" w:cs="新宋体"/>
          <w:color w:val="auto"/>
          <w:spacing w:val="1"/>
          <w:sz w:val="24"/>
          <w:szCs w:val="24"/>
          <w:highlight w:val="none"/>
        </w:rPr>
        <w:t>在规定的时间内答复的，可以在答复</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期满后十五个工作日内按有关规定，向同级人民政府招</w:t>
      </w:r>
      <w:r>
        <w:rPr>
          <w:rFonts w:ascii="新宋体" w:hAnsi="新宋体" w:eastAsia="新宋体" w:cs="新宋体"/>
          <w:color w:val="auto"/>
          <w:spacing w:val="-2"/>
          <w:sz w:val="24"/>
          <w:szCs w:val="24"/>
          <w:highlight w:val="none"/>
        </w:rPr>
        <w:t>标采购监管部门进行投诉。</w:t>
      </w:r>
    </w:p>
    <w:p w14:paraId="3296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40.7</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质疑与投诉按照《政府采购质疑和投诉办法》文号【财政部令第</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3"/>
          <w:sz w:val="24"/>
          <w:szCs w:val="24"/>
          <w:highlight w:val="none"/>
        </w:rPr>
        <w:t>94</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号】要求，投标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单位应当在知道或者应知（即收到采购文件之日）其权益受到损害之日起七个工作日内以书面</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形式一次性提出。</w:t>
      </w:r>
    </w:p>
    <w:p w14:paraId="3F6E3AD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7"/>
          <w:sz w:val="28"/>
          <w:szCs w:val="28"/>
          <w:highlight w:val="none"/>
        </w:rPr>
        <w:t>（九）其他</w:t>
      </w:r>
    </w:p>
    <w:p w14:paraId="5D50C1D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41.</w:t>
      </w:r>
      <w:r>
        <w:rPr>
          <w:b/>
          <w:bCs/>
          <w:color w:val="auto"/>
          <w:spacing w:val="69"/>
          <w:sz w:val="24"/>
          <w:szCs w:val="24"/>
          <w:highlight w:val="none"/>
        </w:rPr>
        <w:t xml:space="preserve"> </w:t>
      </w:r>
      <w:r>
        <w:rPr>
          <w:b/>
          <w:bCs/>
          <w:color w:val="auto"/>
          <w:spacing w:val="-5"/>
          <w:sz w:val="24"/>
          <w:szCs w:val="24"/>
          <w:highlight w:val="none"/>
        </w:rPr>
        <w:t>其他</w:t>
      </w:r>
    </w:p>
    <w:p w14:paraId="63787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招标文件内容及要求严格执行国家、省（自治区）有关法律法规。</w:t>
      </w:r>
    </w:p>
    <w:p w14:paraId="4E97891D">
      <w:pPr>
        <w:spacing w:line="224" w:lineRule="auto"/>
        <w:rPr>
          <w:rFonts w:ascii="新宋体" w:hAnsi="新宋体" w:eastAsia="新宋体" w:cs="新宋体"/>
          <w:color w:val="auto"/>
          <w:sz w:val="24"/>
          <w:szCs w:val="24"/>
          <w:highlight w:val="none"/>
        </w:rPr>
        <w:sectPr>
          <w:footerReference r:id="rId9" w:type="default"/>
          <w:pgSz w:w="11905" w:h="16839"/>
          <w:pgMar w:top="400" w:right="1083" w:bottom="1250" w:left="1098" w:header="0" w:footer="1090" w:gutter="0"/>
          <w:pgNumType w:fmt="numberInDash"/>
          <w:cols w:space="720" w:num="1"/>
        </w:sectPr>
      </w:pPr>
    </w:p>
    <w:p w14:paraId="5A33BBEB">
      <w:pPr>
        <w:pStyle w:val="8"/>
        <w:spacing w:before="129" w:line="188" w:lineRule="auto"/>
        <w:jc w:val="center"/>
        <w:outlineLvl w:val="0"/>
        <w:rPr>
          <w:color w:val="auto"/>
          <w:sz w:val="30"/>
          <w:szCs w:val="30"/>
          <w:highlight w:val="none"/>
        </w:rPr>
      </w:pPr>
      <w:bookmarkStart w:id="11" w:name="bookmark4"/>
      <w:bookmarkEnd w:id="11"/>
      <w:r>
        <w:rPr>
          <w:b/>
          <w:bCs/>
          <w:color w:val="auto"/>
          <w:spacing w:val="-7"/>
          <w:sz w:val="30"/>
          <w:szCs w:val="30"/>
          <w:highlight w:val="none"/>
        </w:rPr>
        <w:t>第三章</w:t>
      </w:r>
      <w:r>
        <w:rPr>
          <w:b/>
          <w:bCs/>
          <w:color w:val="auto"/>
          <w:spacing w:val="17"/>
          <w:sz w:val="30"/>
          <w:szCs w:val="30"/>
          <w:highlight w:val="none"/>
        </w:rPr>
        <w:t xml:space="preserve">   </w:t>
      </w:r>
      <w:r>
        <w:rPr>
          <w:b/>
          <w:bCs/>
          <w:color w:val="auto"/>
          <w:spacing w:val="-7"/>
          <w:sz w:val="30"/>
          <w:szCs w:val="30"/>
          <w:highlight w:val="none"/>
        </w:rPr>
        <w:t>评标办法</w:t>
      </w:r>
    </w:p>
    <w:p w14:paraId="1C48CB2E">
      <w:pPr>
        <w:pStyle w:val="8"/>
        <w:spacing w:before="171" w:line="188" w:lineRule="auto"/>
        <w:ind w:left="142"/>
        <w:rPr>
          <w:color w:val="auto"/>
          <w:sz w:val="24"/>
          <w:szCs w:val="24"/>
          <w:highlight w:val="none"/>
        </w:rPr>
      </w:pPr>
      <w:r>
        <w:rPr>
          <w:b/>
          <w:bCs/>
          <w:color w:val="auto"/>
          <w:spacing w:val="-9"/>
          <w:w w:val="97"/>
          <w:sz w:val="24"/>
          <w:szCs w:val="24"/>
          <w:highlight w:val="none"/>
        </w:rPr>
        <w:t>一</w:t>
      </w:r>
      <w:r>
        <w:rPr>
          <w:b/>
          <w:bCs/>
          <w:color w:val="auto"/>
          <w:spacing w:val="4"/>
          <w:sz w:val="24"/>
          <w:szCs w:val="24"/>
          <w:highlight w:val="none"/>
        </w:rPr>
        <w:t xml:space="preserve">  </w:t>
      </w:r>
      <w:r>
        <w:rPr>
          <w:b/>
          <w:bCs/>
          <w:color w:val="auto"/>
          <w:spacing w:val="-9"/>
          <w:w w:val="97"/>
          <w:sz w:val="24"/>
          <w:szCs w:val="24"/>
          <w:highlight w:val="none"/>
        </w:rPr>
        <w:t>、总则</w:t>
      </w:r>
    </w:p>
    <w:p w14:paraId="746DBB97">
      <w:pPr>
        <w:spacing w:before="145" w:line="224" w:lineRule="auto"/>
        <w:ind w:left="61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1.评标方法</w:t>
      </w:r>
    </w:p>
    <w:p w14:paraId="3AF48CC2">
      <w:pPr>
        <w:spacing w:before="175"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综合评分法是指投标文件满足招标文件全部实质性要求且按照评审因素的量化指标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评审得分最高的供应商为中标候选人的评标方法。</w:t>
      </w:r>
    </w:p>
    <w:p w14:paraId="5D6B0F6D">
      <w:pPr>
        <w:spacing w:before="178"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综合评分法一般适用于较为复杂、评价指标难以量化且价格为非主要因素的非标准定</w:t>
      </w:r>
      <w:r>
        <w:rPr>
          <w:rFonts w:ascii="新宋体" w:hAnsi="新宋体" w:eastAsia="新宋体" w:cs="新宋体"/>
          <w:color w:val="auto"/>
          <w:spacing w:val="-3"/>
          <w:sz w:val="24"/>
          <w:szCs w:val="24"/>
          <w:highlight w:val="none"/>
        </w:rPr>
        <w:t>制商品和非通用服务项目的项目评审。</w:t>
      </w:r>
    </w:p>
    <w:p w14:paraId="43F17E59">
      <w:pPr>
        <w:spacing w:before="177"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第一步：先进行投标人证件审查，只有投标人证件审查评审合格后，才能进入下一阶段评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2"/>
          <w:sz w:val="24"/>
          <w:szCs w:val="24"/>
          <w:highlight w:val="none"/>
        </w:rPr>
        <w:t>审；</w:t>
      </w:r>
    </w:p>
    <w:p w14:paraId="218C63F6">
      <w:pPr>
        <w:spacing w:before="35"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第二步：通过技术标和商务标评审，在满足招标文件实质性要求前提下，由评标委员会评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审技术标和商务标得分，计算总得分。</w:t>
      </w:r>
    </w:p>
    <w:p w14:paraId="442F2D15">
      <w:pPr>
        <w:spacing w:before="34" w:line="350" w:lineRule="auto"/>
        <w:ind w:left="142" w:right="7" w:firstLine="465"/>
        <w:jc w:val="both"/>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评标委员会按总得分从高到低按顺序推荐三名中标候选人，若总得分最高有两个及以上时，</w:t>
      </w:r>
      <w:r>
        <w:rPr>
          <w:rFonts w:ascii="新宋体" w:hAnsi="新宋体" w:eastAsia="新宋体" w:cs="新宋体"/>
          <w:color w:val="auto"/>
          <w:spacing w:val="12"/>
          <w:sz w:val="24"/>
          <w:szCs w:val="24"/>
          <w:highlight w:val="none"/>
        </w:rPr>
        <w:t xml:space="preserve"> </w:t>
      </w:r>
      <w:r>
        <w:rPr>
          <w:rFonts w:ascii="新宋体" w:hAnsi="新宋体" w:eastAsia="新宋体" w:cs="新宋体"/>
          <w:color w:val="auto"/>
          <w:spacing w:val="-3"/>
          <w:sz w:val="24"/>
          <w:szCs w:val="24"/>
          <w:highlight w:val="none"/>
        </w:rPr>
        <w:t>以报价低者优先；得分且投标报价相同的，按技术指标优劣顺序排列。技术标也相同时由招标人现场采取随机摇号的方式确定中标候选人。</w:t>
      </w:r>
    </w:p>
    <w:p w14:paraId="3B19B298">
      <w:pPr>
        <w:pStyle w:val="8"/>
        <w:spacing w:before="37" w:line="271" w:lineRule="auto"/>
        <w:ind w:left="143" w:right="167" w:firstLine="574"/>
        <w:rPr>
          <w:color w:val="auto"/>
          <w:sz w:val="24"/>
          <w:szCs w:val="24"/>
          <w:highlight w:val="none"/>
        </w:rPr>
      </w:pPr>
      <w:r>
        <w:rPr>
          <w:b/>
          <w:bCs/>
          <w:color w:val="auto"/>
          <w:spacing w:val="-4"/>
          <w:sz w:val="24"/>
          <w:szCs w:val="24"/>
          <w:highlight w:val="none"/>
        </w:rPr>
        <w:t>本项目设置报价最高限价：</w:t>
      </w:r>
      <w:r>
        <w:rPr>
          <w:rFonts w:hint="eastAsia"/>
          <w:b/>
          <w:bCs/>
          <w:color w:val="auto"/>
          <w:spacing w:val="-2"/>
          <w:sz w:val="24"/>
          <w:szCs w:val="24"/>
          <w:highlight w:val="none"/>
          <w:lang w:val="en-US" w:eastAsia="zh-CN"/>
        </w:rPr>
        <w:t>3970</w:t>
      </w:r>
      <w:r>
        <w:rPr>
          <w:rFonts w:hint="eastAsia"/>
          <w:b/>
          <w:bCs/>
          <w:color w:val="auto"/>
          <w:spacing w:val="-2"/>
          <w:sz w:val="24"/>
          <w:szCs w:val="24"/>
          <w:highlight w:val="none"/>
          <w:lang w:eastAsia="zh-CN"/>
        </w:rPr>
        <w:t>000.00</w:t>
      </w:r>
      <w:r>
        <w:rPr>
          <w:rFonts w:hint="eastAsia"/>
          <w:b/>
          <w:bCs/>
          <w:color w:val="auto"/>
          <w:spacing w:val="-2"/>
          <w:sz w:val="24"/>
          <w:szCs w:val="24"/>
          <w:highlight w:val="none"/>
        </w:rPr>
        <w:t xml:space="preserve"> 元（</w:t>
      </w:r>
      <w:r>
        <w:rPr>
          <w:rFonts w:hint="eastAsia"/>
          <w:b/>
          <w:bCs/>
          <w:color w:val="auto"/>
          <w:spacing w:val="-2"/>
          <w:sz w:val="24"/>
          <w:szCs w:val="24"/>
          <w:highlight w:val="none"/>
          <w:lang w:val="en-US" w:eastAsia="zh-CN"/>
        </w:rPr>
        <w:t>叁佰玖拾柒万元整</w:t>
      </w:r>
      <w:r>
        <w:rPr>
          <w:rFonts w:hint="eastAsia"/>
          <w:b/>
          <w:bCs/>
          <w:color w:val="auto"/>
          <w:spacing w:val="-2"/>
          <w:sz w:val="24"/>
          <w:szCs w:val="24"/>
          <w:highlight w:val="none"/>
        </w:rPr>
        <w:t>）</w:t>
      </w:r>
      <w:r>
        <w:rPr>
          <w:b/>
          <w:bCs/>
          <w:color w:val="auto"/>
          <w:spacing w:val="4"/>
          <w:sz w:val="24"/>
          <w:szCs w:val="24"/>
          <w:highlight w:val="none"/>
        </w:rPr>
        <w:t>，</w:t>
      </w:r>
      <w:r>
        <w:rPr>
          <w:b/>
          <w:bCs/>
          <w:color w:val="auto"/>
          <w:spacing w:val="-46"/>
          <w:sz w:val="24"/>
          <w:szCs w:val="24"/>
          <w:highlight w:val="none"/>
        </w:rPr>
        <w:t xml:space="preserve"> </w:t>
      </w:r>
      <w:r>
        <w:rPr>
          <w:b/>
          <w:bCs/>
          <w:color w:val="auto"/>
          <w:spacing w:val="-4"/>
          <w:sz w:val="24"/>
          <w:szCs w:val="24"/>
          <w:highlight w:val="none"/>
        </w:rPr>
        <w:t>投标人的报价不得高</w:t>
      </w:r>
      <w:r>
        <w:rPr>
          <w:b/>
          <w:bCs/>
          <w:color w:val="auto"/>
          <w:sz w:val="24"/>
          <w:szCs w:val="24"/>
          <w:highlight w:val="none"/>
        </w:rPr>
        <w:t xml:space="preserve"> </w:t>
      </w:r>
      <w:r>
        <w:rPr>
          <w:b/>
          <w:bCs/>
          <w:color w:val="auto"/>
          <w:spacing w:val="-2"/>
          <w:sz w:val="24"/>
          <w:szCs w:val="24"/>
          <w:highlight w:val="none"/>
        </w:rPr>
        <w:t>于本次招标最高限价，否则其投标文件按无效</w:t>
      </w:r>
      <w:r>
        <w:rPr>
          <w:b/>
          <w:bCs/>
          <w:color w:val="auto"/>
          <w:spacing w:val="-3"/>
          <w:sz w:val="24"/>
          <w:szCs w:val="24"/>
          <w:highlight w:val="none"/>
        </w:rPr>
        <w:t>标处理。</w:t>
      </w:r>
    </w:p>
    <w:p w14:paraId="22DF91DC">
      <w:pPr>
        <w:pStyle w:val="8"/>
        <w:spacing w:before="5" w:line="188" w:lineRule="auto"/>
        <w:ind w:left="146"/>
        <w:rPr>
          <w:color w:val="auto"/>
          <w:sz w:val="24"/>
          <w:szCs w:val="24"/>
          <w:highlight w:val="none"/>
        </w:rPr>
      </w:pPr>
      <w:r>
        <w:rPr>
          <w:b/>
          <w:bCs/>
          <w:color w:val="auto"/>
          <w:spacing w:val="-7"/>
          <w:sz w:val="24"/>
          <w:szCs w:val="24"/>
          <w:highlight w:val="none"/>
        </w:rPr>
        <w:t>二  、投标文件初审</w:t>
      </w:r>
    </w:p>
    <w:p w14:paraId="5D303684">
      <w:pPr>
        <w:keepNext w:val="0"/>
        <w:keepLines w:val="0"/>
        <w:pageBreakBefore w:val="0"/>
        <w:widowControl/>
        <w:kinsoku w:val="0"/>
        <w:wordWrap/>
        <w:overflowPunct/>
        <w:topLinePunct w:val="0"/>
        <w:autoSpaceDE w:val="0"/>
        <w:autoSpaceDN w:val="0"/>
        <w:bidi w:val="0"/>
        <w:adjustRightInd w:val="0"/>
        <w:snapToGrid w:val="0"/>
        <w:spacing w:line="360" w:lineRule="auto"/>
        <w:ind w:left="602"/>
        <w:textAlignment w:val="baseline"/>
        <w:rPr>
          <w:color w:val="auto"/>
          <w:highlight w:val="none"/>
        </w:rPr>
      </w:pPr>
      <w:r>
        <w:rPr>
          <w:rFonts w:ascii="新宋体" w:hAnsi="新宋体" w:eastAsia="新宋体" w:cs="新宋体"/>
          <w:color w:val="auto"/>
          <w:spacing w:val="-1"/>
          <w:sz w:val="24"/>
          <w:szCs w:val="24"/>
          <w:highlight w:val="none"/>
        </w:rPr>
        <w:t>2.1.投标人资格审查</w:t>
      </w:r>
    </w:p>
    <w:tbl>
      <w:tblPr>
        <w:tblStyle w:val="15"/>
        <w:tblW w:w="997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8135"/>
      </w:tblGrid>
      <w:tr w14:paraId="7E66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844" w:type="dxa"/>
            <w:tcBorders>
              <w:top w:val="single" w:color="000000" w:sz="12" w:space="0"/>
              <w:left w:val="single" w:color="000000" w:sz="12" w:space="0"/>
            </w:tcBorders>
            <w:vAlign w:val="center"/>
          </w:tcPr>
          <w:p w14:paraId="6B8D2A14">
            <w:pPr>
              <w:pStyle w:val="1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sz w:val="21"/>
                <w:szCs w:val="21"/>
                <w:highlight w:val="none"/>
              </w:rPr>
            </w:pPr>
            <w:r>
              <w:rPr>
                <w:color w:val="auto"/>
                <w:spacing w:val="-5"/>
                <w:sz w:val="21"/>
                <w:szCs w:val="21"/>
                <w:highlight w:val="none"/>
              </w:rPr>
              <w:t>类型</w:t>
            </w:r>
          </w:p>
        </w:tc>
        <w:tc>
          <w:tcPr>
            <w:tcW w:w="8135" w:type="dxa"/>
            <w:tcBorders>
              <w:top w:val="single" w:color="000000" w:sz="12" w:space="0"/>
              <w:right w:val="single" w:color="000000" w:sz="12" w:space="0"/>
            </w:tcBorders>
            <w:vAlign w:val="center"/>
          </w:tcPr>
          <w:p w14:paraId="639CD99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3676"/>
              <w:jc w:val="both"/>
              <w:textAlignment w:val="baseline"/>
              <w:rPr>
                <w:color w:val="auto"/>
                <w:sz w:val="21"/>
                <w:szCs w:val="21"/>
                <w:highlight w:val="none"/>
              </w:rPr>
            </w:pPr>
            <w:r>
              <w:rPr>
                <w:color w:val="auto"/>
                <w:spacing w:val="-6"/>
                <w:sz w:val="21"/>
                <w:szCs w:val="21"/>
                <w:highlight w:val="none"/>
              </w:rPr>
              <w:t>审查要求</w:t>
            </w:r>
          </w:p>
        </w:tc>
      </w:tr>
      <w:tr w14:paraId="7565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44" w:type="dxa"/>
            <w:tcBorders>
              <w:left w:val="single" w:color="000000" w:sz="12" w:space="0"/>
            </w:tcBorders>
            <w:shd w:val="clear" w:color="auto" w:fill="auto"/>
            <w:vAlign w:val="center"/>
          </w:tcPr>
          <w:p w14:paraId="0EFDF7A4">
            <w:pPr>
              <w:pStyle w:val="1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4"/>
                <w:sz w:val="21"/>
                <w:szCs w:val="21"/>
                <w:highlight w:val="none"/>
              </w:rPr>
              <w:t>营业执照</w:t>
            </w:r>
          </w:p>
        </w:tc>
        <w:tc>
          <w:tcPr>
            <w:tcW w:w="8135" w:type="dxa"/>
            <w:tcBorders>
              <w:right w:val="single" w:color="000000" w:sz="12" w:space="0"/>
            </w:tcBorders>
            <w:shd w:val="clear" w:color="auto" w:fill="auto"/>
            <w:vAlign w:val="center"/>
          </w:tcPr>
          <w:p w14:paraId="28B7F59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92" w:rightChars="0"/>
              <w:jc w:val="both"/>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1"/>
                <w:sz w:val="21"/>
                <w:szCs w:val="21"/>
                <w:highlight w:val="none"/>
              </w:rPr>
              <w:t>符合《中华人民共和国政府采购法》第二十二条的相关规定；投标人应在中华人民共和国注册，具有有效的营业执照，并在人员、</w:t>
            </w:r>
            <w:r>
              <w:rPr>
                <w:color w:val="auto"/>
                <w:spacing w:val="-2"/>
                <w:sz w:val="21"/>
                <w:szCs w:val="21"/>
                <w:highlight w:val="none"/>
              </w:rPr>
              <w:t>技术、货物等方面具有承担本项目的能</w:t>
            </w:r>
            <w:r>
              <w:rPr>
                <w:color w:val="auto"/>
                <w:spacing w:val="-16"/>
                <w:sz w:val="21"/>
                <w:szCs w:val="21"/>
                <w:highlight w:val="none"/>
              </w:rPr>
              <w:t>力；</w:t>
            </w:r>
          </w:p>
        </w:tc>
      </w:tr>
      <w:tr w14:paraId="33AF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844" w:type="dxa"/>
            <w:tcBorders>
              <w:left w:val="single" w:color="000000" w:sz="12" w:space="0"/>
            </w:tcBorders>
            <w:shd w:val="clear" w:color="auto" w:fill="auto"/>
            <w:vAlign w:val="center"/>
          </w:tcPr>
          <w:p w14:paraId="7E1D6E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color w:val="auto"/>
                <w:sz w:val="21"/>
                <w:highlight w:val="none"/>
              </w:rPr>
            </w:pPr>
            <w:r>
              <w:rPr>
                <w:rFonts w:ascii="Arial"/>
                <w:color w:val="auto"/>
                <w:sz w:val="21"/>
                <w:highlight w:val="none"/>
              </w:rPr>
              <w:t>特定资质</w:t>
            </w:r>
          </w:p>
        </w:tc>
        <w:tc>
          <w:tcPr>
            <w:tcW w:w="8135" w:type="dxa"/>
            <w:tcBorders>
              <w:right w:val="single" w:color="000000" w:sz="12" w:space="0"/>
            </w:tcBorders>
            <w:shd w:val="clear" w:color="auto" w:fill="auto"/>
            <w:vAlign w:val="center"/>
          </w:tcPr>
          <w:p w14:paraId="5D6109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Arial"/>
                <w:color w:val="auto"/>
                <w:sz w:val="21"/>
                <w:highlight w:val="none"/>
                <w:lang w:val="en-US" w:eastAsia="zh-CN"/>
              </w:rPr>
            </w:pPr>
            <w:r>
              <w:rPr>
                <w:rFonts w:hint="eastAsia"/>
                <w:color w:val="auto"/>
                <w:sz w:val="21"/>
                <w:highlight w:val="none"/>
                <w:lang w:val="en-US" w:eastAsia="zh-CN"/>
              </w:rPr>
              <w:t>1.</w:t>
            </w:r>
            <w:r>
              <w:rPr>
                <w:rFonts w:hint="eastAsia" w:ascii="Arial"/>
                <w:color w:val="auto"/>
                <w:sz w:val="21"/>
                <w:highlight w:val="none"/>
                <w:lang w:val="en-US" w:eastAsia="zh-CN"/>
              </w:rPr>
              <w:t>进口产品需提供质保确认函、原产地证明及报关单凭证。</w:t>
            </w:r>
          </w:p>
          <w:p w14:paraId="6F334E0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Arial"/>
                <w:color w:val="auto"/>
                <w:sz w:val="21"/>
                <w:highlight w:val="none"/>
                <w:lang w:val="en-US" w:eastAsia="zh-CN"/>
              </w:rPr>
            </w:pPr>
            <w:r>
              <w:rPr>
                <w:rFonts w:hint="eastAsia"/>
                <w:color w:val="auto"/>
                <w:sz w:val="21"/>
                <w:highlight w:val="none"/>
                <w:lang w:val="en-US" w:eastAsia="zh-CN"/>
              </w:rPr>
              <w:t>2.</w:t>
            </w:r>
            <w:r>
              <w:rPr>
                <w:rFonts w:hint="eastAsia" w:ascii="Arial"/>
                <w:color w:val="auto"/>
                <w:sz w:val="21"/>
                <w:highlight w:val="none"/>
                <w:lang w:val="en-US" w:eastAsia="zh-CN"/>
              </w:rPr>
              <w:t>所投进口设备若不是供应商自己制造的，应提供制造厂家的项目授权原件，或者提供合法获得该货物及售后服务支持的有效证明。</w:t>
            </w:r>
          </w:p>
        </w:tc>
      </w:tr>
      <w:tr w14:paraId="2F3D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44" w:type="dxa"/>
            <w:tcBorders>
              <w:left w:val="single" w:color="000000" w:sz="12" w:space="0"/>
            </w:tcBorders>
            <w:vAlign w:val="center"/>
          </w:tcPr>
          <w:p w14:paraId="77492C9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500"/>
              <w:jc w:val="both"/>
              <w:textAlignment w:val="baseline"/>
              <w:rPr>
                <w:color w:val="auto"/>
                <w:sz w:val="21"/>
                <w:szCs w:val="21"/>
                <w:highlight w:val="none"/>
              </w:rPr>
            </w:pPr>
            <w:r>
              <w:rPr>
                <w:color w:val="auto"/>
                <w:spacing w:val="-4"/>
                <w:sz w:val="21"/>
                <w:szCs w:val="21"/>
                <w:highlight w:val="none"/>
              </w:rPr>
              <w:t>财务报告</w:t>
            </w:r>
          </w:p>
        </w:tc>
        <w:tc>
          <w:tcPr>
            <w:tcW w:w="8135" w:type="dxa"/>
            <w:tcBorders>
              <w:right w:val="single" w:color="000000" w:sz="12" w:space="0"/>
            </w:tcBorders>
            <w:vAlign w:val="center"/>
          </w:tcPr>
          <w:p w14:paraId="0443CB3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92" w:hanging="8"/>
              <w:jc w:val="both"/>
              <w:textAlignment w:val="baseline"/>
              <w:rPr>
                <w:color w:val="auto"/>
                <w:sz w:val="21"/>
                <w:szCs w:val="21"/>
                <w:highlight w:val="none"/>
              </w:rPr>
            </w:pPr>
            <w:r>
              <w:rPr>
                <w:rFonts w:hint="eastAsia"/>
                <w:color w:val="auto"/>
                <w:spacing w:val="-4"/>
                <w:sz w:val="21"/>
                <w:szCs w:val="21"/>
                <w:highlight w:val="none"/>
              </w:rPr>
              <w:t>提供近两年（2023年或2024年）任意一年第三方财务审计报告或银行出具的资信证明等，成立不满一年的投标企业须提供成立至今的财务报表；</w:t>
            </w:r>
          </w:p>
        </w:tc>
      </w:tr>
      <w:tr w14:paraId="668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6" w:hRule="atLeast"/>
        </w:trPr>
        <w:tc>
          <w:tcPr>
            <w:tcW w:w="1844" w:type="dxa"/>
            <w:vMerge w:val="restart"/>
            <w:tcBorders>
              <w:left w:val="single" w:color="000000" w:sz="12" w:space="0"/>
              <w:bottom w:val="nil"/>
            </w:tcBorders>
            <w:vAlign w:val="top"/>
          </w:tcPr>
          <w:p w14:paraId="613C3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5B9DC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0DC6F2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7D5BB40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1"/>
                <w:szCs w:val="21"/>
                <w:highlight w:val="none"/>
              </w:rPr>
            </w:pPr>
            <w:r>
              <w:rPr>
                <w:color w:val="auto"/>
                <w:spacing w:val="-3"/>
                <w:sz w:val="21"/>
                <w:szCs w:val="21"/>
                <w:highlight w:val="none"/>
              </w:rPr>
              <w:t>基本资质</w:t>
            </w:r>
          </w:p>
        </w:tc>
        <w:tc>
          <w:tcPr>
            <w:tcW w:w="8135" w:type="dxa"/>
            <w:tcBorders>
              <w:right w:val="single" w:color="000000" w:sz="12" w:space="0"/>
            </w:tcBorders>
            <w:vAlign w:val="center"/>
          </w:tcPr>
          <w:p w14:paraId="7DE5684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5"/>
              <w:jc w:val="both"/>
              <w:textAlignment w:val="baseline"/>
              <w:rPr>
                <w:color w:val="auto"/>
                <w:sz w:val="21"/>
                <w:szCs w:val="21"/>
                <w:highlight w:val="none"/>
              </w:rPr>
            </w:pPr>
            <w:r>
              <w:rPr>
                <w:color w:val="auto"/>
                <w:spacing w:val="-2"/>
                <w:sz w:val="21"/>
                <w:szCs w:val="21"/>
                <w:highlight w:val="none"/>
              </w:rPr>
              <w:t>法定代表人身份证明及其有效身份证复印件或授权委托书及其有效身份证复印件；</w:t>
            </w:r>
          </w:p>
        </w:tc>
      </w:tr>
      <w:tr w14:paraId="4C7F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844" w:type="dxa"/>
            <w:vMerge w:val="continue"/>
            <w:tcBorders>
              <w:top w:val="nil"/>
              <w:left w:val="single" w:color="000000" w:sz="12" w:space="0"/>
              <w:bottom w:val="nil"/>
            </w:tcBorders>
            <w:vAlign w:val="top"/>
          </w:tcPr>
          <w:p w14:paraId="010D51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right w:val="single" w:color="000000" w:sz="12" w:space="0"/>
            </w:tcBorders>
            <w:vAlign w:val="center"/>
          </w:tcPr>
          <w:p w14:paraId="5F0AF6C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0"/>
              <w:jc w:val="both"/>
              <w:textAlignment w:val="baseline"/>
              <w:rPr>
                <w:color w:val="auto"/>
                <w:sz w:val="21"/>
                <w:szCs w:val="21"/>
                <w:highlight w:val="none"/>
              </w:rPr>
            </w:pP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tc>
      </w:tr>
      <w:tr w14:paraId="4D26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1844" w:type="dxa"/>
            <w:vMerge w:val="continue"/>
            <w:tcBorders>
              <w:top w:val="nil"/>
              <w:left w:val="single" w:color="000000" w:sz="12" w:space="0"/>
              <w:bottom w:val="nil"/>
            </w:tcBorders>
            <w:vAlign w:val="top"/>
          </w:tcPr>
          <w:p w14:paraId="2062A0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right w:val="single" w:color="000000" w:sz="12" w:space="0"/>
            </w:tcBorders>
            <w:vAlign w:val="center"/>
          </w:tcPr>
          <w:p w14:paraId="26615CB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right="109" w:hanging="2"/>
              <w:jc w:val="both"/>
              <w:textAlignment w:val="baseline"/>
              <w:rPr>
                <w:color w:val="auto"/>
                <w:sz w:val="21"/>
                <w:szCs w:val="21"/>
                <w:highlight w:val="none"/>
              </w:rPr>
            </w:pPr>
            <w:r>
              <w:rPr>
                <w:color w:val="auto"/>
                <w:spacing w:val="-2"/>
                <w:sz w:val="21"/>
                <w:szCs w:val="21"/>
                <w:highlight w:val="none"/>
              </w:rPr>
              <w:t>提供法人或授权委托人在本单位近</w:t>
            </w:r>
            <w:r>
              <w:rPr>
                <w:rFonts w:hint="eastAsia"/>
                <w:color w:val="auto"/>
                <w:spacing w:val="-2"/>
                <w:sz w:val="21"/>
                <w:szCs w:val="21"/>
                <w:highlight w:val="none"/>
                <w:lang w:eastAsia="zh-CN"/>
              </w:rPr>
              <w:t>三个月</w:t>
            </w:r>
            <w:r>
              <w:rPr>
                <w:color w:val="auto"/>
                <w:spacing w:val="-2"/>
                <w:sz w:val="21"/>
                <w:szCs w:val="21"/>
                <w:highlight w:val="none"/>
              </w:rPr>
              <w:t>（</w:t>
            </w:r>
            <w:r>
              <w:rPr>
                <w:color w:val="auto"/>
                <w:spacing w:val="-4"/>
                <w:sz w:val="21"/>
                <w:szCs w:val="21"/>
                <w:highlight w:val="none"/>
              </w:rPr>
              <w:t>202</w:t>
            </w:r>
            <w:r>
              <w:rPr>
                <w:rFonts w:hint="eastAsia"/>
                <w:color w:val="auto"/>
                <w:spacing w:val="-4"/>
                <w:sz w:val="21"/>
                <w:szCs w:val="21"/>
                <w:highlight w:val="none"/>
                <w:lang w:val="en-US" w:eastAsia="zh-CN"/>
              </w:rPr>
              <w:t>5</w:t>
            </w:r>
            <w:r>
              <w:rPr>
                <w:color w:val="auto"/>
                <w:spacing w:val="-18"/>
                <w:sz w:val="21"/>
                <w:szCs w:val="21"/>
                <w:highlight w:val="none"/>
              </w:rPr>
              <w:t xml:space="preserve"> </w:t>
            </w:r>
            <w:r>
              <w:rPr>
                <w:color w:val="auto"/>
                <w:spacing w:val="-4"/>
                <w:sz w:val="21"/>
                <w:szCs w:val="21"/>
                <w:highlight w:val="none"/>
              </w:rPr>
              <w:t>年</w:t>
            </w:r>
            <w:r>
              <w:rPr>
                <w:color w:val="auto"/>
                <w:spacing w:val="-43"/>
                <w:sz w:val="21"/>
                <w:szCs w:val="21"/>
                <w:highlight w:val="none"/>
              </w:rPr>
              <w:t xml:space="preserve"> </w:t>
            </w:r>
            <w:r>
              <w:rPr>
                <w:rFonts w:hint="eastAsia"/>
                <w:color w:val="auto"/>
                <w:spacing w:val="-4"/>
                <w:sz w:val="21"/>
                <w:szCs w:val="21"/>
                <w:highlight w:val="none"/>
                <w:lang w:val="en-US" w:eastAsia="zh-CN"/>
              </w:rPr>
              <w:t>1</w:t>
            </w:r>
            <w:r>
              <w:rPr>
                <w:color w:val="auto"/>
                <w:spacing w:val="-29"/>
                <w:sz w:val="21"/>
                <w:szCs w:val="21"/>
                <w:highlight w:val="none"/>
              </w:rPr>
              <w:t xml:space="preserve"> </w:t>
            </w:r>
            <w:r>
              <w:rPr>
                <w:color w:val="auto"/>
                <w:spacing w:val="-4"/>
                <w:sz w:val="21"/>
                <w:szCs w:val="21"/>
                <w:highlight w:val="none"/>
              </w:rPr>
              <w:t>月</w:t>
            </w:r>
            <w:r>
              <w:rPr>
                <w:color w:val="auto"/>
                <w:spacing w:val="-2"/>
                <w:sz w:val="21"/>
                <w:szCs w:val="21"/>
                <w:highlight w:val="none"/>
              </w:rPr>
              <w:t>至投标截止日</w:t>
            </w:r>
            <w:r>
              <w:rPr>
                <w:rFonts w:hint="eastAsia"/>
                <w:color w:val="auto"/>
                <w:spacing w:val="-2"/>
                <w:sz w:val="21"/>
                <w:szCs w:val="21"/>
                <w:highlight w:val="none"/>
                <w:lang w:val="en-US" w:eastAsia="zh-CN"/>
              </w:rPr>
              <w:t>任意三个月</w:t>
            </w:r>
            <w:r>
              <w:rPr>
                <w:color w:val="auto"/>
                <w:spacing w:val="-2"/>
                <w:sz w:val="21"/>
                <w:szCs w:val="21"/>
                <w:highlight w:val="none"/>
              </w:rPr>
              <w:t>）缴纳社保证明</w:t>
            </w:r>
            <w:r>
              <w:rPr>
                <w:color w:val="auto"/>
                <w:spacing w:val="-14"/>
                <w:sz w:val="21"/>
                <w:szCs w:val="21"/>
                <w:highlight w:val="none"/>
              </w:rPr>
              <w:t>文件；</w:t>
            </w:r>
          </w:p>
        </w:tc>
      </w:tr>
      <w:tr w14:paraId="1ADF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844" w:type="dxa"/>
            <w:vMerge w:val="continue"/>
            <w:tcBorders>
              <w:top w:val="nil"/>
              <w:left w:val="single" w:color="000000" w:sz="12" w:space="0"/>
              <w:bottom w:val="single" w:color="000000" w:sz="12" w:space="0"/>
            </w:tcBorders>
            <w:vAlign w:val="top"/>
          </w:tcPr>
          <w:p w14:paraId="1CC5CF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bottom w:val="single" w:color="000000" w:sz="12" w:space="0"/>
              <w:right w:val="single" w:color="000000" w:sz="12" w:space="0"/>
            </w:tcBorders>
            <w:vAlign w:val="center"/>
          </w:tcPr>
          <w:p w14:paraId="0A037E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3"/>
              <w:jc w:val="both"/>
              <w:textAlignment w:val="baseline"/>
              <w:rPr>
                <w:color w:val="auto"/>
                <w:sz w:val="21"/>
                <w:szCs w:val="21"/>
                <w:highlight w:val="none"/>
              </w:rPr>
            </w:pPr>
            <w:r>
              <w:rPr>
                <w:color w:val="auto"/>
                <w:spacing w:val="-3"/>
                <w:sz w:val="21"/>
                <w:szCs w:val="21"/>
                <w:highlight w:val="none"/>
              </w:rPr>
              <w:t>投标保证金凭证或保函。</w:t>
            </w:r>
          </w:p>
        </w:tc>
      </w:tr>
    </w:tbl>
    <w:p w14:paraId="2F64085E">
      <w:pPr>
        <w:spacing w:line="423" w:lineRule="auto"/>
        <w:rPr>
          <w:rFonts w:ascii="Arial"/>
          <w:color w:val="auto"/>
          <w:sz w:val="21"/>
          <w:highlight w:val="none"/>
        </w:rPr>
      </w:pPr>
    </w:p>
    <w:p w14:paraId="568C888B">
      <w:pPr>
        <w:spacing w:before="78" w:line="224" w:lineRule="auto"/>
        <w:ind w:left="614"/>
        <w:rPr>
          <w:rFonts w:ascii="新宋体" w:hAnsi="新宋体" w:eastAsia="新宋体" w:cs="新宋体"/>
          <w:color w:val="auto"/>
          <w:spacing w:val="-1"/>
          <w:sz w:val="24"/>
          <w:szCs w:val="24"/>
          <w:highlight w:val="none"/>
        </w:rPr>
      </w:pPr>
    </w:p>
    <w:p w14:paraId="0ED53864">
      <w:pPr>
        <w:spacing w:before="78" w:line="224" w:lineRule="auto"/>
        <w:ind w:left="614"/>
        <w:rPr>
          <w:rFonts w:ascii="Arial"/>
          <w:color w:val="auto"/>
          <w:sz w:val="21"/>
          <w:highlight w:val="none"/>
        </w:rPr>
      </w:pPr>
      <w:r>
        <w:rPr>
          <w:rFonts w:ascii="新宋体" w:hAnsi="新宋体" w:eastAsia="新宋体" w:cs="新宋体"/>
          <w:color w:val="auto"/>
          <w:spacing w:val="-1"/>
          <w:sz w:val="24"/>
          <w:szCs w:val="24"/>
          <w:highlight w:val="none"/>
        </w:rPr>
        <w:t>2.2.符合性审查</w:t>
      </w:r>
    </w:p>
    <w:p w14:paraId="3109AE19">
      <w:pPr>
        <w:pStyle w:val="8"/>
        <w:spacing w:before="103" w:line="188" w:lineRule="auto"/>
        <w:ind w:left="4723"/>
        <w:rPr>
          <w:color w:val="auto"/>
          <w:sz w:val="24"/>
          <w:szCs w:val="24"/>
          <w:highlight w:val="none"/>
        </w:rPr>
      </w:pPr>
      <w:r>
        <w:rPr>
          <w:b/>
          <w:bCs/>
          <w:color w:val="auto"/>
          <w:spacing w:val="-4"/>
          <w:sz w:val="24"/>
          <w:szCs w:val="24"/>
          <w:highlight w:val="none"/>
        </w:rPr>
        <w:t>评审细则</w:t>
      </w:r>
    </w:p>
    <w:p w14:paraId="61A91766">
      <w:pPr>
        <w:spacing w:line="106" w:lineRule="exact"/>
        <w:rPr>
          <w:color w:val="auto"/>
          <w:highlight w:val="none"/>
        </w:rPr>
      </w:pPr>
    </w:p>
    <w:tbl>
      <w:tblPr>
        <w:tblStyle w:val="15"/>
        <w:tblW w:w="983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8399"/>
      </w:tblGrid>
      <w:tr w14:paraId="32F3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31" w:type="dxa"/>
            <w:tcBorders>
              <w:top w:val="single" w:color="000000" w:sz="12" w:space="0"/>
              <w:left w:val="single" w:color="000000" w:sz="12" w:space="0"/>
            </w:tcBorders>
            <w:vAlign w:val="top"/>
          </w:tcPr>
          <w:p w14:paraId="47327ED4">
            <w:pPr>
              <w:pStyle w:val="16"/>
              <w:spacing w:before="198" w:line="224" w:lineRule="auto"/>
              <w:ind w:left="501"/>
              <w:rPr>
                <w:color w:val="auto"/>
                <w:sz w:val="21"/>
                <w:szCs w:val="21"/>
                <w:highlight w:val="none"/>
              </w:rPr>
            </w:pPr>
            <w:r>
              <w:rPr>
                <w:color w:val="auto"/>
                <w:spacing w:val="-5"/>
                <w:sz w:val="21"/>
                <w:szCs w:val="21"/>
                <w:highlight w:val="none"/>
              </w:rPr>
              <w:t>类型</w:t>
            </w:r>
          </w:p>
        </w:tc>
        <w:tc>
          <w:tcPr>
            <w:tcW w:w="8399" w:type="dxa"/>
            <w:tcBorders>
              <w:top w:val="single" w:color="000000" w:sz="12" w:space="0"/>
              <w:right w:val="single" w:color="000000" w:sz="12" w:space="0"/>
            </w:tcBorders>
            <w:vAlign w:val="top"/>
          </w:tcPr>
          <w:p w14:paraId="4C1C40D9">
            <w:pPr>
              <w:pStyle w:val="16"/>
              <w:spacing w:before="199" w:line="224" w:lineRule="auto"/>
              <w:ind w:left="3800"/>
              <w:rPr>
                <w:color w:val="auto"/>
                <w:sz w:val="21"/>
                <w:szCs w:val="21"/>
                <w:highlight w:val="none"/>
              </w:rPr>
            </w:pPr>
            <w:r>
              <w:rPr>
                <w:color w:val="auto"/>
                <w:spacing w:val="-6"/>
                <w:sz w:val="21"/>
                <w:szCs w:val="21"/>
                <w:highlight w:val="none"/>
              </w:rPr>
              <w:t>审查要求</w:t>
            </w:r>
          </w:p>
        </w:tc>
      </w:tr>
      <w:tr w14:paraId="79CE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31" w:type="dxa"/>
            <w:vMerge w:val="restart"/>
            <w:tcBorders>
              <w:left w:val="single" w:color="000000" w:sz="12" w:space="0"/>
            </w:tcBorders>
            <w:vAlign w:val="top"/>
          </w:tcPr>
          <w:p w14:paraId="3AB037BA">
            <w:pPr>
              <w:spacing w:line="262" w:lineRule="auto"/>
              <w:rPr>
                <w:rFonts w:ascii="Arial"/>
                <w:color w:val="auto"/>
                <w:sz w:val="21"/>
                <w:highlight w:val="none"/>
              </w:rPr>
            </w:pPr>
          </w:p>
          <w:p w14:paraId="378B080B">
            <w:pPr>
              <w:spacing w:line="262" w:lineRule="auto"/>
              <w:rPr>
                <w:rFonts w:ascii="Arial"/>
                <w:color w:val="auto"/>
                <w:sz w:val="21"/>
                <w:highlight w:val="none"/>
              </w:rPr>
            </w:pPr>
          </w:p>
          <w:p w14:paraId="16934443">
            <w:pPr>
              <w:spacing w:line="262" w:lineRule="auto"/>
              <w:rPr>
                <w:rFonts w:ascii="Arial"/>
                <w:color w:val="auto"/>
                <w:sz w:val="21"/>
                <w:highlight w:val="none"/>
              </w:rPr>
            </w:pPr>
          </w:p>
          <w:p w14:paraId="525C9029">
            <w:pPr>
              <w:spacing w:line="263" w:lineRule="auto"/>
              <w:rPr>
                <w:rFonts w:ascii="Arial"/>
                <w:color w:val="auto"/>
                <w:sz w:val="21"/>
                <w:highlight w:val="none"/>
              </w:rPr>
            </w:pPr>
          </w:p>
          <w:p w14:paraId="49E9838C">
            <w:pPr>
              <w:spacing w:line="263" w:lineRule="auto"/>
              <w:rPr>
                <w:rFonts w:ascii="Arial"/>
                <w:color w:val="auto"/>
                <w:sz w:val="21"/>
                <w:highlight w:val="none"/>
              </w:rPr>
            </w:pPr>
          </w:p>
          <w:p w14:paraId="78ABD9AD">
            <w:pPr>
              <w:pStyle w:val="16"/>
              <w:spacing w:before="68" w:line="224" w:lineRule="auto"/>
              <w:ind w:left="506"/>
              <w:rPr>
                <w:color w:val="auto"/>
                <w:spacing w:val="-6"/>
                <w:sz w:val="21"/>
                <w:szCs w:val="21"/>
                <w:highlight w:val="none"/>
              </w:rPr>
            </w:pPr>
          </w:p>
          <w:p w14:paraId="1C3C1C27">
            <w:pPr>
              <w:pStyle w:val="16"/>
              <w:spacing w:before="68" w:line="224" w:lineRule="auto"/>
              <w:ind w:left="506"/>
              <w:rPr>
                <w:color w:val="auto"/>
                <w:spacing w:val="-6"/>
                <w:sz w:val="21"/>
                <w:szCs w:val="21"/>
                <w:highlight w:val="none"/>
              </w:rPr>
            </w:pPr>
          </w:p>
          <w:p w14:paraId="0BFB0135">
            <w:pPr>
              <w:pStyle w:val="16"/>
              <w:spacing w:before="68" w:line="224" w:lineRule="auto"/>
              <w:ind w:left="506"/>
              <w:rPr>
                <w:color w:val="auto"/>
                <w:sz w:val="21"/>
                <w:szCs w:val="21"/>
                <w:highlight w:val="none"/>
              </w:rPr>
            </w:pPr>
            <w:r>
              <w:rPr>
                <w:color w:val="auto"/>
                <w:spacing w:val="-6"/>
                <w:sz w:val="21"/>
                <w:szCs w:val="21"/>
                <w:highlight w:val="none"/>
              </w:rPr>
              <w:t>商务</w:t>
            </w:r>
          </w:p>
        </w:tc>
        <w:tc>
          <w:tcPr>
            <w:tcW w:w="8399" w:type="dxa"/>
            <w:tcBorders>
              <w:right w:val="single" w:color="000000" w:sz="12" w:space="0"/>
            </w:tcBorders>
            <w:vAlign w:val="top"/>
          </w:tcPr>
          <w:p w14:paraId="103FEF56">
            <w:pPr>
              <w:pStyle w:val="16"/>
              <w:spacing w:before="75" w:line="242" w:lineRule="auto"/>
              <w:ind w:left="111" w:right="24" w:firstLine="3"/>
              <w:rPr>
                <w:color w:val="auto"/>
                <w:sz w:val="21"/>
                <w:szCs w:val="21"/>
                <w:highlight w:val="none"/>
              </w:rPr>
            </w:pPr>
            <w:r>
              <w:rPr>
                <w:color w:val="auto"/>
                <w:spacing w:val="-1"/>
                <w:sz w:val="21"/>
                <w:szCs w:val="21"/>
                <w:highlight w:val="none"/>
              </w:rPr>
              <w:t>1、投标文件按照招标文件规定的内容、格式填写</w:t>
            </w:r>
            <w:r>
              <w:rPr>
                <w:color w:val="auto"/>
                <w:spacing w:val="-2"/>
                <w:sz w:val="21"/>
                <w:szCs w:val="21"/>
                <w:highlight w:val="none"/>
              </w:rPr>
              <w:t>，字迹清晰可辨、按招标文件要求签署、</w:t>
            </w:r>
            <w:r>
              <w:rPr>
                <w:color w:val="auto"/>
                <w:sz w:val="21"/>
                <w:szCs w:val="21"/>
                <w:highlight w:val="none"/>
              </w:rPr>
              <w:t xml:space="preserve"> </w:t>
            </w:r>
            <w:r>
              <w:rPr>
                <w:color w:val="auto"/>
                <w:spacing w:val="-13"/>
                <w:sz w:val="21"/>
                <w:szCs w:val="21"/>
                <w:highlight w:val="none"/>
              </w:rPr>
              <w:t>盖章的；</w:t>
            </w:r>
          </w:p>
        </w:tc>
      </w:tr>
      <w:tr w14:paraId="11B8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top"/>
          </w:tcPr>
          <w:p w14:paraId="795F4142">
            <w:pPr>
              <w:rPr>
                <w:rFonts w:ascii="Arial"/>
                <w:color w:val="auto"/>
                <w:sz w:val="21"/>
                <w:highlight w:val="none"/>
              </w:rPr>
            </w:pPr>
          </w:p>
        </w:tc>
        <w:tc>
          <w:tcPr>
            <w:tcW w:w="8399" w:type="dxa"/>
            <w:tcBorders>
              <w:right w:val="single" w:color="000000" w:sz="12" w:space="0"/>
            </w:tcBorders>
            <w:vAlign w:val="top"/>
          </w:tcPr>
          <w:p w14:paraId="5B9102E5">
            <w:pPr>
              <w:pStyle w:val="16"/>
              <w:spacing w:before="201" w:line="224" w:lineRule="auto"/>
              <w:ind w:left="102"/>
              <w:rPr>
                <w:color w:val="auto"/>
                <w:sz w:val="21"/>
                <w:szCs w:val="21"/>
                <w:highlight w:val="none"/>
              </w:rPr>
            </w:pPr>
            <w:r>
              <w:rPr>
                <w:color w:val="auto"/>
                <w:spacing w:val="-4"/>
                <w:sz w:val="21"/>
                <w:szCs w:val="21"/>
                <w:highlight w:val="none"/>
              </w:rPr>
              <w:t>2、投标文件按照招标文件要求编写；</w:t>
            </w:r>
          </w:p>
        </w:tc>
      </w:tr>
      <w:tr w14:paraId="14A7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5ABEE555">
            <w:pPr>
              <w:rPr>
                <w:rFonts w:ascii="Arial"/>
                <w:color w:val="auto"/>
                <w:sz w:val="21"/>
                <w:highlight w:val="none"/>
              </w:rPr>
            </w:pPr>
          </w:p>
        </w:tc>
        <w:tc>
          <w:tcPr>
            <w:tcW w:w="8399" w:type="dxa"/>
            <w:tcBorders>
              <w:right w:val="single" w:color="000000" w:sz="12" w:space="0"/>
            </w:tcBorders>
            <w:vAlign w:val="top"/>
          </w:tcPr>
          <w:p w14:paraId="35E6C1FE">
            <w:pPr>
              <w:pStyle w:val="16"/>
              <w:spacing w:before="204" w:line="224" w:lineRule="auto"/>
              <w:ind w:left="104"/>
              <w:rPr>
                <w:color w:val="auto"/>
                <w:sz w:val="21"/>
                <w:szCs w:val="21"/>
                <w:highlight w:val="none"/>
              </w:rPr>
            </w:pPr>
            <w:r>
              <w:rPr>
                <w:color w:val="auto"/>
                <w:spacing w:val="-3"/>
                <w:sz w:val="21"/>
                <w:szCs w:val="21"/>
                <w:highlight w:val="none"/>
              </w:rPr>
              <w:t>3、投标文件承诺投标有效期满足招标文件要求；</w:t>
            </w:r>
          </w:p>
        </w:tc>
      </w:tr>
      <w:tr w14:paraId="65A5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top"/>
          </w:tcPr>
          <w:p w14:paraId="02083B07">
            <w:pPr>
              <w:rPr>
                <w:rFonts w:ascii="Arial"/>
                <w:color w:val="auto"/>
                <w:sz w:val="21"/>
                <w:highlight w:val="none"/>
              </w:rPr>
            </w:pPr>
          </w:p>
        </w:tc>
        <w:tc>
          <w:tcPr>
            <w:tcW w:w="8399" w:type="dxa"/>
            <w:tcBorders>
              <w:right w:val="single" w:color="000000" w:sz="12" w:space="0"/>
            </w:tcBorders>
            <w:vAlign w:val="top"/>
          </w:tcPr>
          <w:p w14:paraId="0F28E8FE">
            <w:pPr>
              <w:pStyle w:val="16"/>
              <w:spacing w:before="208" w:line="224" w:lineRule="auto"/>
              <w:ind w:left="99"/>
              <w:rPr>
                <w:color w:val="auto"/>
                <w:sz w:val="21"/>
                <w:szCs w:val="21"/>
                <w:highlight w:val="none"/>
              </w:rPr>
            </w:pPr>
            <w:r>
              <w:rPr>
                <w:color w:val="auto"/>
                <w:spacing w:val="-3"/>
                <w:sz w:val="21"/>
                <w:szCs w:val="21"/>
                <w:highlight w:val="none"/>
              </w:rPr>
              <w:t>4、合同履行期限、质保期满足招标文件要求；</w:t>
            </w:r>
          </w:p>
        </w:tc>
      </w:tr>
      <w:tr w14:paraId="65F3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39DD0405">
            <w:pPr>
              <w:rPr>
                <w:rFonts w:ascii="Arial"/>
                <w:color w:val="auto"/>
                <w:sz w:val="21"/>
                <w:highlight w:val="none"/>
              </w:rPr>
            </w:pPr>
          </w:p>
        </w:tc>
        <w:tc>
          <w:tcPr>
            <w:tcW w:w="8399" w:type="dxa"/>
            <w:tcBorders>
              <w:right w:val="single" w:color="000000" w:sz="12" w:space="0"/>
            </w:tcBorders>
            <w:vAlign w:val="top"/>
          </w:tcPr>
          <w:p w14:paraId="299C3257">
            <w:pPr>
              <w:pStyle w:val="16"/>
              <w:spacing w:before="211" w:line="224" w:lineRule="auto"/>
              <w:ind w:left="104"/>
              <w:rPr>
                <w:color w:val="auto"/>
                <w:sz w:val="21"/>
                <w:szCs w:val="21"/>
                <w:highlight w:val="none"/>
              </w:rPr>
            </w:pPr>
            <w:r>
              <w:rPr>
                <w:color w:val="auto"/>
                <w:spacing w:val="-2"/>
                <w:sz w:val="21"/>
                <w:szCs w:val="21"/>
                <w:highlight w:val="none"/>
              </w:rPr>
              <w:t>5、商务条款响应程度（包括但不限于合同履行期限等</w:t>
            </w:r>
            <w:r>
              <w:rPr>
                <w:color w:val="auto"/>
                <w:spacing w:val="2"/>
                <w:sz w:val="21"/>
                <w:szCs w:val="21"/>
                <w:highlight w:val="none"/>
              </w:rPr>
              <w:t>）：</w:t>
            </w:r>
            <w:r>
              <w:rPr>
                <w:color w:val="auto"/>
                <w:spacing w:val="-2"/>
                <w:sz w:val="21"/>
                <w:szCs w:val="21"/>
                <w:highlight w:val="none"/>
              </w:rPr>
              <w:t>响应招标文件；</w:t>
            </w:r>
          </w:p>
        </w:tc>
      </w:tr>
      <w:tr w14:paraId="6270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1050E07C">
            <w:pPr>
              <w:rPr>
                <w:rFonts w:ascii="Arial"/>
                <w:color w:val="auto"/>
                <w:sz w:val="21"/>
                <w:highlight w:val="none"/>
              </w:rPr>
            </w:pPr>
          </w:p>
        </w:tc>
        <w:tc>
          <w:tcPr>
            <w:tcW w:w="8399" w:type="dxa"/>
            <w:tcBorders>
              <w:right w:val="single" w:color="000000" w:sz="12" w:space="0"/>
            </w:tcBorders>
            <w:vAlign w:val="top"/>
          </w:tcPr>
          <w:p w14:paraId="28527CE0">
            <w:pPr>
              <w:pStyle w:val="16"/>
              <w:spacing w:before="211" w:line="224" w:lineRule="auto"/>
              <w:ind w:left="104"/>
              <w:rPr>
                <w:color w:val="auto"/>
                <w:spacing w:val="-2"/>
                <w:sz w:val="21"/>
                <w:szCs w:val="21"/>
                <w:highlight w:val="none"/>
              </w:rPr>
            </w:pPr>
            <w:r>
              <w:rPr>
                <w:rFonts w:hint="eastAsia"/>
                <w:color w:val="auto"/>
                <w:spacing w:val="-2"/>
                <w:sz w:val="21"/>
                <w:szCs w:val="21"/>
                <w:highlight w:val="none"/>
                <w:lang w:val="en-US" w:eastAsia="zh-CN"/>
              </w:rPr>
              <w:t>6、</w:t>
            </w:r>
            <w:r>
              <w:rPr>
                <w:rFonts w:hint="eastAsia"/>
                <w:color w:val="auto"/>
                <w:spacing w:val="-2"/>
                <w:sz w:val="21"/>
                <w:szCs w:val="21"/>
                <w:highlight w:val="none"/>
              </w:rPr>
              <w:t>在评标过程中，评标委员会若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招标方不接受不符合国家有关部门相关规定的投标报价或优惠方案，其投标报价视为无效报价。</w:t>
            </w:r>
          </w:p>
        </w:tc>
      </w:tr>
      <w:tr w14:paraId="40C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tcBorders>
              <w:left w:val="single" w:color="000000" w:sz="12" w:space="0"/>
            </w:tcBorders>
            <w:vAlign w:val="top"/>
          </w:tcPr>
          <w:p w14:paraId="1A65C7E1">
            <w:pPr>
              <w:pStyle w:val="16"/>
              <w:spacing w:before="216" w:line="222" w:lineRule="auto"/>
              <w:ind w:left="499"/>
              <w:rPr>
                <w:color w:val="auto"/>
                <w:sz w:val="21"/>
                <w:szCs w:val="21"/>
                <w:highlight w:val="none"/>
              </w:rPr>
            </w:pPr>
            <w:r>
              <w:rPr>
                <w:color w:val="auto"/>
                <w:spacing w:val="-4"/>
                <w:sz w:val="21"/>
                <w:szCs w:val="21"/>
                <w:highlight w:val="none"/>
              </w:rPr>
              <w:t>报价</w:t>
            </w:r>
          </w:p>
        </w:tc>
        <w:tc>
          <w:tcPr>
            <w:tcW w:w="8399" w:type="dxa"/>
            <w:tcBorders>
              <w:right w:val="single" w:color="000000" w:sz="12" w:space="0"/>
            </w:tcBorders>
            <w:vAlign w:val="top"/>
          </w:tcPr>
          <w:p w14:paraId="33642395">
            <w:pPr>
              <w:pStyle w:val="16"/>
              <w:spacing w:before="216" w:line="222" w:lineRule="auto"/>
              <w:ind w:left="102"/>
              <w:rPr>
                <w:color w:val="auto"/>
                <w:sz w:val="21"/>
                <w:szCs w:val="21"/>
                <w:highlight w:val="none"/>
              </w:rPr>
            </w:pPr>
            <w:r>
              <w:rPr>
                <w:rFonts w:hint="eastAsia"/>
                <w:color w:val="auto"/>
                <w:spacing w:val="-2"/>
                <w:sz w:val="21"/>
                <w:szCs w:val="21"/>
                <w:highlight w:val="none"/>
                <w:lang w:val="en-US" w:eastAsia="zh-CN"/>
              </w:rPr>
              <w:t>7</w:t>
            </w:r>
            <w:r>
              <w:rPr>
                <w:color w:val="auto"/>
                <w:spacing w:val="-2"/>
                <w:sz w:val="21"/>
                <w:szCs w:val="21"/>
                <w:highlight w:val="none"/>
              </w:rPr>
              <w:t>、报价具有唯一性，报价未超过招标文件中规定的预算金额或者最高限价的；</w:t>
            </w:r>
          </w:p>
        </w:tc>
      </w:tr>
      <w:tr w14:paraId="446D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31" w:type="dxa"/>
            <w:tcBorders>
              <w:left w:val="single" w:color="000000" w:sz="12" w:space="0"/>
              <w:bottom w:val="single" w:color="000000" w:sz="12" w:space="0"/>
            </w:tcBorders>
            <w:vAlign w:val="top"/>
          </w:tcPr>
          <w:p w14:paraId="2E8A6E4D">
            <w:pPr>
              <w:pStyle w:val="16"/>
              <w:spacing w:before="219" w:line="224" w:lineRule="auto"/>
              <w:ind w:left="500"/>
              <w:rPr>
                <w:color w:val="auto"/>
                <w:sz w:val="21"/>
                <w:szCs w:val="21"/>
                <w:highlight w:val="none"/>
              </w:rPr>
            </w:pPr>
            <w:r>
              <w:rPr>
                <w:color w:val="auto"/>
                <w:spacing w:val="-4"/>
                <w:sz w:val="21"/>
                <w:szCs w:val="21"/>
                <w:highlight w:val="none"/>
              </w:rPr>
              <w:t>技术</w:t>
            </w:r>
          </w:p>
        </w:tc>
        <w:tc>
          <w:tcPr>
            <w:tcW w:w="8399" w:type="dxa"/>
            <w:tcBorders>
              <w:bottom w:val="single" w:color="000000" w:sz="12" w:space="0"/>
              <w:right w:val="single" w:color="000000" w:sz="12" w:space="0"/>
            </w:tcBorders>
            <w:vAlign w:val="top"/>
          </w:tcPr>
          <w:p w14:paraId="1F4CD988">
            <w:pPr>
              <w:pStyle w:val="16"/>
              <w:spacing w:before="219" w:line="224" w:lineRule="auto"/>
              <w:ind w:left="105"/>
              <w:rPr>
                <w:color w:val="auto"/>
                <w:sz w:val="21"/>
                <w:szCs w:val="21"/>
                <w:highlight w:val="none"/>
              </w:rPr>
            </w:pPr>
            <w:r>
              <w:rPr>
                <w:rFonts w:hint="eastAsia"/>
                <w:color w:val="auto"/>
                <w:spacing w:val="-3"/>
                <w:sz w:val="21"/>
                <w:szCs w:val="21"/>
                <w:highlight w:val="none"/>
                <w:lang w:val="en-US" w:eastAsia="zh-CN"/>
              </w:rPr>
              <w:t>8</w:t>
            </w:r>
            <w:r>
              <w:rPr>
                <w:color w:val="auto"/>
                <w:spacing w:val="-3"/>
                <w:sz w:val="21"/>
                <w:szCs w:val="21"/>
                <w:highlight w:val="none"/>
              </w:rPr>
              <w:t>、只能有一个方案投标。</w:t>
            </w:r>
          </w:p>
        </w:tc>
      </w:tr>
    </w:tbl>
    <w:p w14:paraId="1DBB3333">
      <w:pPr>
        <w:spacing w:line="423" w:lineRule="auto"/>
        <w:rPr>
          <w:rFonts w:ascii="Arial"/>
          <w:color w:val="auto"/>
          <w:sz w:val="21"/>
          <w:highlight w:val="none"/>
        </w:rPr>
      </w:pPr>
    </w:p>
    <w:p w14:paraId="045D0CBE">
      <w:pPr>
        <w:spacing w:before="78" w:line="223" w:lineRule="auto"/>
        <w:jc w:val="right"/>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4"/>
          <w:sz w:val="24"/>
          <w:szCs w:val="24"/>
          <w:highlight w:val="none"/>
        </w:rPr>
        <w:t>投标人资格审查及评分细则中涉及的有关证明材料</w:t>
      </w:r>
      <w:r>
        <w:rPr>
          <w:rFonts w:ascii="新宋体" w:hAnsi="新宋体" w:eastAsia="新宋体" w:cs="新宋体"/>
          <w:color w:val="auto"/>
          <w:spacing w:val="-5"/>
          <w:sz w:val="24"/>
          <w:szCs w:val="24"/>
          <w:highlight w:val="none"/>
        </w:rPr>
        <w:t>及相关证书，应加盖公章以供审查。</w:t>
      </w:r>
    </w:p>
    <w:p w14:paraId="69F43612">
      <w:pPr>
        <w:spacing w:before="178" w:line="291" w:lineRule="auto"/>
        <w:ind w:left="77" w:right="17" w:firstLine="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2.4</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5"/>
          <w:sz w:val="24"/>
          <w:szCs w:val="24"/>
          <w:highlight w:val="none"/>
        </w:rPr>
        <w:t>评标委员会判定投标文件的响应性只根据投标文件本身的内容，而不寻求外部的证据，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但投标有不真实不正确的内容时除外。</w:t>
      </w:r>
    </w:p>
    <w:p w14:paraId="501A455E">
      <w:pPr>
        <w:spacing w:before="177" w:line="291" w:lineRule="auto"/>
        <w:ind w:left="81" w:right="117"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如果投标文件实质上没有响应招标文件</w:t>
      </w:r>
      <w:r>
        <w:rPr>
          <w:rFonts w:ascii="新宋体" w:hAnsi="新宋体" w:eastAsia="新宋体" w:cs="新宋体"/>
          <w:color w:val="auto"/>
          <w:spacing w:val="-2"/>
          <w:sz w:val="24"/>
          <w:szCs w:val="24"/>
          <w:highlight w:val="none"/>
        </w:rPr>
        <w:t>的要求，评标委员会将予以拒绝，投标人不得</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通过修正或撤销不符合要求的偏离或保留，而使其投标成为实质上响应的投标。</w:t>
      </w:r>
    </w:p>
    <w:p w14:paraId="371F0020">
      <w:pPr>
        <w:spacing w:before="176" w:line="223" w:lineRule="auto"/>
        <w:ind w:left="54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2.6</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3"/>
          <w:sz w:val="24"/>
          <w:szCs w:val="24"/>
          <w:highlight w:val="none"/>
        </w:rPr>
        <w:t>只有通过初审的投标人才能进入下一步评标程序。</w:t>
      </w:r>
    </w:p>
    <w:p w14:paraId="2E52B694">
      <w:pPr>
        <w:pStyle w:val="8"/>
        <w:spacing w:before="178" w:line="188" w:lineRule="auto"/>
        <w:ind w:left="83"/>
        <w:rPr>
          <w:color w:val="auto"/>
          <w:sz w:val="24"/>
          <w:szCs w:val="24"/>
          <w:highlight w:val="none"/>
        </w:rPr>
      </w:pPr>
      <w:r>
        <w:rPr>
          <w:b/>
          <w:bCs/>
          <w:color w:val="auto"/>
          <w:spacing w:val="-5"/>
          <w:sz w:val="24"/>
          <w:szCs w:val="24"/>
          <w:highlight w:val="none"/>
        </w:rPr>
        <w:t>三  、投标文件的澄清和补正</w:t>
      </w:r>
    </w:p>
    <w:p w14:paraId="41B0177D">
      <w:pPr>
        <w:spacing w:before="144" w:line="291" w:lineRule="auto"/>
        <w:ind w:left="79" w:right="117" w:firstLine="46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评审阶段，评委可能会要求有关投标</w:t>
      </w:r>
      <w:r>
        <w:rPr>
          <w:rFonts w:ascii="新宋体" w:hAnsi="新宋体" w:eastAsia="新宋体" w:cs="新宋体"/>
          <w:color w:val="auto"/>
          <w:spacing w:val="-2"/>
          <w:sz w:val="24"/>
          <w:szCs w:val="24"/>
          <w:highlight w:val="none"/>
        </w:rPr>
        <w:t>人就其投标书中含义不明确、同类问题表述不一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致或者有明显文字和计算错误的内容进行澄清。</w:t>
      </w:r>
    </w:p>
    <w:p w14:paraId="2FE8C4DB">
      <w:pPr>
        <w:spacing w:before="178" w:line="325"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投标人的澄清、说明或者补正应当通过“</w:t>
      </w:r>
      <w:r>
        <w:rPr>
          <w:rFonts w:ascii="新宋体" w:hAnsi="新宋体" w:eastAsia="新宋体" w:cs="新宋体"/>
          <w:color w:val="auto"/>
          <w:spacing w:val="-2"/>
          <w:sz w:val="24"/>
          <w:szCs w:val="24"/>
          <w:highlight w:val="none"/>
        </w:rPr>
        <w:t>政府采购云平台”在线答复的方式提交，并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加盖公章（电子印章</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或者由法定代表人（负责人）或其授权的代表签章。投标供应商的澄</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5"/>
          <w:sz w:val="24"/>
          <w:szCs w:val="24"/>
          <w:highlight w:val="none"/>
        </w:rPr>
        <w:t>清、说明或者补正不得超出投标文件的范围或者改变投标文件的实质性内容，</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不接受投标供应</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商主动对投标文件的澄清、说明或者补正。</w:t>
      </w:r>
    </w:p>
    <w:p w14:paraId="1C364201">
      <w:pPr>
        <w:spacing w:before="176" w:line="223" w:lineRule="auto"/>
        <w:ind w:left="54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6"/>
          <w:sz w:val="24"/>
          <w:szCs w:val="24"/>
          <w:highlight w:val="none"/>
        </w:rPr>
        <w:t>评委会修正错误的原则：</w:t>
      </w:r>
    </w:p>
    <w:p w14:paraId="6ECEC42E">
      <w:pPr>
        <w:spacing w:before="176" w:line="292"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如果数字表示的金额和用文字表示的</w:t>
      </w:r>
      <w:r>
        <w:rPr>
          <w:rFonts w:ascii="新宋体" w:hAnsi="新宋体" w:eastAsia="新宋体" w:cs="新宋体"/>
          <w:color w:val="auto"/>
          <w:spacing w:val="-2"/>
          <w:sz w:val="24"/>
          <w:szCs w:val="24"/>
          <w:highlight w:val="none"/>
        </w:rPr>
        <w:t>金额不一致时，以文字表示的金额为准；当投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标函与开标一览表不一致时，以开标一览表为准。</w:t>
      </w:r>
    </w:p>
    <w:p w14:paraId="7886D8AF">
      <w:pPr>
        <w:spacing w:before="174" w:line="291" w:lineRule="auto"/>
        <w:ind w:left="77" w:right="117" w:firstLine="464"/>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3.3.2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如果单价与数量的乘积和总价不一致</w:t>
      </w:r>
      <w:r>
        <w:rPr>
          <w:rFonts w:ascii="新宋体" w:hAnsi="新宋体" w:eastAsia="新宋体" w:cs="新宋体"/>
          <w:color w:val="auto"/>
          <w:spacing w:val="-2"/>
          <w:sz w:val="24"/>
          <w:szCs w:val="24"/>
          <w:highlight w:val="none"/>
        </w:rPr>
        <w:t>，以单价为准，修正总价及开标一览表；当单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价小数点有明显的错位时，评标委员会将以总价为准，并修正其单价。</w:t>
      </w:r>
    </w:p>
    <w:p w14:paraId="7A56C8F3">
      <w:pPr>
        <w:spacing w:before="78" w:line="350" w:lineRule="auto"/>
        <w:ind w:right="39" w:firstLine="476" w:firstLineChars="20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评委会将按上述修正错误的方法调整</w:t>
      </w:r>
      <w:r>
        <w:rPr>
          <w:rFonts w:ascii="新宋体" w:hAnsi="新宋体" w:eastAsia="新宋体" w:cs="新宋体"/>
          <w:color w:val="auto"/>
          <w:spacing w:val="-2"/>
          <w:sz w:val="24"/>
          <w:szCs w:val="24"/>
          <w:highlight w:val="none"/>
        </w:rPr>
        <w:t>投标文件中的投标报价，调整后的价格应对投标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人具有约束力。无论投标人是接受或是拒绝调整后的价格， 都应当采用电子询标的形式，并加</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4"/>
          <w:sz w:val="24"/>
          <w:szCs w:val="24"/>
          <w:highlight w:val="none"/>
        </w:rPr>
        <w:t>盖公章（电子印章）</w:t>
      </w:r>
    </w:p>
    <w:p w14:paraId="6478D2C7">
      <w:pPr>
        <w:pStyle w:val="8"/>
        <w:spacing w:before="37" w:line="187" w:lineRule="auto"/>
        <w:ind w:left="26"/>
        <w:rPr>
          <w:color w:val="auto"/>
          <w:sz w:val="24"/>
          <w:szCs w:val="24"/>
          <w:highlight w:val="none"/>
        </w:rPr>
      </w:pPr>
      <w:r>
        <w:rPr>
          <w:b/>
          <w:bCs/>
          <w:color w:val="auto"/>
          <w:spacing w:val="-6"/>
          <w:sz w:val="24"/>
          <w:szCs w:val="24"/>
          <w:highlight w:val="none"/>
        </w:rPr>
        <w:t>四、比较与评价</w:t>
      </w:r>
    </w:p>
    <w:p w14:paraId="2E3FD6FA">
      <w:pPr>
        <w:spacing w:before="146" w:line="344" w:lineRule="auto"/>
        <w:ind w:firstLine="46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详细评审即按招标文件中规定的评标方法和标准，评标委员会将对通过初审的投标文件，</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2"/>
          <w:sz w:val="24"/>
          <w:szCs w:val="24"/>
          <w:highlight w:val="none"/>
        </w:rPr>
        <w:t>进行经济标和技术标和商务标的评分、综合比较与评价。</w:t>
      </w:r>
    </w:p>
    <w:p w14:paraId="4BE8C3B0">
      <w:pPr>
        <w:spacing w:before="38"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综合评分满分</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3"/>
          <w:sz w:val="24"/>
          <w:szCs w:val="24"/>
          <w:highlight w:val="none"/>
        </w:rPr>
        <w:t>100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3"/>
          <w:sz w:val="24"/>
          <w:szCs w:val="24"/>
          <w:highlight w:val="none"/>
        </w:rPr>
        <w:t>分，各投标人的最终得分由商务标、技术标和经济标汇总组成。</w:t>
      </w:r>
    </w:p>
    <w:p w14:paraId="2E809704">
      <w:pPr>
        <w:spacing w:line="224" w:lineRule="auto"/>
        <w:rPr>
          <w:rFonts w:ascii="新宋体" w:hAnsi="新宋体" w:eastAsia="新宋体" w:cs="新宋体"/>
          <w:color w:val="auto"/>
          <w:sz w:val="24"/>
          <w:szCs w:val="24"/>
          <w:highlight w:val="none"/>
        </w:rPr>
        <w:sectPr>
          <w:footerReference r:id="rId10" w:type="default"/>
          <w:pgSz w:w="11905" w:h="16839"/>
          <w:pgMar w:top="400" w:right="1043" w:bottom="1250" w:left="1100" w:header="0" w:footer="1090" w:gutter="0"/>
          <w:pgNumType w:fmt="numberInDash"/>
          <w:cols w:space="720" w:num="1"/>
        </w:sectPr>
      </w:pPr>
    </w:p>
    <w:p w14:paraId="3A90713F">
      <w:pPr>
        <w:pStyle w:val="8"/>
        <w:spacing w:before="102" w:line="184" w:lineRule="auto"/>
        <w:jc w:val="center"/>
        <w:rPr>
          <w:color w:val="auto"/>
          <w:sz w:val="24"/>
          <w:szCs w:val="24"/>
          <w:highlight w:val="none"/>
        </w:rPr>
      </w:pPr>
      <w:r>
        <w:rPr>
          <w:b/>
          <w:bCs/>
          <w:color w:val="auto"/>
          <w:spacing w:val="-1"/>
          <w:sz w:val="24"/>
          <w:szCs w:val="24"/>
          <w:highlight w:val="none"/>
        </w:rPr>
        <w:t>评分标准（评分采用百分制</w:t>
      </w:r>
      <w:r>
        <w:rPr>
          <w:b/>
          <w:bCs/>
          <w:color w:val="auto"/>
          <w:spacing w:val="51"/>
          <w:sz w:val="24"/>
          <w:szCs w:val="24"/>
          <w:highlight w:val="none"/>
        </w:rPr>
        <w:t xml:space="preserve"> </w:t>
      </w:r>
      <w:r>
        <w:rPr>
          <w:b/>
          <w:bCs/>
          <w:color w:val="auto"/>
          <w:spacing w:val="-1"/>
          <w:sz w:val="24"/>
          <w:szCs w:val="24"/>
          <w:highlight w:val="none"/>
        </w:rPr>
        <w:t>，计算结果精确</w:t>
      </w:r>
      <w:r>
        <w:rPr>
          <w:b/>
          <w:bCs/>
          <w:color w:val="auto"/>
          <w:spacing w:val="-2"/>
          <w:sz w:val="24"/>
          <w:szCs w:val="24"/>
          <w:highlight w:val="none"/>
        </w:rPr>
        <w:t>到小数点后两位）</w:t>
      </w:r>
    </w:p>
    <w:p w14:paraId="550E9CB7">
      <w:pPr>
        <w:spacing w:line="114" w:lineRule="exact"/>
        <w:rPr>
          <w:color w:val="auto"/>
          <w:highlight w:val="none"/>
        </w:rPr>
      </w:pPr>
    </w:p>
    <w:tbl>
      <w:tblPr>
        <w:tblStyle w:val="15"/>
        <w:tblW w:w="1001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0"/>
        <w:gridCol w:w="1049"/>
        <w:gridCol w:w="765"/>
        <w:gridCol w:w="6996"/>
      </w:tblGrid>
      <w:tr w14:paraId="77C3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250" w:type="dxa"/>
            <w:gridSpan w:val="3"/>
            <w:vAlign w:val="center"/>
          </w:tcPr>
          <w:p w14:paraId="07E4EF4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vAlign w:val="center"/>
          </w:tcPr>
          <w:p w14:paraId="249D1BC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分值</w:t>
            </w:r>
          </w:p>
        </w:tc>
        <w:tc>
          <w:tcPr>
            <w:tcW w:w="6996" w:type="dxa"/>
            <w:vAlign w:val="center"/>
          </w:tcPr>
          <w:p w14:paraId="071E5115">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评分标准</w:t>
            </w:r>
          </w:p>
        </w:tc>
      </w:tr>
      <w:tr w14:paraId="1B92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1191" w:type="dxa"/>
            <w:vAlign w:val="center"/>
          </w:tcPr>
          <w:p w14:paraId="3266597B">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经济部分</w:t>
            </w:r>
          </w:p>
          <w:p w14:paraId="1DB7F2B8">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（30分）</w:t>
            </w:r>
          </w:p>
        </w:tc>
        <w:tc>
          <w:tcPr>
            <w:tcW w:w="1059" w:type="dxa"/>
            <w:gridSpan w:val="2"/>
            <w:vAlign w:val="center"/>
          </w:tcPr>
          <w:p w14:paraId="511A5FBC">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价格</w:t>
            </w:r>
          </w:p>
        </w:tc>
        <w:tc>
          <w:tcPr>
            <w:tcW w:w="765" w:type="dxa"/>
            <w:vAlign w:val="top"/>
          </w:tcPr>
          <w:p w14:paraId="7BD63F42">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71BD10AA">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03653CE">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2F6D8F1">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30 分</w:t>
            </w:r>
          </w:p>
        </w:tc>
        <w:tc>
          <w:tcPr>
            <w:tcW w:w="6996" w:type="dxa"/>
            <w:vAlign w:val="center"/>
          </w:tcPr>
          <w:p w14:paraId="48F8B8FA">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价格分统一采用低价优先法计算，即满足采购文件要求且最后报价最低的供 应商的价格为评标基准价，其价格分为满分。其他供应商的价格分统一按照 下列公式计算：</w:t>
            </w:r>
          </w:p>
          <w:p w14:paraId="53DCDBF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投标报价得分=（评标基准价/最终投标报价）×价格权值×100 本项目的价格权值为 30%。</w:t>
            </w:r>
          </w:p>
          <w:p w14:paraId="11B3A38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项目评审过程中，不得去掉最终报价中的最高报价和最低报价。</w:t>
            </w:r>
          </w:p>
        </w:tc>
      </w:tr>
      <w:tr w14:paraId="5E6C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250" w:type="dxa"/>
            <w:gridSpan w:val="3"/>
            <w:tcBorders>
              <w:bottom w:val="single" w:color="auto" w:sz="4" w:space="0"/>
            </w:tcBorders>
            <w:vAlign w:val="center"/>
          </w:tcPr>
          <w:p w14:paraId="7A1271EF">
            <w:pPr>
              <w:spacing w:before="91" w:line="189"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tcBorders>
              <w:bottom w:val="single" w:color="auto" w:sz="4" w:space="0"/>
            </w:tcBorders>
            <w:vAlign w:val="center"/>
          </w:tcPr>
          <w:p w14:paraId="13A5132D">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4"/>
                <w:w w:val="99"/>
                <w:sz w:val="21"/>
                <w:szCs w:val="21"/>
                <w:highlight w:val="none"/>
              </w:rPr>
              <w:t>分值</w:t>
            </w:r>
          </w:p>
        </w:tc>
        <w:tc>
          <w:tcPr>
            <w:tcW w:w="6996" w:type="dxa"/>
            <w:vAlign w:val="center"/>
          </w:tcPr>
          <w:p w14:paraId="6ABBCF4B">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评分标准</w:t>
            </w:r>
          </w:p>
        </w:tc>
      </w:tr>
      <w:tr w14:paraId="742F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201" w:type="dxa"/>
            <w:gridSpan w:val="2"/>
            <w:vMerge w:val="restart"/>
            <w:tcBorders>
              <w:top w:val="single" w:color="auto" w:sz="4" w:space="0"/>
              <w:left w:val="single" w:color="auto" w:sz="4" w:space="0"/>
              <w:bottom w:val="single" w:color="auto" w:sz="4" w:space="0"/>
              <w:right w:val="single" w:color="auto" w:sz="4" w:space="0"/>
            </w:tcBorders>
            <w:vAlign w:val="top"/>
          </w:tcPr>
          <w:p w14:paraId="60763B9A">
            <w:pPr>
              <w:spacing w:line="245" w:lineRule="auto"/>
              <w:rPr>
                <w:rFonts w:ascii="Arial"/>
                <w:color w:val="auto"/>
                <w:sz w:val="21"/>
                <w:highlight w:val="none"/>
              </w:rPr>
            </w:pPr>
          </w:p>
          <w:p w14:paraId="6AEEB309">
            <w:pPr>
              <w:spacing w:line="245" w:lineRule="auto"/>
              <w:rPr>
                <w:rFonts w:ascii="Arial"/>
                <w:color w:val="auto"/>
                <w:sz w:val="21"/>
                <w:highlight w:val="none"/>
              </w:rPr>
            </w:pPr>
          </w:p>
          <w:p w14:paraId="1364121B">
            <w:pPr>
              <w:spacing w:line="245" w:lineRule="auto"/>
              <w:rPr>
                <w:rFonts w:ascii="Arial"/>
                <w:color w:val="auto"/>
                <w:sz w:val="21"/>
                <w:highlight w:val="none"/>
              </w:rPr>
            </w:pPr>
          </w:p>
          <w:p w14:paraId="733D5846">
            <w:pPr>
              <w:spacing w:line="245" w:lineRule="auto"/>
              <w:rPr>
                <w:rFonts w:ascii="Arial"/>
                <w:color w:val="auto"/>
                <w:sz w:val="21"/>
                <w:highlight w:val="none"/>
              </w:rPr>
            </w:pPr>
          </w:p>
          <w:p w14:paraId="6BCAC097">
            <w:pPr>
              <w:spacing w:line="245" w:lineRule="auto"/>
              <w:rPr>
                <w:rFonts w:ascii="Arial"/>
                <w:color w:val="auto"/>
                <w:sz w:val="21"/>
                <w:highlight w:val="none"/>
              </w:rPr>
            </w:pPr>
          </w:p>
          <w:p w14:paraId="4F303791">
            <w:pPr>
              <w:spacing w:line="245" w:lineRule="auto"/>
              <w:rPr>
                <w:rFonts w:ascii="Arial"/>
                <w:color w:val="auto"/>
                <w:sz w:val="21"/>
                <w:highlight w:val="none"/>
              </w:rPr>
            </w:pPr>
          </w:p>
          <w:p w14:paraId="083644A9">
            <w:pPr>
              <w:spacing w:line="245" w:lineRule="auto"/>
              <w:rPr>
                <w:rFonts w:ascii="Arial"/>
                <w:color w:val="auto"/>
                <w:sz w:val="21"/>
                <w:highlight w:val="none"/>
              </w:rPr>
            </w:pPr>
          </w:p>
          <w:p w14:paraId="3FE4047B">
            <w:pPr>
              <w:spacing w:line="245" w:lineRule="auto"/>
              <w:rPr>
                <w:rFonts w:ascii="Arial"/>
                <w:color w:val="auto"/>
                <w:sz w:val="21"/>
                <w:highlight w:val="none"/>
              </w:rPr>
            </w:pPr>
          </w:p>
          <w:p w14:paraId="5EBFC373">
            <w:pPr>
              <w:spacing w:line="245" w:lineRule="auto"/>
              <w:rPr>
                <w:rFonts w:ascii="Arial"/>
                <w:color w:val="auto"/>
                <w:sz w:val="21"/>
                <w:highlight w:val="none"/>
              </w:rPr>
            </w:pPr>
          </w:p>
          <w:p w14:paraId="36B76FA6">
            <w:pPr>
              <w:spacing w:line="245" w:lineRule="auto"/>
              <w:rPr>
                <w:rFonts w:ascii="Arial"/>
                <w:color w:val="auto"/>
                <w:sz w:val="21"/>
                <w:highlight w:val="none"/>
              </w:rPr>
            </w:pPr>
          </w:p>
          <w:p w14:paraId="2527B2E4">
            <w:pPr>
              <w:spacing w:line="245" w:lineRule="auto"/>
              <w:rPr>
                <w:rFonts w:ascii="Arial"/>
                <w:color w:val="auto"/>
                <w:sz w:val="21"/>
                <w:highlight w:val="none"/>
              </w:rPr>
            </w:pPr>
          </w:p>
          <w:p w14:paraId="25972FD5">
            <w:pPr>
              <w:spacing w:line="245" w:lineRule="auto"/>
              <w:rPr>
                <w:rFonts w:ascii="Arial"/>
                <w:color w:val="auto"/>
                <w:sz w:val="21"/>
                <w:highlight w:val="none"/>
              </w:rPr>
            </w:pPr>
          </w:p>
          <w:p w14:paraId="74F892D8">
            <w:pPr>
              <w:spacing w:line="246" w:lineRule="auto"/>
              <w:rPr>
                <w:rFonts w:ascii="Arial"/>
                <w:color w:val="auto"/>
                <w:sz w:val="21"/>
                <w:highlight w:val="none"/>
              </w:rPr>
            </w:pPr>
          </w:p>
          <w:p w14:paraId="5AC1DA53">
            <w:pPr>
              <w:spacing w:line="246" w:lineRule="auto"/>
              <w:rPr>
                <w:rFonts w:ascii="Arial"/>
                <w:color w:val="auto"/>
                <w:sz w:val="21"/>
                <w:highlight w:val="none"/>
              </w:rPr>
            </w:pPr>
          </w:p>
          <w:p w14:paraId="1FEA1305">
            <w:pPr>
              <w:spacing w:line="246" w:lineRule="auto"/>
              <w:rPr>
                <w:rFonts w:ascii="Arial"/>
                <w:color w:val="auto"/>
                <w:sz w:val="21"/>
                <w:highlight w:val="none"/>
              </w:rPr>
            </w:pPr>
          </w:p>
          <w:p w14:paraId="59C8263E">
            <w:pPr>
              <w:spacing w:line="246" w:lineRule="auto"/>
              <w:rPr>
                <w:rFonts w:ascii="Arial"/>
                <w:color w:val="auto"/>
                <w:sz w:val="21"/>
                <w:highlight w:val="none"/>
              </w:rPr>
            </w:pPr>
          </w:p>
          <w:p w14:paraId="271B7619">
            <w:pPr>
              <w:spacing w:line="246" w:lineRule="auto"/>
              <w:rPr>
                <w:rFonts w:ascii="Arial"/>
                <w:color w:val="auto"/>
                <w:sz w:val="21"/>
                <w:highlight w:val="none"/>
              </w:rPr>
            </w:pPr>
          </w:p>
          <w:p w14:paraId="7C941344">
            <w:pPr>
              <w:spacing w:line="246" w:lineRule="auto"/>
              <w:rPr>
                <w:rFonts w:ascii="Arial"/>
                <w:color w:val="auto"/>
                <w:sz w:val="21"/>
                <w:highlight w:val="none"/>
              </w:rPr>
            </w:pPr>
          </w:p>
          <w:p w14:paraId="71B8DA5E">
            <w:pPr>
              <w:pStyle w:val="16"/>
              <w:spacing w:before="68" w:line="303" w:lineRule="auto"/>
              <w:ind w:left="116" w:right="77" w:firstLine="12"/>
              <w:rPr>
                <w:color w:val="auto"/>
                <w:sz w:val="21"/>
                <w:szCs w:val="21"/>
                <w:highlight w:val="none"/>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商务部分 （32 分）</w:t>
            </w:r>
          </w:p>
        </w:tc>
        <w:tc>
          <w:tcPr>
            <w:tcW w:w="1049" w:type="dxa"/>
            <w:tcBorders>
              <w:top w:val="single" w:color="auto" w:sz="4" w:space="0"/>
              <w:left w:val="single" w:color="auto" w:sz="4" w:space="0"/>
              <w:bottom w:val="single" w:color="auto" w:sz="4" w:space="0"/>
              <w:right w:val="single" w:color="auto" w:sz="4" w:space="0"/>
            </w:tcBorders>
            <w:vAlign w:val="center"/>
          </w:tcPr>
          <w:p w14:paraId="5996CE77">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类似</w:t>
            </w:r>
          </w:p>
          <w:p w14:paraId="5045AADC">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业绩</w:t>
            </w:r>
          </w:p>
        </w:tc>
        <w:tc>
          <w:tcPr>
            <w:tcW w:w="765" w:type="dxa"/>
            <w:tcBorders>
              <w:top w:val="single" w:color="auto" w:sz="4" w:space="0"/>
              <w:left w:val="single" w:color="auto" w:sz="4" w:space="0"/>
              <w:bottom w:val="single" w:color="auto" w:sz="4" w:space="0"/>
              <w:right w:val="single" w:color="auto" w:sz="4" w:space="0"/>
            </w:tcBorders>
            <w:vAlign w:val="top"/>
          </w:tcPr>
          <w:p w14:paraId="5D0AAE9A">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p>
          <w:p w14:paraId="1AF02463">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6分</w:t>
            </w:r>
          </w:p>
        </w:tc>
        <w:tc>
          <w:tcPr>
            <w:tcW w:w="6996" w:type="dxa"/>
            <w:tcBorders>
              <w:left w:val="single" w:color="auto" w:sz="4" w:space="0"/>
            </w:tcBorders>
            <w:vAlign w:val="center"/>
          </w:tcPr>
          <w:p w14:paraId="082C793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投标人提供近三年以来（2022年5 月 1 日至投标截止日）类似的项目业绩， 需提供中标通知书或合同,并注明业主方联系人及联系方式，每提供一项得2分，满分 6 分。</w:t>
            </w:r>
          </w:p>
        </w:tc>
      </w:tr>
      <w:tr w14:paraId="2187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1510EA69">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632A370">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售后服务时间响应程度</w:t>
            </w:r>
          </w:p>
        </w:tc>
        <w:tc>
          <w:tcPr>
            <w:tcW w:w="765" w:type="dxa"/>
            <w:tcBorders>
              <w:top w:val="single" w:color="auto" w:sz="4" w:space="0"/>
              <w:left w:val="single" w:color="auto" w:sz="4" w:space="0"/>
              <w:bottom w:val="single" w:color="auto" w:sz="4" w:space="0"/>
              <w:right w:val="single" w:color="auto" w:sz="4" w:space="0"/>
            </w:tcBorders>
            <w:vAlign w:val="center"/>
          </w:tcPr>
          <w:p w14:paraId="2B96BAF3">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996" w:type="dxa"/>
            <w:tcBorders>
              <w:left w:val="single" w:color="auto" w:sz="4" w:space="0"/>
            </w:tcBorders>
            <w:vAlign w:val="center"/>
          </w:tcPr>
          <w:p w14:paraId="183EC5F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完全响应清单目录中售后时间要求的，得4分；优于清单目录中售后时间要求的，得5分；对未响应清单目录中时间要求的，不得分。</w:t>
            </w:r>
          </w:p>
        </w:tc>
      </w:tr>
      <w:tr w14:paraId="26B1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5CAE8768">
            <w:pPr>
              <w:pStyle w:val="16"/>
              <w:spacing w:before="69" w:line="307" w:lineRule="auto"/>
              <w:ind w:right="219"/>
              <w:jc w:val="center"/>
              <w:rPr>
                <w:color w:val="auto"/>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AF2F78F">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售后</w:t>
            </w:r>
            <w:r>
              <w:rPr>
                <w:rFonts w:hint="eastAsia"/>
                <w:b w:val="0"/>
                <w:bCs w:val="0"/>
                <w:color w:val="auto"/>
                <w:spacing w:val="-2"/>
                <w:sz w:val="21"/>
                <w:szCs w:val="21"/>
                <w:highlight w:val="none"/>
                <w:vertAlign w:val="baseline"/>
                <w:lang w:val="en-US" w:eastAsia="zh-CN"/>
              </w:rPr>
              <w:t>维保人员</w:t>
            </w:r>
            <w:r>
              <w:rPr>
                <w:rFonts w:hint="default"/>
                <w:b w:val="0"/>
                <w:bCs w:val="0"/>
                <w:color w:val="auto"/>
                <w:spacing w:val="-2"/>
                <w:sz w:val="21"/>
                <w:szCs w:val="21"/>
                <w:highlight w:val="none"/>
                <w:vertAlign w:val="baseline"/>
                <w:lang w:val="en-US" w:eastAsia="zh-CN"/>
              </w:rPr>
              <w:t>响应程度</w:t>
            </w:r>
          </w:p>
        </w:tc>
        <w:tc>
          <w:tcPr>
            <w:tcW w:w="765" w:type="dxa"/>
            <w:tcBorders>
              <w:top w:val="single" w:color="auto" w:sz="4" w:space="0"/>
              <w:left w:val="single" w:color="auto" w:sz="4" w:space="0"/>
              <w:bottom w:val="single" w:color="auto" w:sz="4" w:space="0"/>
              <w:right w:val="single" w:color="auto" w:sz="4" w:space="0"/>
            </w:tcBorders>
            <w:vAlign w:val="center"/>
          </w:tcPr>
          <w:p w14:paraId="7F6A808C">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996" w:type="dxa"/>
            <w:tcBorders>
              <w:left w:val="single" w:color="auto" w:sz="4" w:space="0"/>
            </w:tcBorders>
            <w:vAlign w:val="center"/>
          </w:tcPr>
          <w:p w14:paraId="029E1313">
            <w:pPr>
              <w:pStyle w:val="16"/>
              <w:spacing w:before="69" w:line="307" w:lineRule="auto"/>
              <w:ind w:right="219"/>
              <w:jc w:val="both"/>
              <w:rPr>
                <w:rFonts w:hint="default"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完全响应清单目录中维保人员要求的，得4分；优于清单目录中维保人员要求的，得5分；对未响应清单目录中维保人员要求的，不得分。</w:t>
            </w:r>
          </w:p>
        </w:tc>
      </w:tr>
      <w:tr w14:paraId="3B4D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4D40FF3B">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886F09A">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质量管理与保证措施</w:t>
            </w:r>
          </w:p>
        </w:tc>
        <w:tc>
          <w:tcPr>
            <w:tcW w:w="765" w:type="dxa"/>
            <w:tcBorders>
              <w:top w:val="single" w:color="auto" w:sz="4" w:space="0"/>
              <w:left w:val="single" w:color="auto" w:sz="4" w:space="0"/>
              <w:bottom w:val="single" w:color="auto" w:sz="4" w:space="0"/>
              <w:right w:val="single" w:color="auto" w:sz="4" w:space="0"/>
            </w:tcBorders>
            <w:vAlign w:val="center"/>
          </w:tcPr>
          <w:p w14:paraId="0EB892D0">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8分</w:t>
            </w:r>
          </w:p>
        </w:tc>
        <w:tc>
          <w:tcPr>
            <w:tcW w:w="6996" w:type="dxa"/>
            <w:tcBorders>
              <w:left w:val="single" w:color="auto" w:sz="4" w:space="0"/>
            </w:tcBorders>
            <w:vAlign w:val="center"/>
          </w:tcPr>
          <w:p w14:paraId="0DDB08D8">
            <w:pPr>
              <w:pStyle w:val="8"/>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针对本项目制定全面详实的质量保证体系、质量管理实施方案、质量保证措施、质量保证风险预估。</w:t>
            </w:r>
          </w:p>
          <w:p w14:paraId="751E60E0">
            <w:pPr>
              <w:pStyle w:val="8"/>
              <w:widowControl w:val="0"/>
              <w:spacing w:before="102" w:line="184" w:lineRule="auto"/>
              <w:jc w:val="both"/>
              <w:rPr>
                <w:color w:val="auto"/>
                <w:sz w:val="21"/>
                <w:szCs w:val="21"/>
                <w:highlight w:val="none"/>
              </w:rPr>
            </w:pPr>
            <w:r>
              <w:rPr>
                <w:rFonts w:hint="eastAsia"/>
                <w:b/>
                <w:bCs/>
                <w:color w:val="auto"/>
                <w:spacing w:val="-2"/>
                <w:sz w:val="21"/>
                <w:szCs w:val="21"/>
                <w:highlight w:val="none"/>
                <w:vertAlign w:val="baseline"/>
                <w:lang w:val="en-US" w:eastAsia="zh-CN"/>
              </w:rPr>
              <w:t>以上内容每缺一项扣2分；每有一项内容描述不详细、不清晰扣1分；满分8分，扣完为止；未提供或明显套用其他项目内容的不得分。</w:t>
            </w:r>
          </w:p>
        </w:tc>
      </w:tr>
      <w:tr w14:paraId="5234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544BAAE3">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7586540">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人员配置的要求</w:t>
            </w:r>
          </w:p>
        </w:tc>
        <w:tc>
          <w:tcPr>
            <w:tcW w:w="765" w:type="dxa"/>
            <w:tcBorders>
              <w:top w:val="single" w:color="auto" w:sz="4" w:space="0"/>
              <w:left w:val="single" w:color="auto" w:sz="4" w:space="0"/>
              <w:bottom w:val="single" w:color="auto" w:sz="4" w:space="0"/>
              <w:right w:val="single" w:color="auto" w:sz="4" w:space="0"/>
            </w:tcBorders>
            <w:vAlign w:val="center"/>
          </w:tcPr>
          <w:p w14:paraId="3B8FC8DA">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8分</w:t>
            </w:r>
          </w:p>
        </w:tc>
        <w:tc>
          <w:tcPr>
            <w:tcW w:w="6996" w:type="dxa"/>
            <w:tcBorders>
              <w:left w:val="single" w:color="auto" w:sz="4" w:space="0"/>
            </w:tcBorders>
            <w:vAlign w:val="center"/>
          </w:tcPr>
          <w:p w14:paraId="6B63ACCC">
            <w:pPr>
              <w:pStyle w:val="8"/>
              <w:widowControl w:val="0"/>
              <w:numPr>
                <w:ilvl w:val="0"/>
                <w:numId w:val="2"/>
              </w:numPr>
              <w:spacing w:before="102" w:line="184" w:lineRule="auto"/>
              <w:jc w:val="both"/>
              <w:rPr>
                <w:rFonts w:hint="eastAsia"/>
                <w:b/>
                <w:bCs/>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对12个颜色头开展准确性调整核查服务，实施相关操作的工作人员需遵循设备生产厂商的核查规程，技术能力受到设备生产厂商的认可，促使棉花检验检测相符率提升。</w:t>
            </w:r>
          </w:p>
          <w:p w14:paraId="38FB595A">
            <w:pPr>
              <w:pStyle w:val="8"/>
              <w:widowControl w:val="0"/>
              <w:numPr>
                <w:ilvl w:val="0"/>
                <w:numId w:val="0"/>
              </w:numPr>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提供得4分；提供的资料未体现出厂商认可或未提供的均不得分。</w:t>
            </w:r>
          </w:p>
          <w:p w14:paraId="3B8E536E">
            <w:pPr>
              <w:pStyle w:val="8"/>
              <w:widowControl w:val="0"/>
              <w:numPr>
                <w:ilvl w:val="0"/>
                <w:numId w:val="2"/>
              </w:numPr>
              <w:spacing w:before="102" w:line="184" w:lineRule="auto"/>
              <w:jc w:val="both"/>
              <w:rPr>
                <w:rFonts w:hint="default"/>
                <w:b/>
                <w:bCs/>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实施维护大保养的工作人员需遵循生产厂商的大保养规程，对HVI1000型设备的大保养维护技术能力受到生产厂商的认可，需提供生产厂商对该工作人员维护技术能力的授权资料证件或资格证书，方可开展该服务</w:t>
            </w:r>
            <w:r>
              <w:rPr>
                <w:rFonts w:hint="eastAsia"/>
                <w:b w:val="0"/>
                <w:bCs w:val="0"/>
                <w:color w:val="auto"/>
                <w:spacing w:val="-2"/>
                <w:sz w:val="21"/>
                <w:szCs w:val="21"/>
                <w:highlight w:val="none"/>
                <w:vertAlign w:val="baseline"/>
                <w:lang w:val="en-US" w:eastAsia="zh-CN"/>
              </w:rPr>
              <w:t>。</w:t>
            </w:r>
          </w:p>
          <w:p w14:paraId="45D83618">
            <w:pPr>
              <w:pStyle w:val="8"/>
              <w:widowControl w:val="0"/>
              <w:numPr>
                <w:ilvl w:val="0"/>
                <w:numId w:val="0"/>
              </w:numPr>
              <w:spacing w:before="102" w:line="184" w:lineRule="auto"/>
              <w:ind w:left="0" w:leftChars="0" w:firstLine="0" w:firstLineChars="0"/>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提供得4分；提供的资料未体现出厂商认可或未提供的均不得分。</w:t>
            </w:r>
          </w:p>
        </w:tc>
      </w:tr>
    </w:tbl>
    <w:p w14:paraId="6B3A6A44">
      <w:pPr>
        <w:rPr>
          <w:rFonts w:ascii="Arial"/>
          <w:color w:val="auto"/>
          <w:sz w:val="21"/>
          <w:highlight w:val="none"/>
        </w:rPr>
      </w:pPr>
    </w:p>
    <w:p w14:paraId="1325E7F0">
      <w:pPr>
        <w:rPr>
          <w:rFonts w:ascii="Arial" w:hAnsi="Arial" w:eastAsia="Arial" w:cs="Arial"/>
          <w:color w:val="auto"/>
          <w:sz w:val="21"/>
          <w:szCs w:val="21"/>
          <w:highlight w:val="none"/>
        </w:rPr>
        <w:sectPr>
          <w:footerReference r:id="rId11" w:type="default"/>
          <w:pgSz w:w="11905" w:h="16839"/>
          <w:pgMar w:top="400" w:right="1007" w:bottom="1250" w:left="1007" w:header="0" w:footer="1090" w:gutter="0"/>
          <w:pgNumType w:fmt="numberInDash"/>
          <w:cols w:space="720" w:num="1"/>
        </w:sectPr>
      </w:pPr>
    </w:p>
    <w:p w14:paraId="7FF7E741">
      <w:pPr>
        <w:spacing w:before="18"/>
        <w:rPr>
          <w:color w:val="auto"/>
          <w:highlight w:val="none"/>
        </w:rPr>
      </w:pPr>
    </w:p>
    <w:p w14:paraId="08375362">
      <w:pPr>
        <w:spacing w:before="18"/>
        <w:rPr>
          <w:color w:val="auto"/>
          <w:highlight w:val="none"/>
        </w:rPr>
      </w:pPr>
    </w:p>
    <w:tbl>
      <w:tblPr>
        <w:tblStyle w:val="15"/>
        <w:tblW w:w="9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020"/>
        <w:gridCol w:w="773"/>
        <w:gridCol w:w="6869"/>
      </w:tblGrid>
      <w:tr w14:paraId="509E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7" w:hRule="atLeast"/>
        </w:trPr>
        <w:tc>
          <w:tcPr>
            <w:tcW w:w="1217" w:type="dxa"/>
            <w:vMerge w:val="restart"/>
            <w:vAlign w:val="center"/>
          </w:tcPr>
          <w:p w14:paraId="5D471B40">
            <w:pPr>
              <w:pStyle w:val="16"/>
              <w:spacing w:before="68" w:line="303" w:lineRule="auto"/>
              <w:ind w:left="116" w:right="77" w:firstLine="5"/>
              <w:jc w:val="center"/>
              <w:rPr>
                <w:color w:val="auto"/>
                <w:spacing w:val="-4"/>
                <w:sz w:val="21"/>
                <w:szCs w:val="21"/>
                <w:highlight w:val="none"/>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技术部分 （38 分）</w:t>
            </w:r>
          </w:p>
        </w:tc>
        <w:tc>
          <w:tcPr>
            <w:tcW w:w="1020" w:type="dxa"/>
            <w:vAlign w:val="center"/>
          </w:tcPr>
          <w:p w14:paraId="6EED9598">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技术参数响应程度</w:t>
            </w:r>
          </w:p>
        </w:tc>
        <w:tc>
          <w:tcPr>
            <w:tcW w:w="773" w:type="dxa"/>
            <w:vAlign w:val="center"/>
          </w:tcPr>
          <w:p w14:paraId="710E443C">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25分</w:t>
            </w:r>
          </w:p>
        </w:tc>
        <w:tc>
          <w:tcPr>
            <w:tcW w:w="6869" w:type="dxa"/>
            <w:vAlign w:val="center"/>
          </w:tcPr>
          <w:p w14:paraId="48E74B51">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①技术要求和配置完全符合招标文件要求没有负偏离得20分。</w:t>
            </w:r>
          </w:p>
          <w:p w14:paraId="2BD14CC8">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②技术要求每出现一条正偏离加 1 分,最高加 5 分；</w:t>
            </w:r>
          </w:p>
          <w:p w14:paraId="05655524">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③未标注“★”技术要求及参数每有一条负偏离或不满足的扣1分，扣完为止。</w:t>
            </w:r>
          </w:p>
          <w:p w14:paraId="0B0E4662">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④投标人按所投产品的实际参数填写，直接复制黏贴参数，视为负偏离，一项负偏离参数扣1分。扣完为止。</w:t>
            </w:r>
          </w:p>
          <w:p w14:paraId="428A29E8">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⑤“★”号表示核心产品，所有参数需全部响应，偏离表中未响应或负偏离作废标处理。</w:t>
            </w:r>
          </w:p>
          <w:p w14:paraId="0900F569">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注：1.为确保投标产品参数的真实、有效性，投标人需如实填写所投产品参数，并提供能够证明该产品技术参数真实有效的的响应材料（须加盖生产厂家公章）。响应材料包含但不限于公开网站截图或公开印刷材料或检测报告或生产厂家提供的有关资料等，若所提供的证明文件不能体现技术参数真实有效性、证明文件提供不全的、证明文件未提供且提供内容不清晰、难以辨认的均视为负偏离。以负偏离扣分或以评审小组集体意见为准。</w:t>
            </w:r>
          </w:p>
        </w:tc>
      </w:tr>
      <w:tr w14:paraId="23CE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4" w:hRule="atLeast"/>
        </w:trPr>
        <w:tc>
          <w:tcPr>
            <w:tcW w:w="1217" w:type="dxa"/>
            <w:vMerge w:val="continue"/>
            <w:vAlign w:val="top"/>
          </w:tcPr>
          <w:p w14:paraId="400FA3A6">
            <w:pPr>
              <w:pStyle w:val="16"/>
              <w:spacing w:before="68" w:line="303" w:lineRule="auto"/>
              <w:ind w:left="116" w:right="77" w:firstLine="5"/>
              <w:rPr>
                <w:color w:val="auto"/>
                <w:spacing w:val="-4"/>
                <w:sz w:val="21"/>
                <w:szCs w:val="21"/>
                <w:highlight w:val="none"/>
              </w:rPr>
            </w:pPr>
          </w:p>
        </w:tc>
        <w:tc>
          <w:tcPr>
            <w:tcW w:w="1020" w:type="dxa"/>
            <w:vAlign w:val="center"/>
          </w:tcPr>
          <w:p w14:paraId="01D41DC0">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项目实施方案</w:t>
            </w:r>
          </w:p>
        </w:tc>
        <w:tc>
          <w:tcPr>
            <w:tcW w:w="773" w:type="dxa"/>
            <w:vAlign w:val="center"/>
          </w:tcPr>
          <w:p w14:paraId="5099EBAE">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8</w:t>
            </w:r>
          </w:p>
        </w:tc>
        <w:tc>
          <w:tcPr>
            <w:tcW w:w="6869" w:type="dxa"/>
            <w:vAlign w:val="center"/>
          </w:tcPr>
          <w:p w14:paraId="39ED5BE2">
            <w:pPr>
              <w:pStyle w:val="8"/>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提供本项目的实施方案，包含:①项目实施目标明确，②项目资源合理规划，③项目组织方案逻辑清晰、完整详实，④对项目有合理化建议，⑤项目实施准备计划、工期安排计划明确，提供专项的工期保证措施和体系，⑥ 关键阶段时间节点安排合理， ⑦产品测试和验收有详细说明，明确验收标准及流程，⑧设备包装、装卸、运输等方案有详细说明，有响应保护措施；</w:t>
            </w:r>
          </w:p>
          <w:p w14:paraId="1463EC32">
            <w:pPr>
              <w:pStyle w:val="8"/>
              <w:widowControl w:val="0"/>
              <w:spacing w:before="102" w:line="184" w:lineRule="auto"/>
              <w:jc w:val="both"/>
              <w:rPr>
                <w:rFonts w:ascii="微软雅黑" w:hAnsi="微软雅黑" w:eastAsia="微软雅黑" w:cs="微软雅黑"/>
                <w:color w:val="auto"/>
                <w:sz w:val="21"/>
                <w:szCs w:val="21"/>
                <w:highlight w:val="none"/>
              </w:rPr>
            </w:pPr>
            <w:r>
              <w:rPr>
                <w:rFonts w:hint="eastAsia"/>
                <w:b/>
                <w:bCs/>
                <w:color w:val="auto"/>
                <w:spacing w:val="-2"/>
                <w:sz w:val="21"/>
                <w:szCs w:val="21"/>
                <w:highlight w:val="none"/>
                <w:vertAlign w:val="baseline"/>
                <w:lang w:val="en-US" w:eastAsia="zh-CN"/>
              </w:rPr>
              <w:t>以上内容满足且优于项目需求，方案内容完整的得8分，投标单位所提供的实施方案有“ 瑕疵或缺陷 ”的，每有一项扣 1 分， 扣完为止， 如未提供或不满足要求的不得分。</w:t>
            </w:r>
          </w:p>
        </w:tc>
      </w:tr>
      <w:tr w14:paraId="2802B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1217" w:type="dxa"/>
            <w:vMerge w:val="continue"/>
            <w:vAlign w:val="top"/>
          </w:tcPr>
          <w:p w14:paraId="43FC8FC3">
            <w:pPr>
              <w:pStyle w:val="16"/>
              <w:spacing w:before="68" w:line="303" w:lineRule="auto"/>
              <w:ind w:left="116" w:right="77" w:firstLine="5"/>
              <w:rPr>
                <w:color w:val="auto"/>
                <w:spacing w:val="-4"/>
                <w:sz w:val="21"/>
                <w:szCs w:val="21"/>
                <w:highlight w:val="none"/>
              </w:rPr>
            </w:pPr>
          </w:p>
        </w:tc>
        <w:tc>
          <w:tcPr>
            <w:tcW w:w="1020" w:type="dxa"/>
            <w:vAlign w:val="center"/>
          </w:tcPr>
          <w:p w14:paraId="1454802F">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售后服务</w:t>
            </w:r>
          </w:p>
          <w:p w14:paraId="5226AF6F">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方案</w:t>
            </w:r>
          </w:p>
        </w:tc>
        <w:tc>
          <w:tcPr>
            <w:tcW w:w="773" w:type="dxa"/>
            <w:vAlign w:val="center"/>
          </w:tcPr>
          <w:p w14:paraId="5BC041B9">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869" w:type="dxa"/>
            <w:vAlign w:val="center"/>
          </w:tcPr>
          <w:p w14:paraId="76622BB8">
            <w:pPr>
              <w:pStyle w:val="16"/>
              <w:spacing w:before="106" w:line="224" w:lineRule="auto"/>
              <w:ind w:left="114"/>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投标人根据项目需求编写售后服务承诺和管理措施，制定完善的售后服务承诺、售后服务计划、售后服务能力、应急服务响应方案、充分考虑便于后期维护和保养。</w:t>
            </w:r>
          </w:p>
          <w:p w14:paraId="2B985C09">
            <w:pPr>
              <w:pStyle w:val="16"/>
              <w:spacing w:before="106" w:line="224" w:lineRule="auto"/>
              <w:ind w:left="114" w:leftChars="0"/>
              <w:jc w:val="both"/>
              <w:rPr>
                <w:rFonts w:hint="eastAsia"/>
                <w:b/>
                <w:bCs/>
                <w:color w:val="auto"/>
                <w:spacing w:val="-2"/>
                <w:sz w:val="21"/>
                <w:szCs w:val="21"/>
                <w:highlight w:val="none"/>
                <w:vertAlign w:val="baseline"/>
                <w:lang w:val="en-US" w:eastAsia="zh-CN"/>
              </w:rPr>
            </w:pPr>
            <w:r>
              <w:rPr>
                <w:rFonts w:hint="eastAsia" w:ascii="微软雅黑" w:hAnsi="微软雅黑" w:eastAsia="微软雅黑" w:cs="微软雅黑"/>
                <w:b/>
                <w:bCs/>
                <w:snapToGrid w:val="0"/>
                <w:color w:val="auto"/>
                <w:spacing w:val="-2"/>
                <w:kern w:val="0"/>
                <w:sz w:val="21"/>
                <w:szCs w:val="21"/>
                <w:highlight w:val="none"/>
                <w:vertAlign w:val="baseline"/>
                <w:lang w:val="en-US" w:eastAsia="zh-CN" w:bidi="ar-SA"/>
              </w:rPr>
              <w:t>以上内容每缺一项扣 1 分；每有一项内容描述不详细、不清晰扣 0.5分；满分5分，扣完为止；未提供或明显套用其他项目内容的不得分。</w:t>
            </w:r>
          </w:p>
        </w:tc>
      </w:tr>
      <w:tr w14:paraId="1A99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9879" w:type="dxa"/>
            <w:gridSpan w:val="4"/>
            <w:vAlign w:val="top"/>
          </w:tcPr>
          <w:p w14:paraId="4CFCF8A1">
            <w:pPr>
              <w:spacing w:before="111" w:line="224" w:lineRule="auto"/>
              <w:ind w:left="119" w:right="103" w:firstLine="3"/>
              <w:rPr>
                <w:rFonts w:ascii="微软雅黑" w:hAnsi="微软雅黑" w:eastAsia="微软雅黑" w:cs="微软雅黑"/>
                <w:color w:val="auto"/>
                <w:sz w:val="21"/>
                <w:szCs w:val="21"/>
                <w:highlight w:val="none"/>
              </w:rPr>
            </w:pPr>
            <w:r>
              <w:rPr>
                <w:rFonts w:ascii="微软雅黑" w:hAnsi="微软雅黑" w:eastAsia="微软雅黑" w:cs="微软雅黑"/>
                <w:b/>
                <w:bCs/>
                <w:color w:val="auto"/>
                <w:sz w:val="21"/>
                <w:szCs w:val="21"/>
                <w:highlight w:val="none"/>
              </w:rPr>
              <w:t>注：本项所称“瑕疵或缺陷”是指方案非专门针对本项目或不</w:t>
            </w:r>
            <w:r>
              <w:rPr>
                <w:rFonts w:ascii="微软雅黑" w:hAnsi="微软雅黑" w:eastAsia="微软雅黑" w:cs="微软雅黑"/>
                <w:b/>
                <w:bCs/>
                <w:color w:val="auto"/>
                <w:spacing w:val="-1"/>
                <w:sz w:val="21"/>
                <w:szCs w:val="21"/>
                <w:highlight w:val="none"/>
              </w:rPr>
              <w:t>适用本项目特性、实际情况不符或不适用；</w:t>
            </w:r>
            <w:r>
              <w:rPr>
                <w:rFonts w:ascii="微软雅黑" w:hAnsi="微软雅黑" w:eastAsia="微软雅黑" w:cs="微软雅黑"/>
                <w:b/>
                <w:bCs/>
                <w:color w:val="auto"/>
                <w:sz w:val="21"/>
                <w:szCs w:val="21"/>
                <w:highlight w:val="none"/>
              </w:rPr>
              <w:t xml:space="preserve"> 存在与项目无关的文字内容、内容原理错误、对采购需求理解缺位混乱</w:t>
            </w:r>
            <w:r>
              <w:rPr>
                <w:rFonts w:ascii="微软雅黑" w:hAnsi="微软雅黑" w:eastAsia="微软雅黑" w:cs="微软雅黑"/>
                <w:b/>
                <w:bCs/>
                <w:color w:val="auto"/>
                <w:spacing w:val="-1"/>
                <w:sz w:val="21"/>
                <w:szCs w:val="21"/>
                <w:highlight w:val="none"/>
              </w:rPr>
              <w:t>、套用其他项目内容；对同一问题</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前后表述矛盾；存在逻辑漏洞、科学原理或常识错误；</w:t>
            </w:r>
            <w:r>
              <w:rPr>
                <w:rFonts w:ascii="微软雅黑" w:hAnsi="微软雅黑" w:eastAsia="微软雅黑" w:cs="微软雅黑"/>
                <w:b/>
                <w:bCs/>
                <w:color w:val="auto"/>
                <w:spacing w:val="-28"/>
                <w:sz w:val="21"/>
                <w:szCs w:val="21"/>
                <w:highlight w:val="none"/>
              </w:rPr>
              <w:t xml:space="preserve"> </w:t>
            </w:r>
            <w:r>
              <w:rPr>
                <w:rFonts w:ascii="微软雅黑" w:hAnsi="微软雅黑" w:eastAsia="微软雅黑" w:cs="微软雅黑"/>
                <w:b/>
                <w:bCs/>
                <w:color w:val="auto"/>
                <w:spacing w:val="-1"/>
                <w:sz w:val="21"/>
                <w:szCs w:val="21"/>
                <w:highlight w:val="none"/>
              </w:rPr>
              <w:t>引用的规定、规范错误；内容描述不符合</w:t>
            </w:r>
            <w:r>
              <w:rPr>
                <w:rFonts w:ascii="微软雅黑" w:hAnsi="微软雅黑" w:eastAsia="微软雅黑" w:cs="微软雅黑"/>
                <w:b/>
                <w:bCs/>
                <w:color w:val="auto"/>
                <w:spacing w:val="-2"/>
                <w:sz w:val="21"/>
                <w:szCs w:val="21"/>
                <w:highlight w:val="none"/>
              </w:rPr>
              <w:t>国家相关</w:t>
            </w:r>
            <w:r>
              <w:rPr>
                <w:rFonts w:ascii="微软雅黑" w:hAnsi="微软雅黑" w:eastAsia="微软雅黑" w:cs="微软雅黑"/>
                <w:b/>
                <w:bCs/>
                <w:color w:val="auto"/>
                <w:sz w:val="21"/>
                <w:szCs w:val="21"/>
                <w:highlight w:val="none"/>
              </w:rPr>
              <w:t xml:space="preserve"> 法律法规、政策文件、规范标准要求；不利于本项目目标的实现、现有</w:t>
            </w:r>
            <w:r>
              <w:rPr>
                <w:rFonts w:ascii="微软雅黑" w:hAnsi="微软雅黑" w:eastAsia="微软雅黑" w:cs="微软雅黑"/>
                <w:b/>
                <w:bCs/>
                <w:color w:val="auto"/>
                <w:spacing w:val="-1"/>
                <w:sz w:val="21"/>
                <w:szCs w:val="21"/>
                <w:highlight w:val="none"/>
              </w:rPr>
              <w:t>技术条件下不可能出现的情形等任</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7"/>
                <w:sz w:val="21"/>
                <w:szCs w:val="21"/>
                <w:highlight w:val="none"/>
              </w:rPr>
              <w:t>意一种情形。</w:t>
            </w:r>
          </w:p>
        </w:tc>
      </w:tr>
    </w:tbl>
    <w:p w14:paraId="22ED9F23">
      <w:pPr>
        <w:spacing w:line="314" w:lineRule="auto"/>
        <w:rPr>
          <w:rFonts w:ascii="Arial"/>
          <w:color w:val="auto"/>
          <w:sz w:val="21"/>
          <w:highlight w:val="none"/>
        </w:rPr>
      </w:pPr>
    </w:p>
    <w:p w14:paraId="4EA4AAB9">
      <w:pPr>
        <w:keepNext w:val="0"/>
        <w:keepLines w:val="0"/>
        <w:pageBreakBefore w:val="0"/>
        <w:widowControl/>
        <w:kinsoku w:val="0"/>
        <w:wordWrap/>
        <w:overflowPunct/>
        <w:topLinePunct w:val="0"/>
        <w:autoSpaceDE w:val="0"/>
        <w:autoSpaceDN w:val="0"/>
        <w:bidi w:val="0"/>
        <w:adjustRightInd w:val="0"/>
        <w:snapToGrid w:val="0"/>
        <w:spacing w:before="78" w:line="330" w:lineRule="exact"/>
        <w:ind w:left="5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注：评标总得分=F1+F2+…+Fn</w:t>
      </w:r>
    </w:p>
    <w:p w14:paraId="1911004D">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54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F1、F2...分别为各项评审因素得分：</w:t>
      </w:r>
    </w:p>
    <w:p w14:paraId="13976087">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5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评标过程中，不得去掉报价中的最高报价和最低报价。</w:t>
      </w:r>
    </w:p>
    <w:p w14:paraId="36CC9D34">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58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因落实政府政策进行价格调整，以调整后的价格计算评标基准价和投</w:t>
      </w:r>
      <w:r>
        <w:rPr>
          <w:rFonts w:ascii="新宋体" w:hAnsi="新宋体" w:eastAsia="新宋体" w:cs="新宋体"/>
          <w:color w:val="auto"/>
          <w:spacing w:val="-3"/>
          <w:sz w:val="24"/>
          <w:szCs w:val="24"/>
          <w:highlight w:val="none"/>
        </w:rPr>
        <w:t>标报价。</w:t>
      </w:r>
    </w:p>
    <w:p w14:paraId="02B5EB1C">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104" w:right="75" w:firstLine="45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推荐原则：评标委员会评审后，按照综合得分由高到低顺序推荐三位中标候选人。投标人</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的综合得分若相同，以投标报价低者顺序在先。</w:t>
      </w:r>
    </w:p>
    <w:p w14:paraId="4F512AC2">
      <w:pPr>
        <w:keepNext w:val="0"/>
        <w:keepLines w:val="0"/>
        <w:pageBreakBefore w:val="0"/>
        <w:widowControl/>
        <w:kinsoku w:val="0"/>
        <w:wordWrap/>
        <w:overflowPunct/>
        <w:topLinePunct w:val="0"/>
        <w:autoSpaceDE w:val="0"/>
        <w:autoSpaceDN w:val="0"/>
        <w:bidi w:val="0"/>
        <w:adjustRightInd w:val="0"/>
        <w:snapToGrid w:val="0"/>
        <w:spacing w:before="38" w:line="330" w:lineRule="exact"/>
        <w:ind w:left="5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注：1、经济标：得分分值由评标委员会汇总，汇总结果由评标委员会复核确认。</w:t>
      </w:r>
    </w:p>
    <w:p w14:paraId="3FC3278A">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94" w:right="9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2、评标委员会按技术、商务和综合三项得分之和从高到低按顺序推荐三名中标候选投标</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3"/>
          <w:sz w:val="24"/>
          <w:szCs w:val="24"/>
          <w:highlight w:val="none"/>
        </w:rPr>
        <w:t>人。</w:t>
      </w:r>
    </w:p>
    <w:p w14:paraId="44891401">
      <w:pPr>
        <w:keepNext w:val="0"/>
        <w:keepLines w:val="0"/>
        <w:pageBreakBefore w:val="0"/>
        <w:widowControl/>
        <w:kinsoku w:val="0"/>
        <w:wordWrap/>
        <w:overflowPunct/>
        <w:topLinePunct w:val="0"/>
        <w:autoSpaceDE w:val="0"/>
        <w:autoSpaceDN w:val="0"/>
        <w:bidi w:val="0"/>
        <w:adjustRightInd w:val="0"/>
        <w:snapToGrid w:val="0"/>
        <w:spacing w:before="33" w:line="330" w:lineRule="exact"/>
        <w:ind w:left="5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3、投标人所供设备的技术规格、参数、质量等最大</w:t>
      </w:r>
      <w:r>
        <w:rPr>
          <w:rFonts w:ascii="新宋体" w:hAnsi="新宋体" w:eastAsia="新宋体" w:cs="新宋体"/>
          <w:color w:val="auto"/>
          <w:spacing w:val="-2"/>
          <w:sz w:val="24"/>
          <w:szCs w:val="24"/>
          <w:highlight w:val="none"/>
        </w:rPr>
        <w:t>限度的满足招标人要求。</w:t>
      </w:r>
    </w:p>
    <w:p w14:paraId="731C83CF">
      <w:pPr>
        <w:keepNext w:val="0"/>
        <w:keepLines w:val="0"/>
        <w:pageBreakBefore w:val="0"/>
        <w:widowControl/>
        <w:kinsoku w:val="0"/>
        <w:wordWrap/>
        <w:overflowPunct/>
        <w:topLinePunct w:val="0"/>
        <w:autoSpaceDE w:val="0"/>
        <w:autoSpaceDN w:val="0"/>
        <w:bidi w:val="0"/>
        <w:adjustRightInd w:val="0"/>
        <w:snapToGrid w:val="0"/>
        <w:spacing w:before="177" w:line="330" w:lineRule="exact"/>
        <w:ind w:left="550"/>
        <w:textAlignment w:val="baseline"/>
        <w:rPr>
          <w:rFonts w:ascii="Arial"/>
          <w:color w:val="auto"/>
          <w:sz w:val="21"/>
          <w:highlight w:val="none"/>
        </w:rPr>
      </w:pPr>
      <w:r>
        <w:rPr>
          <w:rFonts w:ascii="新宋体" w:hAnsi="新宋体" w:eastAsia="新宋体" w:cs="新宋体"/>
          <w:color w:val="auto"/>
          <w:spacing w:val="-2"/>
          <w:sz w:val="24"/>
          <w:szCs w:val="24"/>
          <w:highlight w:val="none"/>
        </w:rPr>
        <w:t>4、投标人最终得分=技术标得分+经济标得分+商务标得分。</w:t>
      </w:r>
    </w:p>
    <w:p w14:paraId="3B88F8B7">
      <w:pPr>
        <w:keepNext w:val="0"/>
        <w:keepLines w:val="0"/>
        <w:pageBreakBefore w:val="0"/>
        <w:widowControl/>
        <w:kinsoku w:val="0"/>
        <w:wordWrap/>
        <w:overflowPunct/>
        <w:topLinePunct w:val="0"/>
        <w:autoSpaceDE w:val="0"/>
        <w:autoSpaceDN w:val="0"/>
        <w:bidi w:val="0"/>
        <w:adjustRightInd w:val="0"/>
        <w:snapToGrid w:val="0"/>
        <w:spacing w:before="78" w:line="330" w:lineRule="exact"/>
        <w:ind w:left="47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5、投标产品技术规格、参数、数量必须最大限度的满足招标文件的要求；</w:t>
      </w:r>
    </w:p>
    <w:p w14:paraId="55C31075">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6、因落实政府采购政策进行价格调整的，以调整后的价格计算评标基准价和投</w:t>
      </w:r>
      <w:r>
        <w:rPr>
          <w:rFonts w:ascii="新宋体" w:hAnsi="新宋体" w:eastAsia="新宋体" w:cs="新宋体"/>
          <w:color w:val="auto"/>
          <w:spacing w:val="-2"/>
          <w:sz w:val="24"/>
          <w:szCs w:val="24"/>
          <w:highlight w:val="none"/>
        </w:rPr>
        <w:t>标报价。</w:t>
      </w:r>
    </w:p>
    <w:p w14:paraId="61163BE9">
      <w:pPr>
        <w:keepNext w:val="0"/>
        <w:keepLines w:val="0"/>
        <w:pageBreakBefore w:val="0"/>
        <w:widowControl/>
        <w:kinsoku w:val="0"/>
        <w:wordWrap/>
        <w:overflowPunct/>
        <w:topLinePunct w:val="0"/>
        <w:autoSpaceDE w:val="0"/>
        <w:autoSpaceDN w:val="0"/>
        <w:bidi w:val="0"/>
        <w:adjustRightInd w:val="0"/>
        <w:snapToGrid w:val="0"/>
        <w:spacing w:before="177" w:line="330" w:lineRule="exact"/>
        <w:ind w:left="8" w:right="7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7、在评审过程中，评审小组发现投标供应商的报价明显低于其他投标报价，使得其投标</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报价可能低于其个别成本的，应当要求该投标供应商做出书面说明并提供相关证明材料。投标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供应商不能合理说明或者不能提供相关证明材料的，评审小组认定该投标供应商以低于成本报</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4"/>
          <w:sz w:val="24"/>
          <w:szCs w:val="24"/>
          <w:highlight w:val="none"/>
        </w:rPr>
        <w:t>价竞标，其投标将被否决。</w:t>
      </w:r>
    </w:p>
    <w:p w14:paraId="16B8EF4A">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46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8、投标最低报价，不作为是否成交的保证。</w:t>
      </w:r>
    </w:p>
    <w:p w14:paraId="3D197DA9">
      <w:pPr>
        <w:keepNext w:val="0"/>
        <w:keepLines w:val="0"/>
        <w:pageBreakBefore w:val="0"/>
        <w:widowControl/>
        <w:kinsoku w:val="0"/>
        <w:wordWrap/>
        <w:overflowPunct/>
        <w:topLinePunct w:val="0"/>
        <w:autoSpaceDE w:val="0"/>
        <w:autoSpaceDN w:val="0"/>
        <w:bidi w:val="0"/>
        <w:adjustRightInd w:val="0"/>
        <w:snapToGrid w:val="0"/>
        <w:spacing w:before="179" w:line="330" w:lineRule="exact"/>
        <w:ind w:left="8" w:right="3"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9、评审过程中，在同等条件下，优先采购具有环境标</w:t>
      </w:r>
      <w:r>
        <w:rPr>
          <w:rFonts w:ascii="新宋体" w:hAnsi="新宋体" w:eastAsia="新宋体" w:cs="新宋体"/>
          <w:color w:val="auto"/>
          <w:spacing w:val="-9"/>
          <w:sz w:val="24"/>
          <w:szCs w:val="24"/>
          <w:highlight w:val="none"/>
        </w:rPr>
        <w:t>志、节能、自主创新的产品。（注：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环境标志产品是指由财政部、国家环境保护总局颁布的“环境标志产品政府采购清单”中的有</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效期内的产品；节能产品是指由财政部、国家发展改革委颁布的“节能产品政府采购清单”中</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的有效期内的产品。）</w:t>
      </w:r>
    </w:p>
    <w:p w14:paraId="11265058">
      <w:pPr>
        <w:keepNext w:val="0"/>
        <w:keepLines w:val="0"/>
        <w:pageBreakBefore w:val="0"/>
        <w:widowControl/>
        <w:kinsoku w:val="0"/>
        <w:wordWrap/>
        <w:overflowPunct/>
        <w:topLinePunct w:val="0"/>
        <w:autoSpaceDE w:val="0"/>
        <w:autoSpaceDN w:val="0"/>
        <w:bidi w:val="0"/>
        <w:adjustRightInd w:val="0"/>
        <w:snapToGrid w:val="0"/>
        <w:spacing w:before="176" w:line="330" w:lineRule="exact"/>
        <w:ind w:right="18"/>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10、根据中华人民共和国财政部《政府采</w:t>
      </w:r>
      <w:r>
        <w:rPr>
          <w:rFonts w:ascii="新宋体" w:hAnsi="新宋体" w:eastAsia="新宋体" w:cs="新宋体"/>
          <w:color w:val="auto"/>
          <w:spacing w:val="-2"/>
          <w:sz w:val="24"/>
          <w:szCs w:val="24"/>
          <w:highlight w:val="none"/>
        </w:rPr>
        <w:t>购促进中小企业发展管理办法》（财库〔2020〕</w:t>
      </w:r>
    </w:p>
    <w:p w14:paraId="5CEA47DC">
      <w:pPr>
        <w:keepNext w:val="0"/>
        <w:keepLines w:val="0"/>
        <w:pageBreakBefore w:val="0"/>
        <w:widowControl/>
        <w:kinsoku w:val="0"/>
        <w:wordWrap/>
        <w:overflowPunct/>
        <w:topLinePunct w:val="0"/>
        <w:autoSpaceDE w:val="0"/>
        <w:autoSpaceDN w:val="0"/>
        <w:bidi w:val="0"/>
        <w:adjustRightInd w:val="0"/>
        <w:snapToGrid w:val="0"/>
        <w:spacing w:before="177" w:line="330" w:lineRule="exac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46</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号）文件的规定，属于中小企业评审优惠内容及幅度如下：</w:t>
      </w:r>
    </w:p>
    <w:p w14:paraId="3667D92B">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9" w:right="88"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（1）在政府采购活动中，供应商提供的货物、工程或者服务符合下列情形的</w:t>
      </w:r>
      <w:r>
        <w:rPr>
          <w:rFonts w:ascii="新宋体" w:hAnsi="新宋体" w:eastAsia="新宋体" w:cs="新宋体"/>
          <w:color w:val="auto"/>
          <w:spacing w:val="-1"/>
          <w:sz w:val="24"/>
          <w:szCs w:val="24"/>
          <w:highlight w:val="none"/>
        </w:rPr>
        <w:t>，享受《政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府采购促进中小企业发展管理办法》（财库〔2020〕46</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号）规定的中小企</w:t>
      </w:r>
      <w:r>
        <w:rPr>
          <w:rFonts w:ascii="新宋体" w:hAnsi="新宋体" w:eastAsia="新宋体" w:cs="新宋体"/>
          <w:color w:val="auto"/>
          <w:spacing w:val="-3"/>
          <w:sz w:val="24"/>
          <w:szCs w:val="24"/>
          <w:highlight w:val="none"/>
        </w:rPr>
        <w:t>业扶持政策：</w:t>
      </w:r>
    </w:p>
    <w:p w14:paraId="58BF87ED">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8" w:right="87"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（一）在货物采购项目中，货物由中小企业制造，即货物由中小企业生产且</w:t>
      </w:r>
      <w:r>
        <w:rPr>
          <w:rFonts w:ascii="新宋体" w:hAnsi="新宋体" w:eastAsia="新宋体" w:cs="新宋体"/>
          <w:color w:val="auto"/>
          <w:spacing w:val="-4"/>
          <w:sz w:val="24"/>
          <w:szCs w:val="24"/>
          <w:highlight w:val="none"/>
        </w:rPr>
        <w:t>使用该中小企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业商号或者注册商标；</w:t>
      </w:r>
    </w:p>
    <w:p w14:paraId="6442F7F8">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47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（二）在工程采购项目中，工程由中小企业承建，即工程施工单位为中小企业；</w:t>
      </w:r>
    </w:p>
    <w:p w14:paraId="52CC6C49">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15" w:right="108"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（三）在服务采购项目中，服务由中小企业承接，即提供服务的人员为中小企业依照《中</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3"/>
          <w:sz w:val="24"/>
          <w:szCs w:val="24"/>
          <w:highlight w:val="none"/>
        </w:rPr>
        <w:t>华人民共和国劳动合同法》订立劳动合同的从业人员。</w:t>
      </w:r>
    </w:p>
    <w:p w14:paraId="35D88785">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14"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在货物采购项目中，供应商提供的货物既有中小企业制造货物，也有大型企业制造货物的，</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不享受本办法规定的中小企业扶持政策。</w:t>
      </w:r>
    </w:p>
    <w:p w14:paraId="1A97D3D0">
      <w:pPr>
        <w:keepNext w:val="0"/>
        <w:keepLines w:val="0"/>
        <w:pageBreakBefore w:val="0"/>
        <w:widowControl/>
        <w:kinsoku w:val="0"/>
        <w:wordWrap/>
        <w:overflowPunct/>
        <w:topLinePunct w:val="0"/>
        <w:autoSpaceDE w:val="0"/>
        <w:autoSpaceDN w:val="0"/>
        <w:bidi w:val="0"/>
        <w:adjustRightInd w:val="0"/>
        <w:snapToGrid w:val="0"/>
        <w:spacing w:before="37" w:line="330" w:lineRule="exact"/>
        <w:ind w:right="18"/>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中小企业划分标准按《关于印发中小企业划型标准规定的通知》（工信部联企业〔20</w:t>
      </w:r>
      <w:r>
        <w:rPr>
          <w:rFonts w:ascii="新宋体" w:hAnsi="新宋体" w:eastAsia="新宋体" w:cs="新宋体"/>
          <w:color w:val="auto"/>
          <w:spacing w:val="-3"/>
          <w:sz w:val="24"/>
          <w:szCs w:val="24"/>
          <w:highlight w:val="none"/>
        </w:rPr>
        <w:t>11〕</w:t>
      </w:r>
    </w:p>
    <w:p w14:paraId="07907E06">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300</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5"/>
          <w:sz w:val="24"/>
          <w:szCs w:val="24"/>
          <w:highlight w:val="none"/>
        </w:rPr>
        <w:t>号）执行</w:t>
      </w:r>
    </w:p>
    <w:p w14:paraId="620EF771">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47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（2）价格扣除办法：</w:t>
      </w:r>
    </w:p>
    <w:p w14:paraId="7D2B3EB9">
      <w:pPr>
        <w:keepNext w:val="0"/>
        <w:keepLines w:val="0"/>
        <w:pageBreakBefore w:val="0"/>
        <w:widowControl/>
        <w:kinsoku w:val="0"/>
        <w:wordWrap/>
        <w:overflowPunct/>
        <w:topLinePunct w:val="0"/>
        <w:autoSpaceDE w:val="0"/>
        <w:autoSpaceDN w:val="0"/>
        <w:bidi w:val="0"/>
        <w:adjustRightInd w:val="0"/>
        <w:snapToGrid w:val="0"/>
        <w:spacing w:before="179" w:line="330" w:lineRule="exact"/>
        <w:ind w:left="10" w:right="70" w:firstLine="46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对于非专门面向中小企业的项目，对小型和微型企业产品的价格给予</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2"/>
          <w:sz w:val="24"/>
          <w:szCs w:val="24"/>
          <w:highlight w:val="none"/>
        </w:rPr>
        <w:t>10%的扣除，用扣除</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后的价格参与价格分的评审。</w:t>
      </w:r>
    </w:p>
    <w:p w14:paraId="1557C11A">
      <w:pPr>
        <w:keepNext w:val="0"/>
        <w:keepLines w:val="0"/>
        <w:pageBreakBefore w:val="0"/>
        <w:widowControl/>
        <w:kinsoku w:val="0"/>
        <w:wordWrap/>
        <w:overflowPunct/>
        <w:topLinePunct w:val="0"/>
        <w:autoSpaceDE w:val="0"/>
        <w:autoSpaceDN w:val="0"/>
        <w:bidi w:val="0"/>
        <w:adjustRightInd w:val="0"/>
        <w:snapToGrid w:val="0"/>
        <w:spacing w:before="39" w:line="330" w:lineRule="exact"/>
        <w:ind w:left="7" w:right="86"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（3）小型和微型企业适用价格扣除办法时应提供《中小企业声明函》，</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否则将不给予价</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格扣除。</w:t>
      </w:r>
    </w:p>
    <w:p w14:paraId="76081D57">
      <w:pPr>
        <w:keepNext w:val="0"/>
        <w:keepLines w:val="0"/>
        <w:pageBreakBefore w:val="0"/>
        <w:widowControl/>
        <w:kinsoku w:val="0"/>
        <w:wordWrap/>
        <w:overflowPunct/>
        <w:topLinePunct w:val="0"/>
        <w:autoSpaceDE w:val="0"/>
        <w:autoSpaceDN w:val="0"/>
        <w:bidi w:val="0"/>
        <w:adjustRightInd w:val="0"/>
        <w:snapToGrid w:val="0"/>
        <w:spacing w:line="330" w:lineRule="exact"/>
        <w:textAlignment w:val="baseline"/>
        <w:rPr>
          <w:rFonts w:ascii="新宋体" w:hAnsi="新宋体" w:eastAsia="新宋体" w:cs="新宋体"/>
          <w:color w:val="auto"/>
          <w:sz w:val="24"/>
          <w:szCs w:val="24"/>
          <w:highlight w:val="none"/>
        </w:rPr>
        <w:sectPr>
          <w:footerReference r:id="rId12" w:type="default"/>
          <w:pgSz w:w="11905" w:h="16839"/>
          <w:pgMar w:top="400" w:right="1012" w:bottom="1250" w:left="1090" w:header="0" w:footer="1090" w:gutter="0"/>
          <w:pgNumType w:fmt="numberInDash"/>
          <w:cols w:space="720" w:num="1"/>
        </w:sectPr>
      </w:pPr>
    </w:p>
    <w:p w14:paraId="54A6EC9B">
      <w:pPr>
        <w:spacing w:before="78" w:line="291" w:lineRule="auto"/>
        <w:ind w:right="111" w:firstLine="480" w:firstLineChars="200"/>
        <w:rPr>
          <w:rFonts w:ascii="新宋体" w:hAnsi="新宋体" w:eastAsia="新宋体" w:cs="新宋体"/>
          <w:color w:val="auto"/>
          <w:sz w:val="24"/>
          <w:szCs w:val="24"/>
          <w:highlight w:val="none"/>
        </w:rPr>
      </w:pPr>
      <w:bookmarkStart w:id="12" w:name="bookmark11"/>
      <w:bookmarkEnd w:id="12"/>
      <w:r>
        <w:rPr>
          <w:rFonts w:ascii="新宋体" w:hAnsi="新宋体" w:eastAsia="新宋体" w:cs="新宋体"/>
          <w:color w:val="auto"/>
          <w:sz w:val="24"/>
          <w:szCs w:val="24"/>
          <w:highlight w:val="none"/>
        </w:rPr>
        <w:t>（4）供应商需在响应文件报价部分中“报</w:t>
      </w:r>
      <w:r>
        <w:rPr>
          <w:rFonts w:ascii="新宋体" w:hAnsi="新宋体" w:eastAsia="新宋体" w:cs="新宋体"/>
          <w:color w:val="auto"/>
          <w:spacing w:val="-1"/>
          <w:sz w:val="24"/>
          <w:szCs w:val="24"/>
          <w:highlight w:val="none"/>
        </w:rPr>
        <w:t>价明细表</w:t>
      </w:r>
      <w:r>
        <w:rPr>
          <w:rFonts w:ascii="新宋体" w:hAnsi="新宋体" w:eastAsia="新宋体" w:cs="新宋体"/>
          <w:color w:val="auto"/>
          <w:spacing w:val="-87"/>
          <w:sz w:val="24"/>
          <w:szCs w:val="24"/>
          <w:highlight w:val="none"/>
        </w:rPr>
        <w:t xml:space="preserve"> </w:t>
      </w:r>
      <w:r>
        <w:rPr>
          <w:rFonts w:ascii="新宋体" w:hAnsi="新宋体" w:eastAsia="新宋体" w:cs="新宋体"/>
          <w:color w:val="auto"/>
          <w:spacing w:val="-1"/>
          <w:sz w:val="24"/>
          <w:szCs w:val="24"/>
          <w:highlight w:val="none"/>
        </w:rPr>
        <w:t>”中逐项注明所投产品的生产厂家具</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体名称并备注是否属于小型、微型企业。</w:t>
      </w:r>
    </w:p>
    <w:p w14:paraId="3A1F6419">
      <w:pPr>
        <w:spacing w:before="176" w:line="223" w:lineRule="auto"/>
        <w:ind w:left="468"/>
        <w:rPr>
          <w:rFonts w:ascii="新宋体" w:hAnsi="新宋体" w:eastAsia="新宋体" w:cs="新宋体"/>
          <w:b/>
          <w:bCs/>
          <w:color w:val="auto"/>
          <w:sz w:val="24"/>
          <w:szCs w:val="24"/>
          <w:highlight w:val="none"/>
        </w:rPr>
      </w:pPr>
      <w:r>
        <w:rPr>
          <w:rFonts w:ascii="新宋体" w:hAnsi="新宋体" w:eastAsia="新宋体" w:cs="新宋体"/>
          <w:b/>
          <w:bCs/>
          <w:color w:val="auto"/>
          <w:spacing w:val="-1"/>
          <w:sz w:val="24"/>
          <w:szCs w:val="24"/>
          <w:highlight w:val="none"/>
        </w:rPr>
        <w:t>（5）若所投标产品为进口产品的，不适用《政府采购促进中小</w:t>
      </w:r>
      <w:r>
        <w:rPr>
          <w:rFonts w:ascii="新宋体" w:hAnsi="新宋体" w:eastAsia="新宋体" w:cs="新宋体"/>
          <w:b/>
          <w:bCs/>
          <w:color w:val="auto"/>
          <w:spacing w:val="-2"/>
          <w:sz w:val="24"/>
          <w:szCs w:val="24"/>
          <w:highlight w:val="none"/>
        </w:rPr>
        <w:t>企业发展管理办法》。</w:t>
      </w:r>
    </w:p>
    <w:p w14:paraId="247A6BAF">
      <w:pPr>
        <w:spacing w:before="174" w:line="340" w:lineRule="auto"/>
        <w:ind w:firstLine="478"/>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11、根据《财政部、民政部、中国残疾人联合会关于促进残疾人就业政府采购政策的通知》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（财库〔2017〕141</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5"/>
          <w:sz w:val="24"/>
          <w:szCs w:val="24"/>
          <w:highlight w:val="none"/>
        </w:rPr>
        <w:t>号）和《财政部、司法部关于政府采购支持监狱企业发展有关问题的通知》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（财库〔2014〕68</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号）的规定，属残疾人福利性单位和监狱企业的，投标人须</w:t>
      </w:r>
      <w:r>
        <w:rPr>
          <w:rFonts w:ascii="新宋体" w:hAnsi="新宋体" w:eastAsia="新宋体" w:cs="新宋体"/>
          <w:color w:val="auto"/>
          <w:sz w:val="24"/>
          <w:szCs w:val="24"/>
          <w:highlight w:val="none"/>
        </w:rPr>
        <w:t xml:space="preserve">提供《残疾人  </w:t>
      </w:r>
      <w:r>
        <w:rPr>
          <w:rFonts w:ascii="新宋体" w:hAnsi="新宋体" w:eastAsia="新宋体" w:cs="新宋体"/>
          <w:color w:val="auto"/>
          <w:spacing w:val="-3"/>
          <w:sz w:val="24"/>
          <w:szCs w:val="24"/>
          <w:highlight w:val="none"/>
        </w:rPr>
        <w:t>福利性单位声明函》和《监狱企业声明函》，并</w:t>
      </w:r>
      <w:r>
        <w:rPr>
          <w:rFonts w:ascii="新宋体" w:hAnsi="新宋体" w:eastAsia="新宋体" w:cs="新宋体"/>
          <w:color w:val="auto"/>
          <w:spacing w:val="-4"/>
          <w:sz w:val="24"/>
          <w:szCs w:val="24"/>
          <w:highlight w:val="none"/>
        </w:rPr>
        <w:t>由投标人加盖公章，残疾人福利性单位视同小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型、微型企业， 享受预留份额、评标中价格扣除等促进中小企业发展的政府采购政策。向残疾</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
          <w:sz w:val="24"/>
          <w:szCs w:val="24"/>
          <w:highlight w:val="none"/>
        </w:rPr>
        <w:t>人福利性单位采购的金额，计入面向中小企业采购的统计数据。投</w:t>
      </w:r>
      <w:r>
        <w:rPr>
          <w:rFonts w:ascii="新宋体" w:hAnsi="新宋体" w:eastAsia="新宋体" w:cs="新宋体"/>
          <w:color w:val="auto"/>
          <w:spacing w:val="-4"/>
          <w:sz w:val="24"/>
          <w:szCs w:val="24"/>
          <w:highlight w:val="none"/>
        </w:rPr>
        <w:t>标人提供的《残疾人福利性</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单位声明函》和《监狱企业声明函》资料必须真实，否则，</w:t>
      </w:r>
      <w:r>
        <w:rPr>
          <w:rFonts w:ascii="新宋体" w:hAnsi="新宋体" w:eastAsia="新宋体" w:cs="新宋体"/>
          <w:color w:val="auto"/>
          <w:spacing w:val="-2"/>
          <w:sz w:val="24"/>
          <w:szCs w:val="24"/>
          <w:highlight w:val="none"/>
        </w:rPr>
        <w:t>按照有关规定予以处理。</w:t>
      </w:r>
    </w:p>
    <w:p w14:paraId="14600F11">
      <w:pPr>
        <w:pStyle w:val="8"/>
        <w:spacing w:before="175" w:line="189" w:lineRule="auto"/>
        <w:ind w:left="3"/>
        <w:rPr>
          <w:color w:val="auto"/>
          <w:sz w:val="24"/>
          <w:szCs w:val="24"/>
          <w:highlight w:val="none"/>
        </w:rPr>
      </w:pPr>
      <w:r>
        <w:rPr>
          <w:b/>
          <w:bCs/>
          <w:color w:val="auto"/>
          <w:spacing w:val="-5"/>
          <w:sz w:val="24"/>
          <w:szCs w:val="24"/>
          <w:highlight w:val="none"/>
        </w:rPr>
        <w:t>五  、推荐中标候选人</w:t>
      </w:r>
    </w:p>
    <w:p w14:paraId="71EF0170">
      <w:pPr>
        <w:spacing w:before="142" w:line="293" w:lineRule="auto"/>
        <w:ind w:left="3" w:right="110" w:firstLine="46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评标委员会按经济、技术和商务三项</w:t>
      </w:r>
      <w:r>
        <w:rPr>
          <w:rFonts w:ascii="新宋体" w:hAnsi="新宋体" w:eastAsia="新宋体" w:cs="新宋体"/>
          <w:color w:val="auto"/>
          <w:spacing w:val="-2"/>
          <w:sz w:val="24"/>
          <w:szCs w:val="24"/>
          <w:highlight w:val="none"/>
        </w:rPr>
        <w:t>得分之和从高到低按顺序推荐三名中标候选投标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3"/>
          <w:sz w:val="24"/>
          <w:szCs w:val="24"/>
          <w:highlight w:val="none"/>
        </w:rPr>
        <w:t>人。</w:t>
      </w:r>
    </w:p>
    <w:p w14:paraId="6F1A6977">
      <w:pPr>
        <w:spacing w:before="174" w:line="291" w:lineRule="auto"/>
        <w:ind w:left="7" w:right="110" w:firstLine="457"/>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得分相同的，按投标报价由低到高顺</w:t>
      </w:r>
      <w:r>
        <w:rPr>
          <w:rFonts w:ascii="新宋体" w:hAnsi="新宋体" w:eastAsia="新宋体" w:cs="新宋体"/>
          <w:color w:val="auto"/>
          <w:spacing w:val="-2"/>
          <w:sz w:val="24"/>
          <w:szCs w:val="24"/>
          <w:highlight w:val="none"/>
        </w:rPr>
        <w:t>序排列；得分且投标报价相同的，按技术指标优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劣顺序排列。技术标也相同时由招标人抽签确定中标候选人名次。</w:t>
      </w:r>
    </w:p>
    <w:p w14:paraId="6013933D">
      <w:pPr>
        <w:pStyle w:val="8"/>
        <w:spacing w:before="175" w:line="188" w:lineRule="auto"/>
        <w:ind w:left="1"/>
        <w:rPr>
          <w:color w:val="auto"/>
          <w:sz w:val="24"/>
          <w:szCs w:val="24"/>
          <w:highlight w:val="none"/>
        </w:rPr>
      </w:pPr>
      <w:r>
        <w:rPr>
          <w:b/>
          <w:bCs/>
          <w:color w:val="auto"/>
          <w:spacing w:val="-6"/>
          <w:sz w:val="24"/>
          <w:szCs w:val="24"/>
          <w:highlight w:val="none"/>
        </w:rPr>
        <w:t>六  、无效标条款</w:t>
      </w:r>
    </w:p>
    <w:p w14:paraId="1B9A4B4E">
      <w:pPr>
        <w:spacing w:before="14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投标文件有下列情形之一的其投标文件拒收：</w:t>
      </w:r>
    </w:p>
    <w:p w14:paraId="080B782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（1）投标文件逾期送达的或未送达指定地点的；</w:t>
      </w:r>
    </w:p>
    <w:p w14:paraId="0D85FEC3">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（2）招标文件未按要求密封，招标人及代理公司应报经监督部门批准后拒收；</w:t>
      </w:r>
    </w:p>
    <w:p w14:paraId="4399BF97">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（3）其它情形，经招标人和代理公司提出拒收，并经监督部门</w:t>
      </w:r>
      <w:r>
        <w:rPr>
          <w:rFonts w:ascii="新宋体" w:hAnsi="新宋体" w:eastAsia="新宋体" w:cs="新宋体"/>
          <w:color w:val="auto"/>
          <w:spacing w:val="-3"/>
          <w:sz w:val="24"/>
          <w:szCs w:val="24"/>
          <w:highlight w:val="none"/>
        </w:rPr>
        <w:t>批准的；</w:t>
      </w:r>
    </w:p>
    <w:p w14:paraId="4DB5183B">
      <w:pPr>
        <w:spacing w:before="17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投标人有下列情形之一的，投标人证件审</w:t>
      </w:r>
      <w:r>
        <w:rPr>
          <w:rFonts w:ascii="新宋体" w:hAnsi="新宋体" w:eastAsia="新宋体" w:cs="新宋体"/>
          <w:color w:val="auto"/>
          <w:spacing w:val="-3"/>
          <w:sz w:val="24"/>
          <w:szCs w:val="24"/>
          <w:highlight w:val="none"/>
        </w:rPr>
        <w:t>查后其投标作无效标处理：</w:t>
      </w:r>
    </w:p>
    <w:p w14:paraId="0201FD38">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（1）法定代表人（或授权委托人）未准时参加会议；</w:t>
      </w:r>
    </w:p>
    <w:p w14:paraId="34E1A3A4">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（2）投标人为本项目提供招标代理服务的；</w:t>
      </w:r>
    </w:p>
    <w:p w14:paraId="564BBC1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（3）投标人与在本项目代理机构存在相互任职或工作的；</w:t>
      </w:r>
    </w:p>
    <w:p w14:paraId="025CFB60">
      <w:pPr>
        <w:spacing w:before="177"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（4）投标保证金未按规定要求缴纳的；</w:t>
      </w:r>
    </w:p>
    <w:p w14:paraId="3170C1D0">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（5）投标人不满足资格条件的；</w:t>
      </w:r>
    </w:p>
    <w:p w14:paraId="63145F56">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（6）联合体投标未提交联合体协议的；</w:t>
      </w:r>
    </w:p>
    <w:p w14:paraId="16E299BA">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（7）被暂停营业的；</w:t>
      </w:r>
    </w:p>
    <w:p w14:paraId="4DCD8F7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（8）被暂停或取消投标资格的；</w:t>
      </w:r>
    </w:p>
    <w:p w14:paraId="59B9DF6F">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（9）财产被接管或冻结的；</w:t>
      </w:r>
    </w:p>
    <w:p w14:paraId="766D960D">
      <w:pPr>
        <w:spacing w:line="224" w:lineRule="auto"/>
        <w:rPr>
          <w:rFonts w:ascii="新宋体" w:hAnsi="新宋体" w:eastAsia="新宋体" w:cs="新宋体"/>
          <w:color w:val="auto"/>
          <w:sz w:val="24"/>
          <w:szCs w:val="24"/>
          <w:highlight w:val="none"/>
        </w:rPr>
        <w:sectPr>
          <w:footerReference r:id="rId13" w:type="default"/>
          <w:pgSz w:w="11905" w:h="16839"/>
          <w:pgMar w:top="400" w:right="972" w:bottom="1250" w:left="1098" w:header="0" w:footer="1090" w:gutter="0"/>
          <w:pgNumType w:fmt="numberInDash"/>
          <w:cols w:space="720" w:num="1"/>
        </w:sectPr>
      </w:pPr>
    </w:p>
    <w:p w14:paraId="26B0A78E">
      <w:pPr>
        <w:spacing w:line="248" w:lineRule="auto"/>
        <w:rPr>
          <w:rFonts w:ascii="Arial"/>
          <w:color w:val="auto"/>
          <w:sz w:val="21"/>
          <w:highlight w:val="none"/>
        </w:rPr>
      </w:pPr>
    </w:p>
    <w:p w14:paraId="58938314">
      <w:pPr>
        <w:spacing w:line="248" w:lineRule="auto"/>
        <w:rPr>
          <w:rFonts w:ascii="Arial"/>
          <w:color w:val="auto"/>
          <w:sz w:val="21"/>
          <w:highlight w:val="none"/>
        </w:rPr>
      </w:pPr>
    </w:p>
    <w:p w14:paraId="78EAAE15">
      <w:pPr>
        <w:spacing w:line="248" w:lineRule="auto"/>
        <w:rPr>
          <w:rFonts w:ascii="Arial"/>
          <w:color w:val="auto"/>
          <w:sz w:val="21"/>
          <w:highlight w:val="none"/>
        </w:rPr>
      </w:pPr>
    </w:p>
    <w:p w14:paraId="3C2E1F51">
      <w:pPr>
        <w:spacing w:line="249" w:lineRule="auto"/>
        <w:rPr>
          <w:rFonts w:ascii="Arial"/>
          <w:color w:val="auto"/>
          <w:sz w:val="21"/>
          <w:highlight w:val="none"/>
        </w:rPr>
      </w:pPr>
    </w:p>
    <w:p w14:paraId="7A83FA32">
      <w:pPr>
        <w:spacing w:before="78"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（10）在最近三年内有骗取中标或严重违约的；</w:t>
      </w:r>
    </w:p>
    <w:p w14:paraId="3095AB45">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（11）投标人单位负责人为同一人或者存在</w:t>
      </w:r>
      <w:r>
        <w:rPr>
          <w:rFonts w:ascii="新宋体" w:hAnsi="新宋体" w:eastAsia="新宋体" w:cs="新宋体"/>
          <w:color w:val="auto"/>
          <w:spacing w:val="-2"/>
          <w:sz w:val="24"/>
          <w:szCs w:val="24"/>
          <w:highlight w:val="none"/>
        </w:rPr>
        <w:t>控股、管理关系的不同单位的。</w:t>
      </w:r>
    </w:p>
    <w:p w14:paraId="44150567">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（12）投标人基本资格条件和特定资格条件中有一项及以上不符合要求的；</w:t>
      </w:r>
    </w:p>
    <w:p w14:paraId="337CFA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（13）其它情形，经评标委员会委提出无效标，并经招投标监督部门批准的；</w:t>
      </w:r>
    </w:p>
    <w:p w14:paraId="43592AA1">
      <w:pPr>
        <w:spacing w:before="176"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6.3 投标人有下列情形之一的，符合性审查后其投标作无效标处理：</w:t>
      </w:r>
    </w:p>
    <w:p w14:paraId="01560C62">
      <w:pPr>
        <w:spacing w:before="177" w:line="291" w:lineRule="auto"/>
        <w:ind w:left="7" w:firstLine="46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（1）投标文件签字、盖章不全，</w:t>
      </w:r>
      <w:r>
        <w:rPr>
          <w:rFonts w:ascii="新宋体" w:hAnsi="新宋体" w:eastAsia="新宋体" w:cs="新宋体"/>
          <w:color w:val="auto"/>
          <w:spacing w:val="55"/>
          <w:sz w:val="24"/>
          <w:szCs w:val="24"/>
          <w:highlight w:val="none"/>
        </w:rPr>
        <w:t xml:space="preserve"> </w:t>
      </w:r>
      <w:r>
        <w:rPr>
          <w:rFonts w:ascii="新宋体" w:hAnsi="新宋体" w:eastAsia="新宋体" w:cs="新宋体"/>
          <w:color w:val="auto"/>
          <w:spacing w:val="-8"/>
          <w:sz w:val="24"/>
          <w:szCs w:val="24"/>
          <w:highlight w:val="none"/>
        </w:rPr>
        <w:t>经评标委员会一致认定对开评标内容有实质性影响并经、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监督部门批准的；</w:t>
      </w:r>
    </w:p>
    <w:p w14:paraId="5540B455">
      <w:pPr>
        <w:spacing w:before="176" w:line="292" w:lineRule="auto"/>
        <w:ind w:left="3" w:right="96" w:firstLine="46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（2）未按规定的格式填写，实质性内容不全或关键字迹模糊、无法辨认；经监督部</w:t>
      </w:r>
      <w:r>
        <w:rPr>
          <w:rFonts w:ascii="新宋体" w:hAnsi="新宋体" w:eastAsia="新宋体" w:cs="新宋体"/>
          <w:color w:val="auto"/>
          <w:spacing w:val="-1"/>
          <w:sz w:val="24"/>
          <w:szCs w:val="24"/>
          <w:highlight w:val="none"/>
        </w:rPr>
        <w:t>门批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6"/>
          <w:sz w:val="24"/>
          <w:szCs w:val="24"/>
          <w:highlight w:val="none"/>
        </w:rPr>
        <w:t>准的；</w:t>
      </w:r>
    </w:p>
    <w:p w14:paraId="1BC3E109">
      <w:pPr>
        <w:spacing w:before="176" w:line="291" w:lineRule="auto"/>
        <w:ind w:left="6" w:right="82" w:firstLine="46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（3）同一投标人提交两个以上不同的投标文件或者投标报价，但招标文件规定提交备选</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1"/>
          <w:sz w:val="24"/>
          <w:szCs w:val="24"/>
          <w:highlight w:val="none"/>
        </w:rPr>
        <w:t>方案的除外；</w:t>
      </w:r>
    </w:p>
    <w:p w14:paraId="640120A2">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（4）投标文件没有对招标文件的实质性要求和条件作出响应;</w:t>
      </w:r>
    </w:p>
    <w:p w14:paraId="7B67428E">
      <w:pPr>
        <w:spacing w:before="177" w:line="222"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（5）投标报价超出规定的投标限价或公布的采购预算的；</w:t>
      </w:r>
    </w:p>
    <w:p w14:paraId="7DABF0FA">
      <w:pPr>
        <w:spacing w:before="178"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（6）改变采购清单中工程量的；</w:t>
      </w:r>
    </w:p>
    <w:p w14:paraId="37EC97F2">
      <w:pPr>
        <w:spacing w:before="176" w:line="291" w:lineRule="auto"/>
        <w:ind w:right="98" w:firstLine="46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（7）不按评标委员会要求澄清、说明或补正的，或者评标委员会根据招标文件</w:t>
      </w:r>
      <w:r>
        <w:rPr>
          <w:rFonts w:ascii="新宋体" w:hAnsi="新宋体" w:eastAsia="新宋体" w:cs="新宋体"/>
          <w:color w:val="auto"/>
          <w:spacing w:val="-1"/>
          <w:sz w:val="24"/>
          <w:szCs w:val="24"/>
          <w:highlight w:val="none"/>
        </w:rPr>
        <w:t>的规定对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招标文件的计算错误进行修正后，投标人不接受修正的投标报价的。</w:t>
      </w:r>
    </w:p>
    <w:p w14:paraId="64C7D2F6">
      <w:pPr>
        <w:spacing w:before="177" w:line="328" w:lineRule="auto"/>
        <w:ind w:left="2" w:right="81" w:firstLine="46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（8）评标委员会认为投标人的报价明显低于其他通过符合性审查投标人的报价，有可能</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3"/>
          <w:sz w:val="24"/>
          <w:szCs w:val="24"/>
          <w:highlight w:val="none"/>
        </w:rPr>
        <w:t>影响产品质量或者不能诚信履约的，应当要求其在评标现场合理的时间内提供书面说明，必要</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时提交相关证明材料；投标人不能证明其报价合理性的，评标委员会应当将其作为无效投标处</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3"/>
          <w:sz w:val="24"/>
          <w:szCs w:val="24"/>
          <w:highlight w:val="none"/>
        </w:rPr>
        <w:t>理。</w:t>
      </w:r>
    </w:p>
    <w:p w14:paraId="44ED330B">
      <w:pPr>
        <w:spacing w:before="163"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（9）其它情形，经评标委员会委提出无效标，并经监督</w:t>
      </w:r>
      <w:r>
        <w:rPr>
          <w:rFonts w:ascii="新宋体" w:hAnsi="新宋体" w:eastAsia="新宋体" w:cs="新宋体"/>
          <w:color w:val="auto"/>
          <w:spacing w:val="-3"/>
          <w:sz w:val="24"/>
          <w:szCs w:val="24"/>
          <w:highlight w:val="none"/>
        </w:rPr>
        <w:t>部门批准的；</w:t>
      </w:r>
    </w:p>
    <w:p w14:paraId="58B01644">
      <w:pPr>
        <w:spacing w:before="177"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6.4 投标人有下列情形之一的，详细评审后其投标作无效标处理：</w:t>
      </w:r>
    </w:p>
    <w:p w14:paraId="1CE42CC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（1）投标产品不符合必须强制执行的国家标准的；</w:t>
      </w:r>
    </w:p>
    <w:p w14:paraId="21EFD2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（2）投标人有串通投标、弄虚作假、行贿等违法行为；</w:t>
      </w:r>
    </w:p>
    <w:p w14:paraId="7B4CB68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（3）投标文件含有违反国家法律、法规的内容，或附有招</w:t>
      </w:r>
      <w:r>
        <w:rPr>
          <w:rFonts w:ascii="新宋体" w:hAnsi="新宋体" w:eastAsia="新宋体" w:cs="新宋体"/>
          <w:color w:val="auto"/>
          <w:spacing w:val="-2"/>
          <w:sz w:val="24"/>
          <w:szCs w:val="24"/>
          <w:highlight w:val="none"/>
        </w:rPr>
        <w:t>标人不能接受的条件的。</w:t>
      </w:r>
    </w:p>
    <w:p w14:paraId="721AD4E3">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（4）其它情形，经评标委员会委提出无效标，并经招投标监督部门批准的；</w:t>
      </w:r>
    </w:p>
    <w:p w14:paraId="6EBD367E">
      <w:pPr>
        <w:spacing w:line="223" w:lineRule="auto"/>
        <w:rPr>
          <w:rFonts w:ascii="新宋体" w:hAnsi="新宋体" w:eastAsia="新宋体" w:cs="新宋体"/>
          <w:color w:val="auto"/>
          <w:sz w:val="24"/>
          <w:szCs w:val="24"/>
          <w:highlight w:val="none"/>
        </w:rPr>
        <w:sectPr>
          <w:footerReference r:id="rId14" w:type="default"/>
          <w:pgSz w:w="11905" w:h="16839"/>
          <w:pgMar w:top="400" w:right="1001" w:bottom="1250" w:left="1098" w:header="0" w:footer="1090" w:gutter="0"/>
          <w:pgNumType w:fmt="numberInDash"/>
          <w:cols w:space="720" w:num="1"/>
        </w:sectPr>
      </w:pPr>
    </w:p>
    <w:p w14:paraId="68B3957A">
      <w:pPr>
        <w:spacing w:line="317" w:lineRule="auto"/>
        <w:rPr>
          <w:rFonts w:ascii="Arial"/>
          <w:color w:val="auto"/>
          <w:sz w:val="21"/>
          <w:highlight w:val="none"/>
        </w:rPr>
      </w:pPr>
    </w:p>
    <w:p w14:paraId="40DA47EA">
      <w:pPr>
        <w:pStyle w:val="8"/>
        <w:numPr>
          <w:ilvl w:val="0"/>
          <w:numId w:val="3"/>
        </w:numPr>
        <w:spacing w:before="129" w:line="187" w:lineRule="auto"/>
        <w:ind w:left="2856"/>
        <w:outlineLvl w:val="0"/>
        <w:rPr>
          <w:b/>
          <w:bCs/>
          <w:color w:val="auto"/>
          <w:spacing w:val="-5"/>
          <w:sz w:val="30"/>
          <w:szCs w:val="30"/>
          <w:highlight w:val="none"/>
        </w:rPr>
      </w:pPr>
      <w:bookmarkStart w:id="13" w:name="bookmark6"/>
      <w:bookmarkEnd w:id="13"/>
      <w:r>
        <w:rPr>
          <w:b/>
          <w:bCs/>
          <w:color w:val="auto"/>
          <w:spacing w:val="20"/>
          <w:sz w:val="30"/>
          <w:szCs w:val="30"/>
          <w:highlight w:val="none"/>
        </w:rPr>
        <w:t xml:space="preserve">  </w:t>
      </w:r>
      <w:r>
        <w:rPr>
          <w:b/>
          <w:bCs/>
          <w:color w:val="auto"/>
          <w:spacing w:val="-5"/>
          <w:sz w:val="30"/>
          <w:szCs w:val="30"/>
          <w:highlight w:val="none"/>
        </w:rPr>
        <w:t>采购清单及技术参数</w:t>
      </w:r>
    </w:p>
    <w:tbl>
      <w:tblPr>
        <w:tblStyle w:val="1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85"/>
        <w:gridCol w:w="6225"/>
        <w:gridCol w:w="825"/>
        <w:gridCol w:w="1286"/>
        <w:gridCol w:w="4"/>
      </w:tblGrid>
      <w:tr w14:paraId="6CB7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4D985F7">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885" w:type="dxa"/>
            <w:vAlign w:val="center"/>
          </w:tcPr>
          <w:p w14:paraId="0AD50FA6">
            <w:pPr>
              <w:widowControl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设备</w:t>
            </w:r>
          </w:p>
          <w:p w14:paraId="1DB7EE65">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w:t>
            </w:r>
          </w:p>
        </w:tc>
        <w:tc>
          <w:tcPr>
            <w:tcW w:w="6225" w:type="dxa"/>
            <w:vAlign w:val="center"/>
          </w:tcPr>
          <w:p w14:paraId="4D366907">
            <w:pPr>
              <w:widowControl w:val="0"/>
              <w:jc w:val="center"/>
              <w:rPr>
                <w:color w:val="auto"/>
                <w:sz w:val="21"/>
                <w:szCs w:val="21"/>
                <w:highlight w:val="none"/>
                <w:vertAlign w:val="baseline"/>
              </w:rPr>
            </w:pPr>
            <w:r>
              <w:rPr>
                <w:rFonts w:hint="eastAsia"/>
                <w:color w:val="auto"/>
                <w:sz w:val="21"/>
                <w:szCs w:val="21"/>
                <w:highlight w:val="none"/>
                <w:vertAlign w:val="baseline"/>
              </w:rPr>
              <w:t>用途、技术指标及配置</w:t>
            </w:r>
          </w:p>
        </w:tc>
        <w:tc>
          <w:tcPr>
            <w:tcW w:w="825" w:type="dxa"/>
            <w:vAlign w:val="center"/>
          </w:tcPr>
          <w:p w14:paraId="44BA2D41">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数量</w:t>
            </w:r>
          </w:p>
        </w:tc>
        <w:tc>
          <w:tcPr>
            <w:tcW w:w="1290" w:type="dxa"/>
            <w:gridSpan w:val="2"/>
            <w:vAlign w:val="center"/>
          </w:tcPr>
          <w:p w14:paraId="5F68CAFD">
            <w:pPr>
              <w:widowControl w:val="0"/>
              <w:jc w:val="center"/>
              <w:rPr>
                <w:rFonts w:hint="eastAsia" w:eastAsiaTheme="minorEastAsia"/>
                <w:color w:val="auto"/>
                <w:sz w:val="21"/>
                <w:szCs w:val="21"/>
                <w:highlight w:val="none"/>
                <w:vertAlign w:val="baseline"/>
                <w:lang w:eastAsia="zh-CN"/>
              </w:rPr>
            </w:pPr>
            <w:r>
              <w:rPr>
                <w:rFonts w:hint="eastAsia"/>
                <w:color w:val="auto"/>
                <w:sz w:val="21"/>
                <w:szCs w:val="21"/>
                <w:highlight w:val="none"/>
                <w:vertAlign w:val="baseline"/>
                <w:lang w:val="en-US" w:eastAsia="zh-CN"/>
              </w:rPr>
              <w:t>金额</w:t>
            </w:r>
          </w:p>
          <w:p w14:paraId="7E34FE08">
            <w:pPr>
              <w:widowControl w:val="0"/>
              <w:jc w:val="center"/>
              <w:rPr>
                <w:color w:val="auto"/>
                <w:sz w:val="21"/>
                <w:szCs w:val="21"/>
                <w:highlight w:val="none"/>
                <w:vertAlign w:val="baseline"/>
              </w:rPr>
            </w:pPr>
            <w:r>
              <w:rPr>
                <w:rFonts w:hint="eastAsia"/>
                <w:color w:val="auto"/>
                <w:sz w:val="21"/>
                <w:szCs w:val="21"/>
                <w:highlight w:val="none"/>
                <w:vertAlign w:val="baseline"/>
                <w:lang w:eastAsia="zh-CN"/>
              </w:rPr>
              <w:t>（</w:t>
            </w:r>
            <w:r>
              <w:rPr>
                <w:rFonts w:hint="eastAsia"/>
                <w:color w:val="auto"/>
                <w:sz w:val="21"/>
                <w:szCs w:val="21"/>
                <w:highlight w:val="none"/>
                <w:vertAlign w:val="baseline"/>
              </w:rPr>
              <w:t>万元</w:t>
            </w:r>
            <w:r>
              <w:rPr>
                <w:rFonts w:hint="eastAsia"/>
                <w:color w:val="auto"/>
                <w:sz w:val="21"/>
                <w:szCs w:val="21"/>
                <w:highlight w:val="none"/>
                <w:vertAlign w:val="baseline"/>
                <w:lang w:eastAsia="zh-CN"/>
              </w:rPr>
              <w:t>）</w:t>
            </w:r>
          </w:p>
        </w:tc>
      </w:tr>
      <w:tr w14:paraId="38AD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94" w:type="dxa"/>
            <w:vAlign w:val="center"/>
          </w:tcPr>
          <w:p w14:paraId="1CDE1898">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885" w:type="dxa"/>
            <w:vAlign w:val="center"/>
          </w:tcPr>
          <w:p w14:paraId="61F1F09F">
            <w:pPr>
              <w:widowControl w:val="0"/>
              <w:jc w:val="center"/>
              <w:rPr>
                <w:color w:val="auto"/>
                <w:highlight w:val="none"/>
                <w:vertAlign w:val="baseline"/>
              </w:rPr>
            </w:pPr>
            <w:r>
              <w:rPr>
                <w:rFonts w:hint="eastAsia"/>
                <w:color w:val="auto"/>
                <w:highlight w:val="none"/>
                <w:vertAlign w:val="baseline"/>
              </w:rPr>
              <w:t>实验室辅助设备维护保养</w:t>
            </w:r>
          </w:p>
        </w:tc>
        <w:tc>
          <w:tcPr>
            <w:tcW w:w="6225" w:type="dxa"/>
            <w:vAlign w:val="center"/>
          </w:tcPr>
          <w:p w14:paraId="35052946">
            <w:pPr>
              <w:widowControl w:val="0"/>
              <w:jc w:val="both"/>
              <w:rPr>
                <w:rFonts w:hint="eastAsia"/>
                <w:color w:val="auto"/>
                <w:highlight w:val="none"/>
                <w:vertAlign w:val="baseline"/>
              </w:rPr>
            </w:pPr>
            <w:r>
              <w:rPr>
                <w:rFonts w:hint="eastAsia"/>
                <w:b/>
                <w:bCs/>
                <w:color w:val="auto"/>
                <w:highlight w:val="none"/>
                <w:vertAlign w:val="baseline"/>
              </w:rPr>
              <w:t>用途：为保障棉花公证检验的顺利运行，对涉及检验的仪器设备、辅助设备购买所需的配件、维护保养、准确性核查及能力提升等服务。</w:t>
            </w:r>
            <w:r>
              <w:rPr>
                <w:rFonts w:hint="eastAsia"/>
                <w:color w:val="auto"/>
                <w:highlight w:val="none"/>
                <w:vertAlign w:val="baseline"/>
              </w:rPr>
              <w:t xml:space="preserve">                    </w:t>
            </w:r>
          </w:p>
          <w:p w14:paraId="6AC7E2EA">
            <w:pPr>
              <w:widowControl w:val="0"/>
              <w:jc w:val="both"/>
              <w:rPr>
                <w:rFonts w:hint="eastAsia"/>
                <w:b/>
                <w:bCs/>
                <w:color w:val="auto"/>
                <w:highlight w:val="none"/>
                <w:vertAlign w:val="baseline"/>
              </w:rPr>
            </w:pPr>
            <w:r>
              <w:rPr>
                <w:rFonts w:hint="eastAsia"/>
                <w:b/>
                <w:bCs/>
                <w:color w:val="auto"/>
                <w:highlight w:val="none"/>
                <w:vertAlign w:val="baseline"/>
              </w:rPr>
              <w:t>技术参数：</w:t>
            </w:r>
          </w:p>
          <w:p w14:paraId="310FE8BE">
            <w:pPr>
              <w:widowControl w:val="0"/>
              <w:jc w:val="both"/>
              <w:rPr>
                <w:rFonts w:hint="eastAsia"/>
                <w:b/>
                <w:bCs/>
                <w:color w:val="auto"/>
                <w:highlight w:val="none"/>
                <w:vertAlign w:val="baseline"/>
              </w:rPr>
            </w:pPr>
            <w:r>
              <w:rPr>
                <w:rFonts w:hint="eastAsia"/>
                <w:b/>
                <w:bCs/>
                <w:color w:val="auto"/>
                <w:highlight w:val="none"/>
                <w:vertAlign w:val="baseline"/>
              </w:rPr>
              <w:t>一、实验室辅助设备维护保养部分：</w:t>
            </w:r>
          </w:p>
          <w:p w14:paraId="59A48C79">
            <w:pPr>
              <w:widowControl w:val="0"/>
              <w:jc w:val="both"/>
              <w:rPr>
                <w:rFonts w:hint="eastAsia"/>
                <w:color w:val="auto"/>
                <w:highlight w:val="none"/>
                <w:vertAlign w:val="baseline"/>
              </w:rPr>
            </w:pPr>
            <w:r>
              <w:rPr>
                <w:rFonts w:hint="eastAsia"/>
                <w:color w:val="auto"/>
                <w:highlight w:val="none"/>
                <w:vertAlign w:val="baseline"/>
              </w:rPr>
              <w:t>维护保养后设备能正常运行，空调连续运行6个月满足棉花仪器化HVI公证检验实验室温湿度标准要求，温度20℃±2，湿度RH65%±3，设备出现较大故障24小时内排除、一般性故障6小时内排出，不得影响检验工作。服务范围为实验室内部运行的全项，做到开检前全面保养维护，公检结束后做停机保养，并建立维保记录档案。保障维护好实验室所有供电、供水涉及的设备和管线。</w:t>
            </w:r>
          </w:p>
          <w:p w14:paraId="3C319BA6">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服务地点为：奎屯市和伊宁市两地</w:t>
            </w:r>
            <w:r>
              <w:rPr>
                <w:rFonts w:hint="eastAsia"/>
                <w:color w:val="auto"/>
                <w:highlight w:val="none"/>
                <w:vertAlign w:val="baseline"/>
                <w:lang w:eastAsia="zh-CN"/>
              </w:rPr>
              <w:t>。</w:t>
            </w:r>
          </w:p>
          <w:p w14:paraId="324F475F">
            <w:pPr>
              <w:widowControl w:val="0"/>
              <w:jc w:val="both"/>
              <w:rPr>
                <w:rFonts w:hint="eastAsia"/>
                <w:b/>
                <w:bCs/>
                <w:color w:val="auto"/>
                <w:highlight w:val="none"/>
                <w:vertAlign w:val="baseline"/>
              </w:rPr>
            </w:pPr>
            <w:r>
              <w:rPr>
                <w:rFonts w:hint="eastAsia"/>
                <w:color w:val="auto"/>
                <w:highlight w:val="none"/>
                <w:vertAlign w:val="baseline"/>
              </w:rPr>
              <w:t>（</w:t>
            </w:r>
            <w:r>
              <w:rPr>
                <w:rFonts w:hint="eastAsia"/>
                <w:b/>
                <w:bCs/>
                <w:color w:val="auto"/>
                <w:highlight w:val="none"/>
                <w:vertAlign w:val="baseline"/>
              </w:rPr>
              <w:t>一）恒温恒湿空调系统设备</w:t>
            </w:r>
          </w:p>
          <w:p w14:paraId="1D3E974D">
            <w:pPr>
              <w:widowControl w:val="0"/>
              <w:jc w:val="both"/>
              <w:rPr>
                <w:rFonts w:hint="eastAsia"/>
                <w:color w:val="auto"/>
                <w:highlight w:val="none"/>
                <w:vertAlign w:val="baseline"/>
              </w:rPr>
            </w:pPr>
            <w:r>
              <w:rPr>
                <w:rFonts w:hint="eastAsia"/>
                <w:b/>
                <w:bCs/>
                <w:color w:val="auto"/>
                <w:highlight w:val="none"/>
                <w:vertAlign w:val="baseline"/>
              </w:rPr>
              <w:t>1）、</w:t>
            </w:r>
            <w:r>
              <w:rPr>
                <w:rFonts w:hint="eastAsia"/>
                <w:color w:val="auto"/>
                <w:highlight w:val="none"/>
                <w:vertAlign w:val="baseline"/>
              </w:rPr>
              <w:t>开检前进行全面维护保养，检查机组运行状况，记录报警内容并对报警内容进行分析消除隐患；</w:t>
            </w:r>
          </w:p>
          <w:p w14:paraId="632D3B31">
            <w:pPr>
              <w:widowControl w:val="0"/>
              <w:jc w:val="both"/>
              <w:rPr>
                <w:rFonts w:hint="eastAsia"/>
                <w:color w:val="auto"/>
                <w:highlight w:val="none"/>
                <w:vertAlign w:val="baseline"/>
              </w:rPr>
            </w:pPr>
            <w:r>
              <w:rPr>
                <w:rFonts w:hint="eastAsia"/>
                <w:color w:val="auto"/>
                <w:highlight w:val="none"/>
                <w:vertAlign w:val="baseline"/>
              </w:rPr>
              <w:t>检查设定参数，控制电路，并根据实际需要调整各项运行参数；检查压缩机、风机的运行电流值；</w:t>
            </w:r>
          </w:p>
          <w:p w14:paraId="4C69A5F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检查制冷系统运行情况，检查运行压力，检查膨胀阀的工作状态，必要时调整过热度，使设备处于最佳状态；检查冷媒管道和加湿系统供水管道是否正常；检测高低压保护装置；检查主控板和图形显示器的工作状态</w:t>
            </w:r>
            <w:r>
              <w:rPr>
                <w:rFonts w:hint="eastAsia"/>
                <w:color w:val="auto"/>
                <w:highlight w:val="none"/>
                <w:vertAlign w:val="baseline"/>
                <w:lang w:eastAsia="zh-CN"/>
              </w:rPr>
              <w:t>。</w:t>
            </w:r>
          </w:p>
          <w:p w14:paraId="3462F42F">
            <w:pPr>
              <w:widowControl w:val="0"/>
              <w:jc w:val="both"/>
              <w:rPr>
                <w:rFonts w:hint="eastAsia"/>
                <w:color w:val="auto"/>
                <w:highlight w:val="none"/>
                <w:vertAlign w:val="baseline"/>
              </w:rPr>
            </w:pPr>
            <w:r>
              <w:rPr>
                <w:rFonts w:hint="eastAsia"/>
                <w:b/>
                <w:bCs/>
                <w:color w:val="auto"/>
                <w:highlight w:val="none"/>
                <w:vertAlign w:val="baseline"/>
              </w:rPr>
              <w:t>2）、</w:t>
            </w:r>
            <w:r>
              <w:rPr>
                <w:rFonts w:hint="eastAsia"/>
                <w:color w:val="auto"/>
                <w:highlight w:val="none"/>
                <w:vertAlign w:val="baseline"/>
              </w:rPr>
              <w:t>实验室内部运行的全项公证检验期内每天有由驻厂人员进行巡查，确保实验室检验正常运行。（淡季每月联系一次，询问实验室设备情况。）</w:t>
            </w:r>
          </w:p>
          <w:p w14:paraId="669296FE">
            <w:pPr>
              <w:widowControl w:val="0"/>
              <w:jc w:val="both"/>
              <w:rPr>
                <w:rFonts w:hint="eastAsia"/>
                <w:color w:val="auto"/>
                <w:highlight w:val="none"/>
                <w:vertAlign w:val="baseline"/>
              </w:rPr>
            </w:pPr>
            <w:r>
              <w:rPr>
                <w:rFonts w:hint="eastAsia"/>
                <w:b/>
                <w:bCs/>
                <w:color w:val="auto"/>
                <w:highlight w:val="none"/>
                <w:vertAlign w:val="baseline"/>
              </w:rPr>
              <w:t>3）、</w:t>
            </w:r>
            <w:r>
              <w:rPr>
                <w:rFonts w:hint="eastAsia"/>
                <w:color w:val="auto"/>
                <w:highlight w:val="none"/>
                <w:vertAlign w:val="baseline"/>
              </w:rPr>
              <w:t>保养操作工艺方法及项目</w:t>
            </w:r>
          </w:p>
          <w:p w14:paraId="0A34C4DC">
            <w:pPr>
              <w:widowControl w:val="0"/>
              <w:ind w:firstLine="420" w:firstLineChars="200"/>
              <w:jc w:val="both"/>
              <w:rPr>
                <w:rFonts w:hint="eastAsia"/>
                <w:color w:val="auto"/>
                <w:highlight w:val="none"/>
                <w:vertAlign w:val="baseline"/>
              </w:rPr>
            </w:pPr>
            <w:r>
              <w:rPr>
                <w:rFonts w:hint="eastAsia"/>
                <w:color w:val="auto"/>
                <w:highlight w:val="none"/>
                <w:vertAlign w:val="baseline"/>
              </w:rPr>
              <w:t>过滤网</w:t>
            </w:r>
          </w:p>
          <w:p w14:paraId="2120A78D">
            <w:pPr>
              <w:widowControl w:val="0"/>
              <w:jc w:val="both"/>
              <w:rPr>
                <w:rFonts w:hint="eastAsia"/>
                <w:color w:val="auto"/>
                <w:highlight w:val="none"/>
                <w:vertAlign w:val="baseline"/>
              </w:rPr>
            </w:pPr>
            <w:r>
              <w:rPr>
                <w:rFonts w:hint="eastAsia"/>
                <w:color w:val="auto"/>
                <w:highlight w:val="none"/>
                <w:vertAlign w:val="baseline"/>
              </w:rPr>
              <w:t>1、过滤网气流是否通畅：透光目测，看滤材的干净程度，对灰尘进行清除，如有外观的上的损坏，进行更换。</w:t>
            </w:r>
          </w:p>
          <w:p w14:paraId="44E3F9D7">
            <w:pPr>
              <w:widowControl w:val="0"/>
              <w:jc w:val="both"/>
              <w:rPr>
                <w:rFonts w:hint="eastAsia"/>
                <w:color w:val="auto"/>
                <w:highlight w:val="none"/>
                <w:vertAlign w:val="baseline"/>
              </w:rPr>
            </w:pPr>
            <w:r>
              <w:rPr>
                <w:rFonts w:hint="eastAsia"/>
                <w:color w:val="auto"/>
                <w:highlight w:val="none"/>
                <w:vertAlign w:val="baseline"/>
              </w:rPr>
              <w:t>2、检查风压开关：用物件挡住空调回风口1/2的面积，检查风压开关是否动作。</w:t>
            </w:r>
          </w:p>
          <w:p w14:paraId="7720693F">
            <w:pPr>
              <w:widowControl w:val="0"/>
              <w:ind w:firstLine="420" w:firstLineChars="200"/>
              <w:jc w:val="both"/>
              <w:rPr>
                <w:rFonts w:hint="eastAsia"/>
                <w:color w:val="auto"/>
                <w:highlight w:val="none"/>
                <w:vertAlign w:val="baseline"/>
              </w:rPr>
            </w:pPr>
            <w:r>
              <w:rPr>
                <w:rFonts w:hint="eastAsia"/>
                <w:color w:val="auto"/>
                <w:highlight w:val="none"/>
                <w:vertAlign w:val="baseline"/>
              </w:rPr>
              <w:t>室内风机</w:t>
            </w:r>
          </w:p>
          <w:p w14:paraId="436D1C5F">
            <w:pPr>
              <w:widowControl w:val="0"/>
              <w:jc w:val="both"/>
              <w:rPr>
                <w:rFonts w:hint="eastAsia"/>
                <w:color w:val="auto"/>
                <w:highlight w:val="none"/>
                <w:vertAlign w:val="baseline"/>
              </w:rPr>
            </w:pPr>
            <w:r>
              <w:rPr>
                <w:rFonts w:hint="eastAsia"/>
                <w:color w:val="auto"/>
                <w:highlight w:val="none"/>
                <w:vertAlign w:val="baseline"/>
              </w:rPr>
              <w:t>1、检查并调整电机的装配，检查是否牢固和正确。</w:t>
            </w:r>
          </w:p>
          <w:p w14:paraId="29D1F69B">
            <w:pPr>
              <w:widowControl w:val="0"/>
              <w:jc w:val="both"/>
              <w:rPr>
                <w:rFonts w:hint="eastAsia"/>
                <w:color w:val="auto"/>
                <w:highlight w:val="none"/>
                <w:vertAlign w:val="baseline"/>
              </w:rPr>
            </w:pPr>
            <w:r>
              <w:rPr>
                <w:rFonts w:hint="eastAsia"/>
                <w:color w:val="auto"/>
                <w:highlight w:val="none"/>
                <w:vertAlign w:val="baseline"/>
              </w:rPr>
              <w:t>2、检查风机轴承，运行是否平稳，无异常噪音，并且不发热，润滑是否良好。</w:t>
            </w:r>
          </w:p>
          <w:p w14:paraId="03CB3CEB">
            <w:pPr>
              <w:widowControl w:val="0"/>
              <w:jc w:val="both"/>
              <w:rPr>
                <w:rFonts w:hint="eastAsia"/>
                <w:color w:val="auto"/>
                <w:highlight w:val="none"/>
                <w:vertAlign w:val="baseline"/>
              </w:rPr>
            </w:pPr>
            <w:r>
              <w:rPr>
                <w:rFonts w:hint="eastAsia"/>
                <w:color w:val="auto"/>
                <w:highlight w:val="none"/>
                <w:vertAlign w:val="baseline"/>
              </w:rPr>
              <w:t>3、检查风机电机电流，同开机的测试报告进行比较，看数据是否正常。</w:t>
            </w:r>
          </w:p>
          <w:p w14:paraId="1B820D48">
            <w:pPr>
              <w:widowControl w:val="0"/>
              <w:ind w:firstLine="420" w:firstLineChars="200"/>
              <w:jc w:val="both"/>
              <w:rPr>
                <w:rFonts w:hint="eastAsia"/>
                <w:color w:val="auto"/>
                <w:highlight w:val="none"/>
                <w:vertAlign w:val="baseline"/>
              </w:rPr>
            </w:pPr>
            <w:r>
              <w:rPr>
                <w:rFonts w:hint="eastAsia"/>
                <w:color w:val="auto"/>
                <w:highlight w:val="none"/>
                <w:vertAlign w:val="baseline"/>
              </w:rPr>
              <w:t>压缩机</w:t>
            </w:r>
          </w:p>
          <w:p w14:paraId="0EF6C552">
            <w:pPr>
              <w:widowControl w:val="0"/>
              <w:jc w:val="both"/>
              <w:rPr>
                <w:rFonts w:hint="eastAsia"/>
                <w:color w:val="auto"/>
                <w:highlight w:val="none"/>
                <w:vertAlign w:val="baseline"/>
              </w:rPr>
            </w:pPr>
            <w:r>
              <w:rPr>
                <w:rFonts w:hint="eastAsia"/>
                <w:color w:val="auto"/>
                <w:highlight w:val="none"/>
                <w:vertAlign w:val="baseline"/>
              </w:rPr>
              <w:t>1、检查是否有漏油及油位，如有泄漏，应找到漏点，并进行处理。若油位不够，应补充冷冻油。</w:t>
            </w:r>
          </w:p>
          <w:p w14:paraId="65FC36F6">
            <w:pPr>
              <w:widowControl w:val="0"/>
              <w:jc w:val="both"/>
              <w:rPr>
                <w:rFonts w:hint="eastAsia"/>
                <w:color w:val="auto"/>
                <w:highlight w:val="none"/>
                <w:vertAlign w:val="baseline"/>
              </w:rPr>
            </w:pPr>
            <w:r>
              <w:rPr>
                <w:rFonts w:hint="eastAsia"/>
                <w:color w:val="auto"/>
                <w:highlight w:val="none"/>
                <w:vertAlign w:val="baseline"/>
              </w:rPr>
              <w:t>2、检查压缩机三相电流是否均衡，同开机的测试报告进行比较，看数据是否正常。</w:t>
            </w:r>
          </w:p>
          <w:p w14:paraId="4945C8AB">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3、检查压缩机运转声音和机身温度（运转中）是否正常</w:t>
            </w:r>
            <w:r>
              <w:rPr>
                <w:rFonts w:hint="eastAsia"/>
                <w:color w:val="auto"/>
                <w:highlight w:val="none"/>
                <w:vertAlign w:val="baseline"/>
                <w:lang w:eastAsia="zh-CN"/>
              </w:rPr>
              <w:t>。</w:t>
            </w:r>
          </w:p>
          <w:p w14:paraId="3D0A72C3">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4、检查压缩机高低压传感器的工作参数，同开机的测试报告进行比较，看数据是否正常</w:t>
            </w:r>
            <w:r>
              <w:rPr>
                <w:rFonts w:hint="eastAsia"/>
                <w:color w:val="auto"/>
                <w:highlight w:val="none"/>
                <w:vertAlign w:val="baseline"/>
                <w:lang w:eastAsia="zh-CN"/>
              </w:rPr>
              <w:t>。</w:t>
            </w:r>
          </w:p>
          <w:p w14:paraId="49253A91">
            <w:pPr>
              <w:widowControl w:val="0"/>
              <w:jc w:val="both"/>
              <w:rPr>
                <w:rFonts w:hint="eastAsia"/>
                <w:color w:val="auto"/>
                <w:highlight w:val="none"/>
                <w:vertAlign w:val="baseline"/>
              </w:rPr>
            </w:pPr>
            <w:r>
              <w:rPr>
                <w:rFonts w:hint="eastAsia"/>
                <w:color w:val="auto"/>
                <w:highlight w:val="none"/>
                <w:vertAlign w:val="baseline"/>
              </w:rPr>
              <w:t>5、检查压缩机的吸气及排气温度，吸气过热度不能超过10℃，排气温度不能超过150℃ 。</w:t>
            </w:r>
          </w:p>
          <w:p w14:paraId="10E9AD1E">
            <w:pPr>
              <w:widowControl w:val="0"/>
              <w:jc w:val="both"/>
              <w:rPr>
                <w:rFonts w:hint="eastAsia"/>
                <w:color w:val="auto"/>
                <w:highlight w:val="none"/>
                <w:vertAlign w:val="baseline"/>
              </w:rPr>
            </w:pPr>
            <w:r>
              <w:rPr>
                <w:rFonts w:hint="eastAsia"/>
                <w:color w:val="auto"/>
                <w:highlight w:val="none"/>
                <w:vertAlign w:val="baseline"/>
              </w:rPr>
              <w:t>6、检查压缩机高压压力是否正常，低压通常在0.5—0.8Mpa之间，高压压力通常在1.5—1.9Mpa之间。</w:t>
            </w:r>
          </w:p>
          <w:p w14:paraId="705C6797">
            <w:pPr>
              <w:widowControl w:val="0"/>
              <w:ind w:firstLine="420" w:firstLineChars="200"/>
              <w:jc w:val="both"/>
              <w:rPr>
                <w:rFonts w:hint="eastAsia"/>
                <w:color w:val="auto"/>
                <w:highlight w:val="none"/>
                <w:vertAlign w:val="baseline"/>
              </w:rPr>
            </w:pPr>
            <w:r>
              <w:rPr>
                <w:rFonts w:hint="eastAsia"/>
                <w:color w:val="auto"/>
                <w:highlight w:val="none"/>
                <w:vertAlign w:val="baseline"/>
              </w:rPr>
              <w:t>风冷凝器</w:t>
            </w:r>
          </w:p>
          <w:p w14:paraId="106E18B5">
            <w:pPr>
              <w:widowControl w:val="0"/>
              <w:jc w:val="both"/>
              <w:rPr>
                <w:rFonts w:hint="eastAsia"/>
                <w:color w:val="auto"/>
                <w:highlight w:val="none"/>
                <w:vertAlign w:val="baseline"/>
              </w:rPr>
            </w:pPr>
            <w:r>
              <w:rPr>
                <w:rFonts w:hint="eastAsia"/>
                <w:color w:val="auto"/>
                <w:highlight w:val="none"/>
                <w:vertAlign w:val="baseline"/>
              </w:rPr>
              <w:t>1、检查风扇绕组，测量风扇电流，同开机的测试报告进行比较，看数据是否正常。</w:t>
            </w:r>
          </w:p>
          <w:p w14:paraId="0749C024">
            <w:pPr>
              <w:widowControl w:val="0"/>
              <w:jc w:val="both"/>
              <w:rPr>
                <w:rFonts w:hint="eastAsia"/>
                <w:color w:val="auto"/>
                <w:highlight w:val="none"/>
                <w:vertAlign w:val="baseline"/>
              </w:rPr>
            </w:pPr>
            <w:r>
              <w:rPr>
                <w:rFonts w:hint="eastAsia"/>
                <w:color w:val="auto"/>
                <w:highlight w:val="none"/>
                <w:vertAlign w:val="baseline"/>
              </w:rPr>
              <w:t>2、检查风扇是否紧固，轴承工作状态是否正常，运行是否平稳。</w:t>
            </w:r>
          </w:p>
          <w:p w14:paraId="45ECBFB3">
            <w:pPr>
              <w:widowControl w:val="0"/>
              <w:jc w:val="both"/>
              <w:rPr>
                <w:rFonts w:hint="eastAsia"/>
                <w:color w:val="auto"/>
                <w:highlight w:val="none"/>
                <w:vertAlign w:val="baseline"/>
              </w:rPr>
            </w:pPr>
            <w:r>
              <w:rPr>
                <w:rFonts w:hint="eastAsia"/>
                <w:color w:val="auto"/>
                <w:highlight w:val="none"/>
                <w:vertAlign w:val="baseline"/>
              </w:rPr>
              <w:t>3、检查清洁状况。</w:t>
            </w:r>
          </w:p>
          <w:p w14:paraId="5C4BF08A">
            <w:pPr>
              <w:widowControl w:val="0"/>
              <w:jc w:val="both"/>
              <w:rPr>
                <w:rFonts w:hint="eastAsia"/>
                <w:color w:val="auto"/>
                <w:highlight w:val="none"/>
                <w:vertAlign w:val="baseline"/>
              </w:rPr>
            </w:pPr>
            <w:r>
              <w:rPr>
                <w:rFonts w:hint="eastAsia"/>
                <w:color w:val="auto"/>
                <w:highlight w:val="none"/>
                <w:vertAlign w:val="baseline"/>
              </w:rPr>
              <w:t>4、检查调整控制板及温度开关工作状态。</w:t>
            </w:r>
          </w:p>
          <w:p w14:paraId="6AC1C313">
            <w:pPr>
              <w:widowControl w:val="0"/>
              <w:ind w:firstLine="420" w:firstLineChars="200"/>
              <w:jc w:val="both"/>
              <w:rPr>
                <w:rFonts w:hint="eastAsia"/>
                <w:color w:val="auto"/>
                <w:highlight w:val="none"/>
                <w:vertAlign w:val="baseline"/>
              </w:rPr>
            </w:pPr>
            <w:r>
              <w:rPr>
                <w:rFonts w:hint="eastAsia"/>
                <w:color w:val="auto"/>
                <w:highlight w:val="none"/>
                <w:vertAlign w:val="baseline"/>
              </w:rPr>
              <w:t>蒸气系统加湿器</w:t>
            </w:r>
          </w:p>
          <w:p w14:paraId="3EA88A08">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1、检查加湿罐内是否沉积，并进行清除</w:t>
            </w:r>
            <w:r>
              <w:rPr>
                <w:rFonts w:hint="eastAsia"/>
                <w:color w:val="auto"/>
                <w:highlight w:val="none"/>
                <w:vertAlign w:val="baseline"/>
                <w:lang w:eastAsia="zh-CN"/>
              </w:rPr>
              <w:t>。</w:t>
            </w:r>
          </w:p>
          <w:p w14:paraId="5CEDDFD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2、检查所有的蒸气软管的工作状态，是否通畅，老化</w:t>
            </w:r>
            <w:r>
              <w:rPr>
                <w:rFonts w:hint="eastAsia"/>
                <w:color w:val="auto"/>
                <w:highlight w:val="none"/>
                <w:vertAlign w:val="baseline"/>
                <w:lang w:eastAsia="zh-CN"/>
              </w:rPr>
              <w:t>。</w:t>
            </w:r>
          </w:p>
          <w:p w14:paraId="49BCF9E7">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3、检查进水阀和排水阀（或者排水泵）是否工作正常。检查是否进、排水</w:t>
            </w:r>
            <w:r>
              <w:rPr>
                <w:rFonts w:hint="eastAsia"/>
                <w:color w:val="auto"/>
                <w:highlight w:val="none"/>
                <w:vertAlign w:val="baseline"/>
                <w:lang w:eastAsia="zh-CN"/>
              </w:rPr>
              <w:t>。</w:t>
            </w:r>
          </w:p>
          <w:p w14:paraId="399C0052">
            <w:pPr>
              <w:widowControl w:val="0"/>
              <w:ind w:firstLine="420" w:firstLineChars="200"/>
              <w:jc w:val="both"/>
              <w:rPr>
                <w:rFonts w:hint="eastAsia"/>
                <w:color w:val="auto"/>
                <w:highlight w:val="none"/>
                <w:vertAlign w:val="baseline"/>
              </w:rPr>
            </w:pPr>
            <w:r>
              <w:rPr>
                <w:rFonts w:hint="eastAsia"/>
                <w:color w:val="auto"/>
                <w:highlight w:val="none"/>
                <w:vertAlign w:val="baseline"/>
              </w:rPr>
              <w:t>制冷循环部分</w:t>
            </w:r>
          </w:p>
          <w:p w14:paraId="186FE59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1、检查制冷管路是否有泄漏，通过检查管路是否有油迹</w:t>
            </w:r>
            <w:r>
              <w:rPr>
                <w:rFonts w:hint="eastAsia"/>
                <w:color w:val="auto"/>
                <w:highlight w:val="none"/>
                <w:vertAlign w:val="baseline"/>
                <w:lang w:eastAsia="zh-CN"/>
              </w:rPr>
              <w:t>。</w:t>
            </w:r>
          </w:p>
          <w:p w14:paraId="7A4BABB9">
            <w:pPr>
              <w:widowControl w:val="0"/>
              <w:jc w:val="both"/>
              <w:rPr>
                <w:rFonts w:hint="eastAsia"/>
                <w:color w:val="auto"/>
                <w:highlight w:val="none"/>
                <w:vertAlign w:val="baseline"/>
              </w:rPr>
            </w:pPr>
            <w:r>
              <w:rPr>
                <w:rFonts w:hint="eastAsia"/>
                <w:color w:val="auto"/>
                <w:highlight w:val="none"/>
                <w:vertAlign w:val="baseline"/>
              </w:rPr>
              <w:t>2、通过视镜，检查系统是否有水汽，色圈的颜色是否表示正常，并判断制冷剂是否需要补充。</w:t>
            </w:r>
          </w:p>
          <w:p w14:paraId="482CD16D">
            <w:pPr>
              <w:widowControl w:val="0"/>
              <w:jc w:val="both"/>
              <w:rPr>
                <w:rFonts w:hint="eastAsia"/>
                <w:color w:val="auto"/>
                <w:highlight w:val="none"/>
                <w:vertAlign w:val="baseline"/>
              </w:rPr>
            </w:pPr>
            <w:r>
              <w:rPr>
                <w:rFonts w:hint="eastAsia"/>
                <w:color w:val="auto"/>
                <w:highlight w:val="none"/>
                <w:vertAlign w:val="baseline"/>
              </w:rPr>
              <w:t>3、检查吸气压力，同开机的测试报告进行比较，看数据是否正常。</w:t>
            </w:r>
          </w:p>
          <w:p w14:paraId="33C28502">
            <w:pPr>
              <w:widowControl w:val="0"/>
              <w:jc w:val="both"/>
              <w:rPr>
                <w:rFonts w:hint="eastAsia"/>
                <w:color w:val="auto"/>
                <w:highlight w:val="none"/>
                <w:vertAlign w:val="baseline"/>
              </w:rPr>
            </w:pPr>
            <w:r>
              <w:rPr>
                <w:rFonts w:hint="eastAsia"/>
                <w:color w:val="auto"/>
                <w:highlight w:val="none"/>
                <w:vertAlign w:val="baseline"/>
              </w:rPr>
              <w:t>4、检查排气压力，同开机的测试报告进行比较，看数据是否正常。</w:t>
            </w:r>
          </w:p>
          <w:p w14:paraId="669EB0E6">
            <w:pPr>
              <w:widowControl w:val="0"/>
              <w:jc w:val="both"/>
              <w:rPr>
                <w:rFonts w:hint="eastAsia"/>
                <w:color w:val="auto"/>
                <w:highlight w:val="none"/>
                <w:vertAlign w:val="baseline"/>
              </w:rPr>
            </w:pPr>
            <w:r>
              <w:rPr>
                <w:rFonts w:hint="eastAsia"/>
                <w:color w:val="auto"/>
                <w:highlight w:val="none"/>
                <w:vertAlign w:val="baseline"/>
              </w:rPr>
              <w:t>5、检查热气旁通</w:t>
            </w:r>
          </w:p>
          <w:p w14:paraId="7CA43C1E">
            <w:pPr>
              <w:widowControl w:val="0"/>
              <w:ind w:firstLine="420" w:firstLineChars="200"/>
              <w:jc w:val="both"/>
              <w:rPr>
                <w:rFonts w:hint="eastAsia"/>
                <w:color w:val="auto"/>
                <w:highlight w:val="none"/>
                <w:vertAlign w:val="baseline"/>
              </w:rPr>
            </w:pPr>
            <w:r>
              <w:rPr>
                <w:rFonts w:hint="eastAsia"/>
                <w:color w:val="auto"/>
                <w:highlight w:val="none"/>
                <w:vertAlign w:val="baseline"/>
              </w:rPr>
              <w:t>电气装置</w:t>
            </w:r>
          </w:p>
          <w:p w14:paraId="207C74D5">
            <w:pPr>
              <w:widowControl w:val="0"/>
              <w:numPr>
                <w:ilvl w:val="0"/>
                <w:numId w:val="4"/>
              </w:numPr>
              <w:jc w:val="both"/>
              <w:rPr>
                <w:rFonts w:hint="eastAsia"/>
                <w:color w:val="auto"/>
                <w:highlight w:val="none"/>
                <w:vertAlign w:val="baseline"/>
              </w:rPr>
            </w:pPr>
            <w:r>
              <w:rPr>
                <w:rFonts w:hint="eastAsia"/>
                <w:color w:val="auto"/>
                <w:highlight w:val="none"/>
                <w:vertAlign w:val="baseline"/>
              </w:rPr>
              <w:t>所有电器外观和动作情况，所有电器外观完好，设置正确</w:t>
            </w:r>
            <w:r>
              <w:rPr>
                <w:rFonts w:hint="eastAsia"/>
                <w:color w:val="auto"/>
                <w:highlight w:val="none"/>
                <w:vertAlign w:val="baseline"/>
                <w:lang w:eastAsia="zh-CN"/>
              </w:rPr>
              <w:t>。</w:t>
            </w:r>
          </w:p>
          <w:p w14:paraId="64B07F89">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rPr>
              <w:t>2、检查和紧固所有导线连接，所有导线无发热</w:t>
            </w:r>
            <w:r>
              <w:rPr>
                <w:rFonts w:hint="eastAsia"/>
                <w:color w:val="auto"/>
                <w:highlight w:val="none"/>
                <w:vertAlign w:val="baseline"/>
                <w:lang w:eastAsia="zh-CN"/>
              </w:rPr>
              <w:t>。</w:t>
            </w:r>
          </w:p>
          <w:p w14:paraId="45B612DD">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rPr>
              <w:t>3、检查校验运行状态显示，有无报警记录及自动控制是否正常</w:t>
            </w:r>
            <w:r>
              <w:rPr>
                <w:rFonts w:hint="eastAsia"/>
                <w:color w:val="auto"/>
                <w:highlight w:val="none"/>
                <w:vertAlign w:val="baseline"/>
                <w:lang w:eastAsia="zh-CN"/>
              </w:rPr>
              <w:t>。</w:t>
            </w:r>
          </w:p>
          <w:p w14:paraId="4C55850E">
            <w:pPr>
              <w:widowControl w:val="0"/>
              <w:numPr>
                <w:ilvl w:val="0"/>
                <w:numId w:val="0"/>
              </w:numPr>
              <w:jc w:val="both"/>
              <w:rPr>
                <w:rFonts w:hint="eastAsia"/>
                <w:color w:val="auto"/>
                <w:highlight w:val="none"/>
                <w:vertAlign w:val="baseline"/>
              </w:rPr>
            </w:pPr>
            <w:r>
              <w:rPr>
                <w:rFonts w:hint="eastAsia"/>
                <w:color w:val="auto"/>
                <w:highlight w:val="none"/>
                <w:vertAlign w:val="baseline"/>
              </w:rPr>
              <w:t>上述检查中，发现问题做及时处理。</w:t>
            </w:r>
          </w:p>
          <w:p w14:paraId="56FD1C4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4）、维修操作工艺项目：</w:t>
            </w:r>
          </w:p>
          <w:p w14:paraId="1F9886F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检修电气控制系统</w:t>
            </w:r>
          </w:p>
          <w:p w14:paraId="45546B32">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检查控制电路熔丝（或空气开关）。</w:t>
            </w:r>
          </w:p>
          <w:p w14:paraId="0645ADE5">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 xml:space="preserve">检查控制电源变压器外观，校验输出电压。 </w:t>
            </w:r>
          </w:p>
          <w:p w14:paraId="17540008">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紧固全部电气连接。</w:t>
            </w:r>
          </w:p>
          <w:p w14:paraId="32DF1BC2">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4. </w:t>
            </w:r>
            <w:r>
              <w:rPr>
                <w:rFonts w:hint="eastAsia"/>
                <w:color w:val="auto"/>
                <w:highlight w:val="none"/>
                <w:vertAlign w:val="baseline"/>
              </w:rPr>
              <w:t>校验电脑板控制信号，紧固板上插接口。</w:t>
            </w:r>
          </w:p>
          <w:p w14:paraId="2A5E091C">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5. </w:t>
            </w:r>
            <w:r>
              <w:rPr>
                <w:rFonts w:hint="eastAsia"/>
                <w:color w:val="auto"/>
                <w:highlight w:val="none"/>
                <w:vertAlign w:val="baseline"/>
              </w:rPr>
              <w:t>检修制冷系统</w:t>
            </w:r>
            <w:r>
              <w:rPr>
                <w:rFonts w:hint="eastAsia"/>
                <w:color w:val="auto"/>
                <w:highlight w:val="none"/>
                <w:vertAlign w:val="baseline"/>
                <w:lang w:eastAsia="zh-CN"/>
              </w:rPr>
              <w:t>。</w:t>
            </w:r>
          </w:p>
          <w:p w14:paraId="42EC0E0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6. </w:t>
            </w:r>
            <w:r>
              <w:rPr>
                <w:rFonts w:hint="eastAsia"/>
                <w:color w:val="auto"/>
                <w:highlight w:val="none"/>
                <w:vertAlign w:val="baseline"/>
              </w:rPr>
              <w:t>用氮气做制冷系统压力试验，查漏并做处理。</w:t>
            </w:r>
          </w:p>
          <w:p w14:paraId="0D9E35C4">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7. </w:t>
            </w:r>
            <w:r>
              <w:rPr>
                <w:rFonts w:hint="eastAsia"/>
                <w:color w:val="auto"/>
                <w:highlight w:val="none"/>
                <w:vertAlign w:val="baseline"/>
              </w:rPr>
              <w:t>检查压缩机用熔丝（或空气开关）、接触器，校验绕组阻值。</w:t>
            </w:r>
          </w:p>
          <w:p w14:paraId="33A19F0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8. </w:t>
            </w:r>
            <w:r>
              <w:rPr>
                <w:rFonts w:hint="eastAsia"/>
                <w:color w:val="auto"/>
                <w:highlight w:val="none"/>
                <w:vertAlign w:val="baseline"/>
              </w:rPr>
              <w:t>检查电磁阀，调速器和温度控制器。</w:t>
            </w:r>
          </w:p>
          <w:p w14:paraId="6940ED6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9. </w:t>
            </w:r>
            <w:r>
              <w:rPr>
                <w:rFonts w:hint="eastAsia"/>
                <w:color w:val="auto"/>
                <w:highlight w:val="none"/>
                <w:vertAlign w:val="baseline"/>
              </w:rPr>
              <w:t>校验冷凝器风扇电机绕组阻值，检查电机轴承。</w:t>
            </w:r>
          </w:p>
          <w:p w14:paraId="7481D893">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10. </w:t>
            </w:r>
            <w:r>
              <w:rPr>
                <w:rFonts w:hint="eastAsia"/>
                <w:color w:val="auto"/>
                <w:highlight w:val="none"/>
                <w:vertAlign w:val="baseline"/>
              </w:rPr>
              <w:t>检修加湿系统</w:t>
            </w:r>
            <w:r>
              <w:rPr>
                <w:rFonts w:hint="eastAsia"/>
                <w:color w:val="auto"/>
                <w:highlight w:val="none"/>
                <w:vertAlign w:val="baseline"/>
                <w:lang w:eastAsia="zh-CN"/>
              </w:rPr>
              <w:t>。</w:t>
            </w:r>
          </w:p>
          <w:p w14:paraId="45A7127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11. </w:t>
            </w:r>
            <w:r>
              <w:rPr>
                <w:rFonts w:hint="eastAsia"/>
                <w:color w:val="auto"/>
                <w:highlight w:val="none"/>
                <w:vertAlign w:val="baseline"/>
              </w:rPr>
              <w:t>检查加湿系统熔丝（或空气开关）、接触器。</w:t>
            </w:r>
          </w:p>
          <w:p w14:paraId="410F2E9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12. </w:t>
            </w:r>
            <w:r>
              <w:rPr>
                <w:rFonts w:hint="eastAsia"/>
                <w:color w:val="auto"/>
                <w:highlight w:val="none"/>
                <w:vertAlign w:val="baseline"/>
              </w:rPr>
              <w:t>检查上水电磁阀，过温保护。</w:t>
            </w:r>
          </w:p>
          <w:p w14:paraId="19991F93">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13. </w:t>
            </w:r>
            <w:r>
              <w:rPr>
                <w:rFonts w:hint="eastAsia"/>
                <w:color w:val="auto"/>
                <w:highlight w:val="none"/>
                <w:vertAlign w:val="baseline"/>
              </w:rPr>
              <w:t xml:space="preserve">清理加湿水盘和机内给/排水管路。   </w:t>
            </w:r>
          </w:p>
          <w:p w14:paraId="47C2DC19">
            <w:pPr>
              <w:widowControl w:val="0"/>
              <w:numPr>
                <w:ilvl w:val="0"/>
                <w:numId w:val="0"/>
              </w:numPr>
              <w:jc w:val="both"/>
              <w:rPr>
                <w:rFonts w:hint="eastAsia"/>
                <w:color w:val="auto"/>
                <w:highlight w:val="none"/>
                <w:vertAlign w:val="baseline"/>
              </w:rPr>
            </w:pPr>
            <w:r>
              <w:rPr>
                <w:rFonts w:hint="eastAsia"/>
                <w:color w:val="auto"/>
                <w:highlight w:val="none"/>
                <w:vertAlign w:val="baseline"/>
              </w:rPr>
              <w:t>在上述检修过程中，对已损坏的器件予以更换。</w:t>
            </w:r>
          </w:p>
          <w:p w14:paraId="146AFD35">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5）、维修操作</w:t>
            </w:r>
          </w:p>
          <w:p w14:paraId="2F4ABD38">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油加温预热</w:t>
            </w:r>
          </w:p>
          <w:p w14:paraId="3827D15E">
            <w:pPr>
              <w:widowControl w:val="0"/>
              <w:numPr>
                <w:ilvl w:val="0"/>
                <w:numId w:val="0"/>
              </w:numPr>
              <w:jc w:val="both"/>
              <w:rPr>
                <w:rFonts w:hint="eastAsia"/>
                <w:color w:val="auto"/>
                <w:highlight w:val="none"/>
                <w:vertAlign w:val="baseline"/>
              </w:rPr>
            </w:pPr>
            <w:r>
              <w:rPr>
                <w:rFonts w:hint="eastAsia"/>
                <w:color w:val="auto"/>
                <w:highlight w:val="none"/>
                <w:vertAlign w:val="baseline"/>
              </w:rPr>
              <w:t>室内外机连接线确认接线正确无误。接通电源对压缩机油加温进行预热（冬季预热最少时间2个小时）。</w:t>
            </w:r>
          </w:p>
          <w:p w14:paraId="1DDA5831">
            <w:pPr>
              <w:widowControl w:val="0"/>
              <w:numPr>
                <w:ilvl w:val="0"/>
                <w:numId w:val="0"/>
              </w:numPr>
              <w:jc w:val="both"/>
              <w:rPr>
                <w:rFonts w:hint="eastAsia"/>
                <w:color w:val="auto"/>
                <w:highlight w:val="none"/>
                <w:vertAlign w:val="baseline"/>
              </w:rPr>
            </w:pPr>
            <w:r>
              <w:rPr>
                <w:rFonts w:hint="eastAsia"/>
                <w:color w:val="auto"/>
                <w:highlight w:val="none"/>
                <w:vertAlign w:val="baseline"/>
              </w:rPr>
              <w:t>方法：打开压缩机1、2号制冷空气开关即可抽真空排出制冷系统内氮气后，用双头压力表连接室内机制冷系统高低压针阀，打开真空泵确认有空气吸入，拧紧加液管，开启双头表高低压阀门抽真空20分钟以上达－1Mpa停止真空泵运转。407c制冷系统和管路比较长的系统，抽真空时间应在30分钟以上。</w:t>
            </w:r>
          </w:p>
          <w:p w14:paraId="6FD0F89F">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补加冷冻油</w:t>
            </w:r>
          </w:p>
          <w:p w14:paraId="6EB7FE31">
            <w:pPr>
              <w:widowControl w:val="0"/>
              <w:numPr>
                <w:ilvl w:val="0"/>
                <w:numId w:val="0"/>
              </w:numPr>
              <w:jc w:val="both"/>
              <w:rPr>
                <w:rFonts w:hint="eastAsia"/>
                <w:color w:val="auto"/>
                <w:highlight w:val="none"/>
                <w:vertAlign w:val="baseline"/>
              </w:rPr>
            </w:pPr>
            <w:r>
              <w:rPr>
                <w:rFonts w:hint="eastAsia"/>
                <w:color w:val="auto"/>
                <w:highlight w:val="none"/>
                <w:vertAlign w:val="baseline"/>
              </w:rPr>
              <w:t>如果制冷系统管路超出25米以上必须补加冷冻油（每超出1米约补加3毫升冷冻油）。</w:t>
            </w:r>
          </w:p>
          <w:p w14:paraId="21F6A0C7">
            <w:pPr>
              <w:widowControl w:val="0"/>
              <w:numPr>
                <w:ilvl w:val="0"/>
                <w:numId w:val="0"/>
              </w:numPr>
              <w:jc w:val="both"/>
              <w:rPr>
                <w:rFonts w:hint="eastAsia"/>
                <w:color w:val="auto"/>
                <w:highlight w:val="none"/>
                <w:vertAlign w:val="baseline"/>
              </w:rPr>
            </w:pPr>
            <w:r>
              <w:rPr>
                <w:rFonts w:hint="eastAsia"/>
                <w:color w:val="auto"/>
                <w:highlight w:val="none"/>
                <w:vertAlign w:val="baseline"/>
              </w:rPr>
              <w:t>方法：液管连接真空泵抽真空时，从汽管补加冷冻油。</w:t>
            </w:r>
          </w:p>
          <w:p w14:paraId="59620DC5">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低压报警试验</w:t>
            </w:r>
          </w:p>
          <w:p w14:paraId="1AF54312">
            <w:pPr>
              <w:widowControl w:val="0"/>
              <w:numPr>
                <w:ilvl w:val="0"/>
                <w:numId w:val="0"/>
              </w:numPr>
              <w:jc w:val="both"/>
              <w:rPr>
                <w:rFonts w:hint="eastAsia"/>
                <w:color w:val="auto"/>
                <w:highlight w:val="none"/>
                <w:vertAlign w:val="baseline"/>
              </w:rPr>
            </w:pPr>
            <w:r>
              <w:rPr>
                <w:rFonts w:hint="eastAsia"/>
                <w:color w:val="auto"/>
                <w:highlight w:val="none"/>
                <w:vertAlign w:val="baseline"/>
              </w:rPr>
              <w:t>抽空的同时，并打开24V主控制空气开关。（其它主电源空气开关不用打开，测试压缩机低压开关通断是否正常）手动开启压缩机1号机，压缩机1号交流接触器吸合后，低压开关低于1kg应报《压缩机1低压告警》并复位。（2号压缩机测试方法同上）如果没有报警出现，检查低压顶针阀是否顶开或有顶偏现象。</w:t>
            </w:r>
          </w:p>
          <w:p w14:paraId="02B5E057">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相位测试</w:t>
            </w:r>
          </w:p>
          <w:p w14:paraId="37F46AFD">
            <w:pPr>
              <w:widowControl w:val="0"/>
              <w:numPr>
                <w:ilvl w:val="0"/>
                <w:numId w:val="0"/>
              </w:numPr>
              <w:jc w:val="both"/>
              <w:rPr>
                <w:rFonts w:hint="eastAsia"/>
                <w:color w:val="auto"/>
                <w:highlight w:val="none"/>
                <w:vertAlign w:val="baseline"/>
              </w:rPr>
            </w:pPr>
            <w:r>
              <w:rPr>
                <w:rFonts w:hint="default"/>
                <w:color w:val="auto"/>
                <w:highlight w:val="none"/>
                <w:vertAlign w:val="baseline"/>
              </w:rPr>
              <w:t>（1）</w:t>
            </w:r>
            <w:r>
              <w:rPr>
                <w:rFonts w:hint="eastAsia"/>
                <w:color w:val="auto"/>
                <w:highlight w:val="none"/>
                <w:vertAlign w:val="baseline"/>
              </w:rPr>
              <w:t>抽空完毕后设备静态时可先补加一部分液态氟利昂，压力稳定后开始开机调试。压缩机初次运行必须判断相位是否正常。可以根据高低压。压力工作情况测得，正常时高压表不断升高，低压下降。反之高低压，压力有轻微摆动且压缩机声音异常。（2）JOV变频系列压缩机的相位调整应在变频器输出端做任意两相对调，输入端做相位调整不能改变其相序。室内风机电机相位试验方法同压缩机基本相同。反相位电机声音异常，回风处无明显吸力。</w:t>
            </w:r>
          </w:p>
          <w:p w14:paraId="5C7BCD16">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加注氟利昂</w:t>
            </w:r>
          </w:p>
          <w:p w14:paraId="18C40CF9">
            <w:pPr>
              <w:widowControl w:val="0"/>
              <w:numPr>
                <w:ilvl w:val="0"/>
                <w:numId w:val="0"/>
              </w:numPr>
              <w:jc w:val="both"/>
              <w:rPr>
                <w:rFonts w:hint="eastAsia"/>
                <w:color w:val="auto"/>
                <w:highlight w:val="none"/>
                <w:vertAlign w:val="baseline"/>
              </w:rPr>
            </w:pPr>
            <w:r>
              <w:rPr>
                <w:rFonts w:hint="eastAsia"/>
                <w:color w:val="auto"/>
                <w:highlight w:val="none"/>
                <w:vertAlign w:val="baseline"/>
              </w:rPr>
              <w:t>制冷剂的充注方法可采用以下两种：</w:t>
            </w:r>
          </w:p>
          <w:p w14:paraId="52D751CA">
            <w:pPr>
              <w:widowControl w:val="0"/>
              <w:numPr>
                <w:ilvl w:val="0"/>
                <w:numId w:val="0"/>
              </w:numPr>
              <w:jc w:val="both"/>
              <w:rPr>
                <w:rFonts w:hint="eastAsia"/>
                <w:color w:val="auto"/>
                <w:highlight w:val="none"/>
                <w:vertAlign w:val="baseline"/>
              </w:rPr>
            </w:pPr>
            <w:r>
              <w:rPr>
                <w:rFonts w:hint="eastAsia"/>
                <w:color w:val="auto"/>
                <w:highlight w:val="none"/>
                <w:vertAlign w:val="baseline"/>
              </w:rPr>
              <w:t>低压开机加液：抽真空结束或需要补充制冷剂时，将制冷剂瓶通过压力表三通阀的加液管与系统低压工艺口连接。事先排出加液管内的空气，再将钢瓶倒置，开启压缩机，同时打开钢瓶阀，开启度不易过大（因这时所加的制冷剂是液态的），同时注意压力表指示在0.3－0.5Mpa时停止加液，观察制冷效果。</w:t>
            </w:r>
          </w:p>
          <w:p w14:paraId="0AB267D2">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静态平衡加液：这种方法要求停机加注制冷剂。系统平衡压力应为0.8－0.9Mpa时。</w:t>
            </w:r>
          </w:p>
          <w:p w14:paraId="59506DCA">
            <w:pPr>
              <w:widowControl w:val="0"/>
              <w:numPr>
                <w:ilvl w:val="0"/>
                <w:numId w:val="0"/>
              </w:numPr>
              <w:jc w:val="both"/>
              <w:rPr>
                <w:rFonts w:hint="eastAsia"/>
                <w:color w:val="auto"/>
                <w:highlight w:val="none"/>
                <w:vertAlign w:val="baseline"/>
              </w:rPr>
            </w:pPr>
            <w:r>
              <w:rPr>
                <w:rFonts w:hint="eastAsia"/>
                <w:color w:val="auto"/>
                <w:highlight w:val="none"/>
                <w:vertAlign w:val="baseline"/>
              </w:rPr>
              <w:t>氟利昂充注量可根据连接管道长短估算补充。加氟时，不要急于求成，要少量、多次加入。每加一定量后要观察10分钟，再根据回气压力和运转电流做相应的调整，切勿匆匆忙忙加完液，再匆匆忙忙测一下压缩机电流值，一看差不多便认为可以了。不可出现已加液过量，运行时间一常，便出报警的情况。加氟量遵循宁少勿多的原则。</w:t>
            </w:r>
          </w:p>
          <w:p w14:paraId="1F5FD6D8">
            <w:pPr>
              <w:widowControl w:val="0"/>
              <w:numPr>
                <w:ilvl w:val="0"/>
                <w:numId w:val="0"/>
              </w:numPr>
              <w:jc w:val="both"/>
              <w:rPr>
                <w:rFonts w:hint="eastAsia"/>
                <w:color w:val="auto"/>
                <w:highlight w:val="none"/>
                <w:vertAlign w:val="baseline"/>
              </w:rPr>
            </w:pPr>
            <w:r>
              <w:rPr>
                <w:rFonts w:hint="eastAsia"/>
                <w:color w:val="auto"/>
                <w:highlight w:val="none"/>
                <w:vertAlign w:val="baseline"/>
              </w:rPr>
              <w:t>JOV系列加氟时钳形电流表钳在变频器的输出端，观察电流变化。手动开机把除湿开度2设为130％即设为最大。观察此时电流值的变化。实测数据仅供参考（JOV13机型电流一般在7～9A左右。JOV18机型电流10～12A ，JOV20机型电流11～13A）如果此时电流超过变频器的输出最大电流。把室外机压控（KP5）压力启动值调到16KG。观察电流是否下降。假如此时电流在正常范围。除湿开度2再设回出厂设定的范围。除湿开度1可根据除湿能力稍作修正。</w:t>
            </w:r>
          </w:p>
          <w:p w14:paraId="1D35C620">
            <w:pPr>
              <w:widowControl w:val="0"/>
              <w:numPr>
                <w:ilvl w:val="0"/>
                <w:numId w:val="0"/>
              </w:numPr>
              <w:jc w:val="both"/>
              <w:rPr>
                <w:rFonts w:hint="default"/>
                <w:color w:val="auto"/>
                <w:highlight w:val="none"/>
                <w:vertAlign w:val="baseline"/>
              </w:rPr>
            </w:pPr>
            <w:r>
              <w:rPr>
                <w:rFonts w:hint="eastAsia"/>
                <w:color w:val="auto"/>
                <w:highlight w:val="none"/>
                <w:vertAlign w:val="baseline"/>
              </w:rPr>
              <w:t>充注制冷剂要掌握加液的速度，切忌过量，轻度的过量会引起制冷量下降。严重的过量会导致压缩机损坏，由于过多的液体制冷剂进入蒸发器而未能全部气化，被制冷压缩机低压吸入，压缩机机身就会出现结露和结霜现象，此时加入膨胀阀开度过大严重时会产生液击事故。压缩机的电流随之增大，启动困难</w:t>
            </w:r>
            <w:r>
              <w:rPr>
                <w:rFonts w:hint="default"/>
                <w:color w:val="auto"/>
                <w:highlight w:val="none"/>
                <w:vertAlign w:val="baseline"/>
              </w:rPr>
              <w:t>。</w:t>
            </w:r>
          </w:p>
          <w:p w14:paraId="1BF0DE50">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除湿方式</w:t>
            </w:r>
          </w:p>
          <w:p w14:paraId="24B6ADCB">
            <w:pPr>
              <w:widowControl w:val="0"/>
              <w:numPr>
                <w:ilvl w:val="0"/>
                <w:numId w:val="0"/>
              </w:numPr>
              <w:jc w:val="both"/>
              <w:rPr>
                <w:rFonts w:hint="eastAsia"/>
                <w:color w:val="auto"/>
                <w:highlight w:val="none"/>
                <w:vertAlign w:val="baseline"/>
              </w:rPr>
            </w:pPr>
            <w:r>
              <w:rPr>
                <w:rFonts w:hint="eastAsia"/>
                <w:color w:val="auto"/>
                <w:highlight w:val="none"/>
                <w:vertAlign w:val="baseline"/>
              </w:rPr>
              <w:t>除湿方式有两种方式：（1）变风量除湿时，是通过调节风机电机风速功率来实现的。制冷时风机高速运转，需要除湿时切换低风速，变风量除湿一般选用单相多速风机电机。（2）在原有蒸发面积上，切断1∕3制冷管路或更多，通过控制电磁阀的通断来实现除湿功能。除湿时低压压力相应降低。JOV系列分两级除湿。</w:t>
            </w:r>
          </w:p>
          <w:p w14:paraId="4043A311">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电加热</w:t>
            </w:r>
          </w:p>
          <w:p w14:paraId="5D4E118A">
            <w:pPr>
              <w:widowControl w:val="0"/>
              <w:numPr>
                <w:ilvl w:val="0"/>
                <w:numId w:val="0"/>
              </w:numPr>
              <w:jc w:val="both"/>
              <w:rPr>
                <w:rFonts w:hint="eastAsia"/>
                <w:color w:val="auto"/>
                <w:highlight w:val="none"/>
                <w:vertAlign w:val="baseline"/>
              </w:rPr>
            </w:pPr>
            <w:r>
              <w:rPr>
                <w:rFonts w:hint="eastAsia"/>
                <w:color w:val="auto"/>
                <w:highlight w:val="none"/>
                <w:vertAlign w:val="baseline"/>
              </w:rPr>
              <w:t>手动打开电加热之前，应检查电加热保护线插片有无脱落和虚接现象。检查控制器菜单电加热级数设置是否正确。（是几级加热就设成几级，如果是一级加热就不能设成二级，否则报电加热过热告警。）手动运行30分钟以上，确保电加热无报警。并测出三相之间电流值，进行对比。三相之间电流值误差最大不应超过1A以上。检查主电源和各支路的各相电压，检查所有接触器的触点是否松动，检测吸合的瞬间电流；对24V控制线路进行检测，保证控制的灵敏度。</w:t>
            </w:r>
          </w:p>
          <w:p w14:paraId="70376B7E">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加湿器</w:t>
            </w:r>
          </w:p>
          <w:p w14:paraId="58D947AE">
            <w:pPr>
              <w:widowControl w:val="0"/>
              <w:numPr>
                <w:ilvl w:val="0"/>
                <w:numId w:val="0"/>
              </w:numPr>
              <w:jc w:val="both"/>
              <w:rPr>
                <w:rFonts w:hint="eastAsia"/>
                <w:color w:val="auto"/>
                <w:highlight w:val="none"/>
                <w:vertAlign w:val="baseline"/>
              </w:rPr>
            </w:pPr>
            <w:r>
              <w:rPr>
                <w:rFonts w:hint="eastAsia"/>
                <w:color w:val="auto"/>
                <w:highlight w:val="none"/>
                <w:vertAlign w:val="baseline"/>
              </w:rPr>
              <w:t>检查加湿器进水管应无渗水现象，并判断水压是否过高或过低。应保证进水通畅且上水速度平衡。根据加湿桶大小桶之分,设定&lt;加湿器类型&gt;（大桶设置93H，小桶设置53H）。进入控制器&lt;功能配置&gt;菜单,设置&lt;蒸汽输出量&gt;。进入《模块检修菜单》手动开启加湿器，监视《模块检修菜单》下页中&lt;加湿器电流&gt;显示值与电流表实测电流值进行对比。如果&lt;加湿器电流&gt;项无电流显示，则加湿检测模块损坏或加湿模块针脚虚焊。显示电流值过小或者过大应考虑当地水质等因素。</w:t>
            </w:r>
          </w:p>
          <w:p w14:paraId="247CF2E6">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6）、参数设置</w:t>
            </w:r>
          </w:p>
          <w:p w14:paraId="24EA7D5B">
            <w:pPr>
              <w:widowControl w:val="0"/>
              <w:numPr>
                <w:ilvl w:val="0"/>
                <w:numId w:val="0"/>
              </w:numPr>
              <w:jc w:val="both"/>
              <w:rPr>
                <w:rFonts w:hint="eastAsia"/>
                <w:color w:val="auto"/>
                <w:highlight w:val="none"/>
                <w:vertAlign w:val="baseline"/>
              </w:rPr>
            </w:pPr>
            <w:r>
              <w:rPr>
                <w:rFonts w:hint="eastAsia"/>
                <w:color w:val="auto"/>
                <w:highlight w:val="none"/>
                <w:vertAlign w:val="baseline"/>
              </w:rPr>
              <w:t>每单项试验结束后，按用户要求参数设置温湿度，并开机自动运行。运行期间注意观察压缩机有无异常声音，机身表面正常时比常温稍高，不应整体凝露或者结霜。检查设备送风口有无喷水或整机是否有漏水现象。</w:t>
            </w:r>
          </w:p>
          <w:p w14:paraId="4E8BD38C">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调整膨胀阀</w:t>
            </w:r>
          </w:p>
          <w:p w14:paraId="1DE9162D">
            <w:pPr>
              <w:widowControl w:val="0"/>
              <w:numPr>
                <w:ilvl w:val="0"/>
                <w:numId w:val="0"/>
              </w:numPr>
              <w:jc w:val="both"/>
              <w:rPr>
                <w:rFonts w:hint="eastAsia"/>
                <w:color w:val="auto"/>
                <w:highlight w:val="none"/>
                <w:vertAlign w:val="baseline"/>
              </w:rPr>
            </w:pPr>
            <w:r>
              <w:rPr>
                <w:rFonts w:hint="eastAsia"/>
                <w:color w:val="auto"/>
                <w:highlight w:val="none"/>
                <w:vertAlign w:val="baseline"/>
              </w:rPr>
              <w:t>热力膨胀阀以蒸发器出口处温度为控制信号。通过感温包，将此信号转换成感温包内蒸气的压力，进而控制膨胀阀的开度。制冷剂量不足调大膨胀阀的开度，低压增大高压降低。膨胀阀开度关小，低压下降高压上升。对于膨胀阀的调整。每调整一次（1/4圈）需要观察5分钟左右，注意高低压表的变化，电流值的波动，以及压缩机壳体的表面温度，等到系统稳定后再作调整。</w:t>
            </w:r>
          </w:p>
          <w:p w14:paraId="61177B54">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7）、精度参数设置</w:t>
            </w:r>
          </w:p>
          <w:p w14:paraId="27DBA94D">
            <w:pPr>
              <w:widowControl w:val="0"/>
              <w:numPr>
                <w:ilvl w:val="0"/>
                <w:numId w:val="0"/>
              </w:numPr>
              <w:jc w:val="both"/>
              <w:rPr>
                <w:rFonts w:hint="eastAsia"/>
                <w:color w:val="auto"/>
                <w:highlight w:val="none"/>
                <w:vertAlign w:val="baseline"/>
              </w:rPr>
            </w:pPr>
            <w:r>
              <w:rPr>
                <w:rFonts w:hint="eastAsia"/>
                <w:color w:val="auto"/>
                <w:highlight w:val="none"/>
                <w:vertAlign w:val="baseline"/>
              </w:rPr>
              <w:t>对于精度要求较高的实验室，《温湿度设置》项里的参数设定尤为重要。因为没有一个标准值，对各个项目的参数设置就决定了，这台设备的精度是否能达到要求。比如启动点和结束点设置范围太大，就会达不到温湿度要求，设置范围太窄变化太快也会超出范围。每修改一次单项参数，都要留心观察其它项目的设置是否合理。修改后的值，对其它参数项影响有多大，并通过不断修正使其在一个相对平稳的基础上运行。即使运行稳定后的参数，不一定适合所有的实验室使用，但是仍然有参考价值。</w:t>
            </w:r>
          </w:p>
          <w:p w14:paraId="576B26ED">
            <w:pPr>
              <w:widowControl w:val="0"/>
              <w:numPr>
                <w:ilvl w:val="0"/>
                <w:numId w:val="0"/>
              </w:numPr>
              <w:jc w:val="both"/>
              <w:rPr>
                <w:rFonts w:hint="eastAsia"/>
                <w:color w:val="auto"/>
                <w:highlight w:val="none"/>
                <w:vertAlign w:val="baseline"/>
              </w:rPr>
            </w:pPr>
            <w:r>
              <w:rPr>
                <w:rFonts w:hint="eastAsia"/>
                <w:b/>
                <w:bCs/>
                <w:color w:val="auto"/>
                <w:highlight w:val="none"/>
                <w:vertAlign w:val="baseline"/>
              </w:rPr>
              <w:t>8）</w:t>
            </w:r>
            <w:r>
              <w:rPr>
                <w:rFonts w:hint="eastAsia"/>
                <w:color w:val="auto"/>
                <w:highlight w:val="none"/>
                <w:vertAlign w:val="baseline"/>
              </w:rPr>
              <w:t>投标人需提供目前在用的恒温恒湿空调生产厂家的《精确控制温湿度的恒温恒湿空调》的发明专利证书（非实用新型专利证书）复印件加盖制造商公章。</w:t>
            </w:r>
          </w:p>
          <w:p w14:paraId="2B537F72">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投标人需提供目前在用的恒温恒湿空调生产厂家的《专用空调控制器嵌入式软件》的软件著作权登记证书，名称带有《专用空调变频控制器软件》软件著作权登记证书复印件加盖制造商公章。</w:t>
            </w:r>
          </w:p>
          <w:p w14:paraId="2712B0FC">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投标人需提供目前在用的恒温恒湿空调、水幕除尘机组制造商针对本项目核心设备配件的授权书及售后服务承诺书，承诺厂家售后服务工程师提供上门服务。</w:t>
            </w:r>
          </w:p>
          <w:p w14:paraId="1401D5D4">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（二）水幕除尘系统设备</w:t>
            </w:r>
          </w:p>
          <w:p w14:paraId="3A1B94D2">
            <w:pPr>
              <w:widowControl w:val="0"/>
              <w:numPr>
                <w:ilvl w:val="0"/>
                <w:numId w:val="0"/>
              </w:numPr>
              <w:jc w:val="both"/>
              <w:rPr>
                <w:rFonts w:hint="eastAsia"/>
                <w:color w:val="auto"/>
                <w:highlight w:val="none"/>
                <w:vertAlign w:val="baseline"/>
              </w:rPr>
            </w:pPr>
            <w:r>
              <w:rPr>
                <w:rFonts w:hint="eastAsia"/>
                <w:color w:val="auto"/>
                <w:highlight w:val="none"/>
                <w:vertAlign w:val="baseline"/>
              </w:rPr>
              <w:t>1、维修服务：设备出现较大故障 12 小时内排除、一般性故障 2 小时内排除，不得影响检验工作。</w:t>
            </w:r>
          </w:p>
          <w:p w14:paraId="3E38BD76">
            <w:pPr>
              <w:widowControl w:val="0"/>
              <w:numPr>
                <w:ilvl w:val="0"/>
                <w:numId w:val="0"/>
              </w:numPr>
              <w:jc w:val="both"/>
              <w:rPr>
                <w:rFonts w:hint="eastAsia"/>
                <w:color w:val="auto"/>
                <w:highlight w:val="none"/>
                <w:vertAlign w:val="baseline"/>
              </w:rPr>
            </w:pPr>
            <w:r>
              <w:rPr>
                <w:rFonts w:hint="eastAsia"/>
                <w:color w:val="auto"/>
                <w:highlight w:val="none"/>
                <w:vertAlign w:val="baseline"/>
              </w:rPr>
              <w:t>2、开检前进行全面维护保养，检查机组运行状况，记录报警内容并对报警内容进行分析消除隐患；</w:t>
            </w:r>
          </w:p>
          <w:p w14:paraId="10193CA1">
            <w:pPr>
              <w:widowControl w:val="0"/>
              <w:numPr>
                <w:ilvl w:val="0"/>
                <w:numId w:val="0"/>
              </w:numPr>
              <w:jc w:val="both"/>
              <w:rPr>
                <w:rFonts w:hint="eastAsia"/>
                <w:color w:val="auto"/>
                <w:highlight w:val="none"/>
                <w:vertAlign w:val="baseline"/>
              </w:rPr>
            </w:pPr>
            <w:r>
              <w:rPr>
                <w:rFonts w:hint="eastAsia"/>
                <w:color w:val="auto"/>
                <w:highlight w:val="none"/>
                <w:vertAlign w:val="baseline"/>
              </w:rPr>
              <w:t>实验室水幕除尘系统内部运行的全项包含：</w:t>
            </w:r>
          </w:p>
          <w:p w14:paraId="25DD6CAC">
            <w:pPr>
              <w:widowControl w:val="0"/>
              <w:numPr>
                <w:ilvl w:val="0"/>
                <w:numId w:val="0"/>
              </w:numPr>
              <w:jc w:val="both"/>
              <w:rPr>
                <w:rFonts w:hint="eastAsia"/>
                <w:color w:val="auto"/>
                <w:highlight w:val="none"/>
                <w:vertAlign w:val="baseline"/>
              </w:rPr>
            </w:pPr>
            <w:r>
              <w:rPr>
                <w:rFonts w:hint="eastAsia"/>
                <w:color w:val="auto"/>
                <w:highlight w:val="none"/>
                <w:vertAlign w:val="baseline"/>
              </w:rPr>
              <w:t>1）、水幕除尘系统内部风机、水阀、水泵、湿膜、滤网的检查维护；</w:t>
            </w:r>
          </w:p>
          <w:p w14:paraId="41E827E6">
            <w:pPr>
              <w:widowControl w:val="0"/>
              <w:numPr>
                <w:ilvl w:val="0"/>
                <w:numId w:val="0"/>
              </w:numPr>
              <w:jc w:val="both"/>
              <w:rPr>
                <w:rFonts w:hint="eastAsia"/>
                <w:color w:val="auto"/>
                <w:highlight w:val="none"/>
                <w:vertAlign w:val="baseline"/>
              </w:rPr>
            </w:pPr>
            <w:r>
              <w:rPr>
                <w:rFonts w:hint="eastAsia"/>
                <w:color w:val="auto"/>
                <w:highlight w:val="none"/>
                <w:vertAlign w:val="baseline"/>
              </w:rPr>
              <w:t>2）、数据传输检查维护；</w:t>
            </w:r>
          </w:p>
          <w:p w14:paraId="61BDFA4B">
            <w:pPr>
              <w:widowControl w:val="0"/>
              <w:numPr>
                <w:ilvl w:val="0"/>
                <w:numId w:val="0"/>
              </w:numPr>
              <w:jc w:val="both"/>
              <w:rPr>
                <w:rFonts w:hint="eastAsia"/>
                <w:color w:val="auto"/>
                <w:highlight w:val="none"/>
                <w:vertAlign w:val="baseline"/>
              </w:rPr>
            </w:pPr>
            <w:r>
              <w:rPr>
                <w:rFonts w:hint="eastAsia"/>
                <w:color w:val="auto"/>
                <w:highlight w:val="none"/>
                <w:vertAlign w:val="baseline"/>
              </w:rPr>
              <w:t>3）变频器的检查维护；</w:t>
            </w:r>
          </w:p>
          <w:p w14:paraId="7D63B0A1">
            <w:pPr>
              <w:widowControl w:val="0"/>
              <w:numPr>
                <w:ilvl w:val="0"/>
                <w:numId w:val="0"/>
              </w:numPr>
              <w:jc w:val="both"/>
              <w:rPr>
                <w:rFonts w:hint="eastAsia"/>
                <w:color w:val="auto"/>
                <w:highlight w:val="none"/>
                <w:vertAlign w:val="baseline"/>
              </w:rPr>
            </w:pPr>
            <w:r>
              <w:rPr>
                <w:rFonts w:hint="eastAsia"/>
                <w:color w:val="auto"/>
                <w:highlight w:val="none"/>
                <w:vertAlign w:val="baseline"/>
              </w:rPr>
              <w:t>4）水幕除尘系统上水、排水的检查维护等。</w:t>
            </w:r>
          </w:p>
          <w:p w14:paraId="6D16A20E">
            <w:pPr>
              <w:widowControl w:val="0"/>
              <w:numPr>
                <w:ilvl w:val="0"/>
                <w:numId w:val="0"/>
              </w:numPr>
              <w:jc w:val="both"/>
              <w:rPr>
                <w:rFonts w:hint="eastAsia"/>
                <w:color w:val="auto"/>
                <w:highlight w:val="none"/>
                <w:vertAlign w:val="baseline"/>
              </w:rPr>
            </w:pPr>
            <w:r>
              <w:rPr>
                <w:rFonts w:hint="eastAsia"/>
                <w:color w:val="auto"/>
                <w:highlight w:val="none"/>
                <w:vertAlign w:val="baseline"/>
              </w:rPr>
              <w:t>公证检验高峰期服务人员需每天不低于二次巡查实验室，确保实验室检验正常运行。</w:t>
            </w:r>
          </w:p>
          <w:p w14:paraId="22E29E26">
            <w:pPr>
              <w:widowControl w:val="0"/>
              <w:numPr>
                <w:ilvl w:val="0"/>
                <w:numId w:val="0"/>
              </w:numPr>
              <w:jc w:val="both"/>
              <w:rPr>
                <w:rFonts w:hint="eastAsia"/>
                <w:color w:val="auto"/>
                <w:highlight w:val="none"/>
                <w:vertAlign w:val="baseline"/>
              </w:rPr>
            </w:pPr>
            <w:r>
              <w:rPr>
                <w:rFonts w:hint="eastAsia"/>
                <w:color w:val="auto"/>
                <w:highlight w:val="none"/>
                <w:vertAlign w:val="baseline"/>
              </w:rPr>
              <w:t>3、检查滤网气流是否通畅：透光目测，看滤材的干净程度，对棉絮进行清除，如有外观的上的损坏，进行更换。</w:t>
            </w:r>
          </w:p>
          <w:p w14:paraId="490ECCE2">
            <w:pPr>
              <w:widowControl w:val="0"/>
              <w:numPr>
                <w:ilvl w:val="0"/>
                <w:numId w:val="0"/>
              </w:numPr>
              <w:jc w:val="both"/>
              <w:rPr>
                <w:rFonts w:hint="eastAsia"/>
                <w:color w:val="auto"/>
                <w:highlight w:val="none"/>
                <w:vertAlign w:val="baseline"/>
              </w:rPr>
            </w:pPr>
            <w:r>
              <w:rPr>
                <w:rFonts w:hint="eastAsia"/>
                <w:color w:val="auto"/>
                <w:highlight w:val="none"/>
                <w:vertAlign w:val="baseline"/>
              </w:rPr>
              <w:t>4、检查风压开关、风机、电机、水泵、水阀、水循环系统、变频器、电气控制系统等内容。</w:t>
            </w:r>
          </w:p>
          <w:p w14:paraId="65F79AAC">
            <w:pPr>
              <w:widowControl w:val="0"/>
              <w:numPr>
                <w:ilvl w:val="0"/>
                <w:numId w:val="0"/>
              </w:numPr>
              <w:jc w:val="both"/>
              <w:rPr>
                <w:rFonts w:hint="eastAsia"/>
                <w:color w:val="auto"/>
                <w:highlight w:val="none"/>
                <w:vertAlign w:val="baseline"/>
              </w:rPr>
            </w:pPr>
            <w:r>
              <w:rPr>
                <w:rFonts w:hint="eastAsia"/>
                <w:color w:val="auto"/>
                <w:highlight w:val="none"/>
                <w:vertAlign w:val="baseline"/>
              </w:rPr>
              <w:t>5、停检期对HVI 检验间、平衡间水幕除尘的湿膜进行更换。</w:t>
            </w:r>
          </w:p>
          <w:p w14:paraId="0768FAED">
            <w:pPr>
              <w:widowControl w:val="0"/>
              <w:numPr>
                <w:ilvl w:val="0"/>
                <w:numId w:val="0"/>
              </w:numPr>
              <w:jc w:val="both"/>
              <w:rPr>
                <w:rFonts w:hint="eastAsia"/>
                <w:color w:val="auto"/>
                <w:highlight w:val="none"/>
                <w:vertAlign w:val="baseline"/>
              </w:rPr>
            </w:pPr>
            <w:r>
              <w:rPr>
                <w:rFonts w:hint="eastAsia"/>
                <w:color w:val="auto"/>
                <w:highlight w:val="none"/>
                <w:vertAlign w:val="baseline"/>
              </w:rPr>
              <w:t>6、停检期对HVI 检验间、平衡间水幕除尘的水泵进行拆卸检修清理。</w:t>
            </w:r>
          </w:p>
          <w:p w14:paraId="690DB628">
            <w:pPr>
              <w:widowControl w:val="0"/>
              <w:numPr>
                <w:ilvl w:val="0"/>
                <w:numId w:val="0"/>
              </w:numPr>
              <w:jc w:val="both"/>
              <w:rPr>
                <w:rFonts w:hint="eastAsia"/>
                <w:color w:val="auto"/>
                <w:highlight w:val="none"/>
                <w:vertAlign w:val="baseline"/>
              </w:rPr>
            </w:pPr>
            <w:r>
              <w:rPr>
                <w:rFonts w:hint="eastAsia"/>
                <w:color w:val="auto"/>
                <w:highlight w:val="none"/>
                <w:vertAlign w:val="baseline"/>
              </w:rPr>
              <w:t>7、开检前对目前在用的水幕除尘机组 PLC 控制系统进行更新优化。为保证对水幕除尘机组 PLC 控制系统的更新优化，投标人需提供水幕除尘机组生产厂家的《智能水幕除尘控制器软件》的软件著作权登记证书复印件加盖制造商公章。</w:t>
            </w:r>
          </w:p>
          <w:p w14:paraId="7FE42B1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（三）直膨组合式洁净空调维保</w:t>
            </w:r>
          </w:p>
          <w:p w14:paraId="0FD7BCB0">
            <w:pPr>
              <w:widowControl w:val="0"/>
              <w:numPr>
                <w:ilvl w:val="0"/>
                <w:numId w:val="0"/>
              </w:numPr>
              <w:jc w:val="both"/>
              <w:rPr>
                <w:rFonts w:hint="eastAsia"/>
                <w:color w:val="auto"/>
                <w:highlight w:val="none"/>
                <w:vertAlign w:val="baseline"/>
              </w:rPr>
            </w:pPr>
            <w:r>
              <w:rPr>
                <w:rFonts w:hint="eastAsia"/>
                <w:color w:val="auto"/>
                <w:highlight w:val="none"/>
                <w:vertAlign w:val="baseline"/>
              </w:rPr>
              <w:t>1、电源电压检修</w:t>
            </w:r>
          </w:p>
          <w:p w14:paraId="3D7EF902">
            <w:pPr>
              <w:widowControl w:val="0"/>
              <w:numPr>
                <w:ilvl w:val="0"/>
                <w:numId w:val="0"/>
              </w:numPr>
              <w:jc w:val="both"/>
              <w:rPr>
                <w:rFonts w:hint="eastAsia"/>
                <w:color w:val="auto"/>
                <w:highlight w:val="none"/>
                <w:vertAlign w:val="baseline"/>
              </w:rPr>
            </w:pPr>
            <w:r>
              <w:rPr>
                <w:rFonts w:hint="eastAsia"/>
                <w:color w:val="auto"/>
                <w:highlight w:val="none"/>
                <w:vertAlign w:val="baseline"/>
              </w:rPr>
              <w:t>1.1检查电源电压。</w:t>
            </w:r>
          </w:p>
          <w:p w14:paraId="1F2B5B0A">
            <w:pPr>
              <w:widowControl w:val="0"/>
              <w:numPr>
                <w:ilvl w:val="0"/>
                <w:numId w:val="0"/>
              </w:numPr>
              <w:jc w:val="both"/>
              <w:rPr>
                <w:rFonts w:hint="eastAsia"/>
                <w:color w:val="auto"/>
                <w:highlight w:val="none"/>
                <w:vertAlign w:val="baseline"/>
              </w:rPr>
            </w:pPr>
            <w:r>
              <w:rPr>
                <w:rFonts w:hint="eastAsia"/>
                <w:color w:val="auto"/>
                <w:highlight w:val="none"/>
                <w:vertAlign w:val="baseline"/>
              </w:rPr>
              <w:t>2、初、中、高效过滤器检修</w:t>
            </w:r>
          </w:p>
          <w:p w14:paraId="22E3A387">
            <w:pPr>
              <w:widowControl w:val="0"/>
              <w:numPr>
                <w:ilvl w:val="0"/>
                <w:numId w:val="0"/>
              </w:numPr>
              <w:jc w:val="both"/>
              <w:rPr>
                <w:rFonts w:hint="eastAsia"/>
                <w:color w:val="auto"/>
                <w:highlight w:val="none"/>
                <w:vertAlign w:val="baseline"/>
              </w:rPr>
            </w:pPr>
            <w:r>
              <w:rPr>
                <w:rFonts w:hint="eastAsia"/>
                <w:color w:val="auto"/>
                <w:highlight w:val="none"/>
                <w:vertAlign w:val="baseline"/>
              </w:rPr>
              <w:t>2.1初效过滤网检查通透性，更换清理。</w:t>
            </w:r>
          </w:p>
          <w:p w14:paraId="7B41CED8">
            <w:pPr>
              <w:widowControl w:val="0"/>
              <w:numPr>
                <w:ilvl w:val="0"/>
                <w:numId w:val="0"/>
              </w:numPr>
              <w:jc w:val="both"/>
              <w:rPr>
                <w:rFonts w:hint="eastAsia"/>
                <w:color w:val="auto"/>
                <w:highlight w:val="none"/>
                <w:vertAlign w:val="baseline"/>
              </w:rPr>
            </w:pPr>
            <w:r>
              <w:rPr>
                <w:rFonts w:hint="eastAsia"/>
                <w:color w:val="auto"/>
                <w:highlight w:val="none"/>
                <w:vertAlign w:val="baseline"/>
              </w:rPr>
              <w:t>3、制冷压缩机检修</w:t>
            </w:r>
          </w:p>
          <w:p w14:paraId="19C72EB7">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3.1检查压缩机噪音和振动，通过目视耳闻确认跟平时的变化接近于通常压力； </w:t>
            </w:r>
          </w:p>
          <w:p w14:paraId="17832948">
            <w:pPr>
              <w:widowControl w:val="0"/>
              <w:numPr>
                <w:ilvl w:val="0"/>
                <w:numId w:val="0"/>
              </w:numPr>
              <w:jc w:val="both"/>
              <w:rPr>
                <w:rFonts w:hint="eastAsia"/>
                <w:color w:val="auto"/>
                <w:highlight w:val="none"/>
                <w:vertAlign w:val="baseline"/>
              </w:rPr>
            </w:pPr>
            <w:r>
              <w:rPr>
                <w:rFonts w:hint="eastAsia"/>
                <w:color w:val="auto"/>
                <w:highlight w:val="none"/>
                <w:vertAlign w:val="baseline"/>
              </w:rPr>
              <w:t>3.2检测压力及时注冷媒。</w:t>
            </w:r>
          </w:p>
          <w:p w14:paraId="0A7F5E6E">
            <w:pPr>
              <w:widowControl w:val="0"/>
              <w:numPr>
                <w:ilvl w:val="0"/>
                <w:numId w:val="0"/>
              </w:numPr>
              <w:jc w:val="both"/>
              <w:rPr>
                <w:rFonts w:hint="eastAsia"/>
                <w:color w:val="auto"/>
                <w:highlight w:val="none"/>
                <w:vertAlign w:val="baseline"/>
              </w:rPr>
            </w:pPr>
            <w:r>
              <w:rPr>
                <w:rFonts w:hint="eastAsia"/>
                <w:color w:val="auto"/>
                <w:highlight w:val="none"/>
                <w:vertAlign w:val="baseline"/>
              </w:rPr>
              <w:t>4、电加热检修</w:t>
            </w:r>
          </w:p>
          <w:p w14:paraId="68917C2D">
            <w:pPr>
              <w:widowControl w:val="0"/>
              <w:numPr>
                <w:ilvl w:val="0"/>
                <w:numId w:val="0"/>
              </w:numPr>
              <w:jc w:val="both"/>
              <w:rPr>
                <w:rFonts w:hint="eastAsia"/>
                <w:color w:val="auto"/>
                <w:highlight w:val="none"/>
                <w:vertAlign w:val="baseline"/>
              </w:rPr>
            </w:pPr>
            <w:r>
              <w:rPr>
                <w:rFonts w:hint="eastAsia"/>
                <w:color w:val="auto"/>
                <w:highlight w:val="none"/>
                <w:vertAlign w:val="baseline"/>
              </w:rPr>
              <w:t>4.1调节、更换、清理直至电加热、表冷、其它调节装置等正常运行。</w:t>
            </w:r>
          </w:p>
          <w:p w14:paraId="4D474251">
            <w:pPr>
              <w:widowControl w:val="0"/>
              <w:numPr>
                <w:ilvl w:val="0"/>
                <w:numId w:val="0"/>
              </w:numPr>
              <w:jc w:val="both"/>
              <w:rPr>
                <w:rFonts w:hint="eastAsia"/>
                <w:color w:val="auto"/>
                <w:highlight w:val="none"/>
                <w:vertAlign w:val="baseline"/>
              </w:rPr>
            </w:pPr>
            <w:r>
              <w:rPr>
                <w:rFonts w:hint="eastAsia"/>
                <w:color w:val="auto"/>
                <w:highlight w:val="none"/>
                <w:vertAlign w:val="baseline"/>
              </w:rPr>
              <w:t>5、电极加湿罐检修</w:t>
            </w:r>
          </w:p>
          <w:p w14:paraId="04BDB298">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5.1检查加湿罐电极接线: 线鼻固定和氧化程度检修，工作时电线发热量和电流的测量； </w:t>
            </w:r>
          </w:p>
          <w:p w14:paraId="4F23D1D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5.2检查加湿罐控制电路: 控制信号检修，主电路控制元件检修，报警电路及元件检修； </w:t>
            </w:r>
          </w:p>
          <w:p w14:paraId="54C21D6E">
            <w:pPr>
              <w:widowControl w:val="0"/>
              <w:numPr>
                <w:ilvl w:val="0"/>
                <w:numId w:val="0"/>
              </w:numPr>
              <w:jc w:val="both"/>
              <w:rPr>
                <w:rFonts w:hint="eastAsia"/>
                <w:color w:val="auto"/>
                <w:highlight w:val="none"/>
                <w:vertAlign w:val="baseline"/>
              </w:rPr>
            </w:pPr>
            <w:r>
              <w:rPr>
                <w:rFonts w:hint="eastAsia"/>
                <w:color w:val="auto"/>
                <w:highlight w:val="none"/>
                <w:vertAlign w:val="baseline"/>
              </w:rPr>
              <w:t>5.3检查加湿罐上水及排水:过滤器滤芯检修，阀门检修，上水阀，排水阀检修，排水管路通畅的检修。</w:t>
            </w:r>
          </w:p>
          <w:p w14:paraId="2C2BFC8D">
            <w:pPr>
              <w:widowControl w:val="0"/>
              <w:numPr>
                <w:ilvl w:val="0"/>
                <w:numId w:val="0"/>
              </w:numPr>
              <w:jc w:val="both"/>
              <w:rPr>
                <w:rFonts w:hint="eastAsia"/>
                <w:color w:val="auto"/>
                <w:highlight w:val="none"/>
                <w:vertAlign w:val="baseline"/>
              </w:rPr>
            </w:pPr>
            <w:r>
              <w:rPr>
                <w:rFonts w:hint="eastAsia"/>
                <w:color w:val="auto"/>
                <w:highlight w:val="none"/>
                <w:vertAlign w:val="baseline"/>
              </w:rPr>
              <w:t>6、冷凝器检修</w:t>
            </w:r>
          </w:p>
          <w:p w14:paraId="4D2E0AA4">
            <w:pPr>
              <w:widowControl w:val="0"/>
              <w:numPr>
                <w:ilvl w:val="0"/>
                <w:numId w:val="0"/>
              </w:numPr>
              <w:jc w:val="both"/>
              <w:rPr>
                <w:rFonts w:hint="eastAsia"/>
                <w:color w:val="auto"/>
                <w:highlight w:val="none"/>
                <w:vertAlign w:val="baseline"/>
              </w:rPr>
            </w:pPr>
            <w:r>
              <w:rPr>
                <w:rFonts w:hint="eastAsia"/>
                <w:color w:val="auto"/>
                <w:highlight w:val="none"/>
                <w:vertAlign w:val="baseline"/>
              </w:rPr>
              <w:t>6.1检查冷却风扇（2*2）、冷却翅片清扫，运转正常及无杂物堵塞。</w:t>
            </w:r>
          </w:p>
          <w:p w14:paraId="43FE12A6">
            <w:pPr>
              <w:widowControl w:val="0"/>
              <w:numPr>
                <w:ilvl w:val="0"/>
                <w:numId w:val="0"/>
              </w:numPr>
              <w:jc w:val="both"/>
              <w:rPr>
                <w:rFonts w:hint="eastAsia"/>
                <w:color w:val="auto"/>
                <w:highlight w:val="none"/>
                <w:vertAlign w:val="baseline"/>
              </w:rPr>
            </w:pPr>
            <w:r>
              <w:rPr>
                <w:rFonts w:hint="eastAsia"/>
                <w:color w:val="auto"/>
                <w:highlight w:val="none"/>
                <w:vertAlign w:val="baseline"/>
              </w:rPr>
              <w:t>7、控制系统检修</w:t>
            </w:r>
          </w:p>
          <w:p w14:paraId="323800E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7.1使用棉丝擦清扫风扇电机网罩； </w:t>
            </w:r>
          </w:p>
          <w:p w14:paraId="73E304F0">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7.2检查RS485通讯监控接口； </w:t>
            </w:r>
          </w:p>
          <w:p w14:paraId="272A43F5">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7.3安全保护措施是否齐全； </w:t>
            </w:r>
          </w:p>
          <w:p w14:paraId="605DB035">
            <w:pPr>
              <w:widowControl w:val="0"/>
              <w:numPr>
                <w:ilvl w:val="0"/>
                <w:numId w:val="0"/>
              </w:numPr>
              <w:jc w:val="both"/>
              <w:rPr>
                <w:rFonts w:hint="eastAsia"/>
                <w:color w:val="auto"/>
                <w:highlight w:val="none"/>
                <w:vertAlign w:val="baseline"/>
              </w:rPr>
            </w:pPr>
            <w:r>
              <w:rPr>
                <w:rFonts w:hint="eastAsia"/>
                <w:color w:val="auto"/>
                <w:highlight w:val="none"/>
                <w:vertAlign w:val="baseline"/>
              </w:rPr>
              <w:t>7.4检查连接线是否紧固，检查电气是否变色老化。</w:t>
            </w:r>
          </w:p>
          <w:p w14:paraId="23DD7651">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（四）多联机空调维保</w:t>
            </w:r>
          </w:p>
          <w:p w14:paraId="724719EA">
            <w:pPr>
              <w:widowControl w:val="0"/>
              <w:numPr>
                <w:ilvl w:val="0"/>
                <w:numId w:val="0"/>
              </w:numPr>
              <w:jc w:val="both"/>
              <w:rPr>
                <w:rFonts w:hint="eastAsia"/>
                <w:color w:val="auto"/>
                <w:highlight w:val="none"/>
                <w:vertAlign w:val="baseline"/>
              </w:rPr>
            </w:pPr>
            <w:r>
              <w:rPr>
                <w:rFonts w:hint="eastAsia"/>
                <w:color w:val="auto"/>
                <w:highlight w:val="none"/>
                <w:vertAlign w:val="baseline"/>
              </w:rPr>
              <w:t>1、多联机室内机维保</w:t>
            </w:r>
          </w:p>
          <w:p w14:paraId="4B69B805">
            <w:pPr>
              <w:widowControl w:val="0"/>
              <w:numPr>
                <w:ilvl w:val="0"/>
                <w:numId w:val="0"/>
              </w:numPr>
              <w:jc w:val="both"/>
              <w:rPr>
                <w:rFonts w:hint="eastAsia"/>
                <w:color w:val="auto"/>
                <w:highlight w:val="none"/>
                <w:vertAlign w:val="baseline"/>
              </w:rPr>
            </w:pPr>
            <w:r>
              <w:rPr>
                <w:rFonts w:hint="eastAsia"/>
                <w:color w:val="auto"/>
                <w:highlight w:val="none"/>
                <w:vertAlign w:val="baseline"/>
              </w:rPr>
              <w:t>1.1滤网检修</w:t>
            </w:r>
          </w:p>
          <w:p w14:paraId="7B6A33EE">
            <w:pPr>
              <w:widowControl w:val="0"/>
              <w:numPr>
                <w:ilvl w:val="0"/>
                <w:numId w:val="0"/>
              </w:numPr>
              <w:jc w:val="both"/>
              <w:rPr>
                <w:rFonts w:hint="eastAsia"/>
                <w:color w:val="auto"/>
                <w:highlight w:val="none"/>
                <w:vertAlign w:val="baseline"/>
              </w:rPr>
            </w:pPr>
            <w:r>
              <w:rPr>
                <w:rFonts w:hint="eastAsia"/>
                <w:color w:val="auto"/>
                <w:highlight w:val="none"/>
                <w:vertAlign w:val="baseline"/>
              </w:rPr>
              <w:t>清洗滤网，网眼均匀无破损，框架是否变形，接口是否松动。</w:t>
            </w:r>
          </w:p>
          <w:p w14:paraId="788F82FF">
            <w:pPr>
              <w:widowControl w:val="0"/>
              <w:numPr>
                <w:ilvl w:val="0"/>
                <w:numId w:val="0"/>
              </w:numPr>
              <w:jc w:val="both"/>
              <w:rPr>
                <w:rFonts w:hint="eastAsia"/>
                <w:color w:val="auto"/>
                <w:highlight w:val="none"/>
                <w:vertAlign w:val="baseline"/>
              </w:rPr>
            </w:pPr>
            <w:r>
              <w:rPr>
                <w:rFonts w:hint="eastAsia"/>
                <w:color w:val="auto"/>
                <w:highlight w:val="none"/>
                <w:vertAlign w:val="baseline"/>
              </w:rPr>
              <w:t>1.2风机检修</w:t>
            </w:r>
          </w:p>
          <w:p w14:paraId="41E19794">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检查电机紧固是否松动，轴承是否卡涩； </w:t>
            </w:r>
          </w:p>
          <w:p w14:paraId="673DE67E">
            <w:pPr>
              <w:widowControl w:val="0"/>
              <w:numPr>
                <w:ilvl w:val="0"/>
                <w:numId w:val="0"/>
              </w:numPr>
              <w:jc w:val="both"/>
              <w:rPr>
                <w:rFonts w:hint="eastAsia"/>
                <w:color w:val="auto"/>
                <w:highlight w:val="none"/>
                <w:vertAlign w:val="baseline"/>
              </w:rPr>
            </w:pPr>
            <w:r>
              <w:rPr>
                <w:rFonts w:hint="eastAsia"/>
                <w:color w:val="auto"/>
                <w:highlight w:val="none"/>
                <w:vertAlign w:val="baseline"/>
              </w:rPr>
              <w:t>检查扇叶是否有异常振动及松动，运行是否有杂音。</w:t>
            </w:r>
          </w:p>
          <w:p w14:paraId="61E5ABB9">
            <w:pPr>
              <w:widowControl w:val="0"/>
              <w:numPr>
                <w:ilvl w:val="0"/>
                <w:numId w:val="0"/>
              </w:numPr>
              <w:jc w:val="both"/>
              <w:rPr>
                <w:rFonts w:hint="eastAsia"/>
                <w:color w:val="auto"/>
                <w:highlight w:val="none"/>
                <w:vertAlign w:val="baseline"/>
              </w:rPr>
            </w:pPr>
            <w:r>
              <w:rPr>
                <w:rFonts w:hint="eastAsia"/>
                <w:color w:val="auto"/>
                <w:highlight w:val="none"/>
                <w:vertAlign w:val="baseline"/>
              </w:rPr>
              <w:t>1.3蒸发器检修</w:t>
            </w:r>
          </w:p>
          <w:p w14:paraId="07DE7AFF">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检查翅片是否脏堵并清洗； </w:t>
            </w:r>
          </w:p>
          <w:p w14:paraId="65A7E846">
            <w:pPr>
              <w:widowControl w:val="0"/>
              <w:numPr>
                <w:ilvl w:val="0"/>
                <w:numId w:val="0"/>
              </w:numPr>
              <w:jc w:val="both"/>
              <w:rPr>
                <w:rFonts w:hint="eastAsia"/>
                <w:color w:val="auto"/>
                <w:highlight w:val="none"/>
                <w:vertAlign w:val="baseline"/>
              </w:rPr>
            </w:pPr>
            <w:r>
              <w:rPr>
                <w:rFonts w:hint="eastAsia"/>
                <w:color w:val="auto"/>
                <w:highlight w:val="none"/>
                <w:vertAlign w:val="baseline"/>
              </w:rPr>
              <w:t>冷凝水泵运行是否正常控制主板检修。</w:t>
            </w:r>
          </w:p>
          <w:p w14:paraId="1243ABDF">
            <w:pPr>
              <w:widowControl w:val="0"/>
              <w:numPr>
                <w:ilvl w:val="0"/>
                <w:numId w:val="0"/>
              </w:numPr>
              <w:jc w:val="both"/>
              <w:rPr>
                <w:rFonts w:hint="eastAsia"/>
                <w:color w:val="auto"/>
                <w:highlight w:val="none"/>
                <w:vertAlign w:val="baseline"/>
              </w:rPr>
            </w:pPr>
            <w:r>
              <w:rPr>
                <w:rFonts w:hint="eastAsia"/>
                <w:color w:val="auto"/>
                <w:highlight w:val="none"/>
                <w:vertAlign w:val="baseline"/>
              </w:rPr>
              <w:t>1.4控制主板检修</w:t>
            </w:r>
          </w:p>
          <w:p w14:paraId="41DBCAA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检查接线是否牢固，自检正常； </w:t>
            </w:r>
          </w:p>
          <w:p w14:paraId="721C57B1">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检查通讯是否正常； </w:t>
            </w:r>
          </w:p>
          <w:p w14:paraId="08139D4E">
            <w:pPr>
              <w:widowControl w:val="0"/>
              <w:numPr>
                <w:ilvl w:val="0"/>
                <w:numId w:val="0"/>
              </w:numPr>
              <w:jc w:val="both"/>
              <w:rPr>
                <w:rFonts w:hint="eastAsia"/>
                <w:color w:val="auto"/>
                <w:highlight w:val="none"/>
                <w:vertAlign w:val="baseline"/>
              </w:rPr>
            </w:pPr>
            <w:r>
              <w:rPr>
                <w:rFonts w:hint="eastAsia"/>
                <w:color w:val="auto"/>
                <w:highlight w:val="none"/>
                <w:vertAlign w:val="baseline"/>
              </w:rPr>
              <w:t>检查接控接收信号是否良好，检查温度探头位置是否正确，温度是否正常。</w:t>
            </w:r>
          </w:p>
          <w:p w14:paraId="68097CD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（五）高效送风口维保</w:t>
            </w:r>
          </w:p>
          <w:p w14:paraId="047A31A4">
            <w:pPr>
              <w:widowControl w:val="0"/>
              <w:numPr>
                <w:ilvl w:val="0"/>
                <w:numId w:val="0"/>
              </w:numPr>
              <w:jc w:val="both"/>
              <w:rPr>
                <w:rFonts w:hint="eastAsia"/>
                <w:color w:val="auto"/>
                <w:highlight w:val="none"/>
                <w:vertAlign w:val="baseline"/>
              </w:rPr>
            </w:pPr>
            <w:r>
              <w:rPr>
                <w:rFonts w:hint="eastAsia"/>
                <w:color w:val="auto"/>
                <w:highlight w:val="none"/>
                <w:vertAlign w:val="baseline"/>
              </w:rPr>
              <w:t>1、高效送风口散流板的清洁</w:t>
            </w:r>
          </w:p>
          <w:p w14:paraId="27BCC533">
            <w:pPr>
              <w:widowControl w:val="0"/>
              <w:numPr>
                <w:ilvl w:val="0"/>
                <w:numId w:val="0"/>
              </w:numPr>
              <w:jc w:val="both"/>
              <w:rPr>
                <w:rFonts w:hint="eastAsia"/>
                <w:color w:val="auto"/>
                <w:highlight w:val="none"/>
                <w:vertAlign w:val="baseline"/>
              </w:rPr>
            </w:pPr>
            <w:r>
              <w:rPr>
                <w:rFonts w:hint="eastAsia"/>
                <w:color w:val="auto"/>
                <w:highlight w:val="none"/>
                <w:vertAlign w:val="baseline"/>
              </w:rPr>
              <w:t>1.1将高效送风口散流板螺钉松掉，拆下散流板，将散流板擦试干净后，装回原位置。</w:t>
            </w:r>
          </w:p>
          <w:p w14:paraId="2B3E1CA4">
            <w:pPr>
              <w:widowControl w:val="0"/>
              <w:numPr>
                <w:ilvl w:val="0"/>
                <w:numId w:val="0"/>
              </w:numPr>
              <w:jc w:val="both"/>
              <w:rPr>
                <w:rFonts w:hint="eastAsia"/>
                <w:color w:val="auto"/>
                <w:highlight w:val="none"/>
                <w:vertAlign w:val="baseline"/>
              </w:rPr>
            </w:pPr>
            <w:r>
              <w:rPr>
                <w:rFonts w:hint="eastAsia"/>
                <w:color w:val="auto"/>
                <w:highlight w:val="none"/>
                <w:vertAlign w:val="baseline"/>
              </w:rPr>
              <w:t>2、定期检查高效送风口</w:t>
            </w:r>
          </w:p>
          <w:p w14:paraId="183376F7">
            <w:pPr>
              <w:widowControl w:val="0"/>
              <w:numPr>
                <w:ilvl w:val="0"/>
                <w:numId w:val="0"/>
              </w:numPr>
              <w:jc w:val="both"/>
              <w:rPr>
                <w:rFonts w:hint="eastAsia"/>
                <w:color w:val="auto"/>
                <w:highlight w:val="none"/>
                <w:vertAlign w:val="baseline"/>
              </w:rPr>
            </w:pPr>
            <w:r>
              <w:rPr>
                <w:rFonts w:hint="eastAsia"/>
                <w:color w:val="auto"/>
                <w:highlight w:val="none"/>
                <w:vertAlign w:val="baseline"/>
              </w:rPr>
              <w:t>定期检查高效送风口是否有泄漏、高效过滤器是否有失效、容尘量达到极限等，根据环境的洁净度，更换高效过滤器，按实际环境情况更换。</w:t>
            </w:r>
          </w:p>
          <w:p w14:paraId="7CA2D456">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六</w:t>
            </w:r>
            <w:r>
              <w:rPr>
                <w:rFonts w:hint="eastAsia"/>
                <w:b/>
                <w:bCs/>
                <w:color w:val="auto"/>
                <w:highlight w:val="none"/>
                <w:vertAlign w:val="baseline"/>
              </w:rPr>
              <w:t>）空压机</w:t>
            </w:r>
          </w:p>
          <w:p w14:paraId="50FB9E33">
            <w:pPr>
              <w:widowControl w:val="0"/>
              <w:numPr>
                <w:ilvl w:val="0"/>
                <w:numId w:val="0"/>
              </w:numPr>
              <w:jc w:val="both"/>
              <w:rPr>
                <w:rFonts w:hint="eastAsia"/>
                <w:color w:val="auto"/>
                <w:highlight w:val="none"/>
                <w:vertAlign w:val="baseline"/>
              </w:rPr>
            </w:pPr>
            <w:r>
              <w:rPr>
                <w:rFonts w:hint="eastAsia"/>
                <w:color w:val="auto"/>
                <w:highlight w:val="none"/>
                <w:vertAlign w:val="baseline"/>
              </w:rPr>
              <w:t>1）、巡视内容（公证检验期内每天由驻厂人员进行巡查，确保实验室检验正常运行，淡季每月联系一次，询问实验室设备情况。）</w:t>
            </w:r>
          </w:p>
          <w:p w14:paraId="05004CD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检查机组运行状况；</w:t>
            </w:r>
          </w:p>
          <w:p w14:paraId="6E8636C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检查油位；</w:t>
            </w:r>
          </w:p>
          <w:p w14:paraId="5341DA7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检查显示屏上的读数（排气压力、排气温度、运行时间、加载时间）；</w:t>
            </w:r>
          </w:p>
          <w:p w14:paraId="62A47AF5">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4. </w:t>
            </w:r>
            <w:r>
              <w:rPr>
                <w:rFonts w:hint="eastAsia"/>
                <w:color w:val="auto"/>
                <w:highlight w:val="none"/>
                <w:vertAlign w:val="baseline"/>
              </w:rPr>
              <w:t>检查空滤保养指示器；</w:t>
            </w:r>
          </w:p>
          <w:p w14:paraId="1A9A79D3">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5. </w:t>
            </w:r>
            <w:r>
              <w:rPr>
                <w:rFonts w:hint="eastAsia"/>
                <w:color w:val="auto"/>
                <w:highlight w:val="none"/>
                <w:vertAlign w:val="baseline"/>
              </w:rPr>
              <w:t>润滑油只能使用说明书中标明的螺杆式压缩机专用油。</w:t>
            </w:r>
          </w:p>
          <w:p w14:paraId="173FDA6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rPr>
              <w:t>）、维修操作工艺项目</w:t>
            </w:r>
          </w:p>
          <w:p w14:paraId="758E074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检查油位、在机组加载时，油位必须在绿色或橙色区域或油位镜1/3以上；</w:t>
            </w:r>
          </w:p>
          <w:p w14:paraId="6AC97E7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检查显示屏上的读数（排气压力、排气温度、运行时间、加载时间）；</w:t>
            </w:r>
          </w:p>
          <w:p w14:paraId="799CB84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检查空滤保养指示器；</w:t>
            </w:r>
          </w:p>
          <w:p w14:paraId="7B555E59">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4. </w:t>
            </w:r>
            <w:r>
              <w:rPr>
                <w:rFonts w:hint="eastAsia"/>
                <w:color w:val="auto"/>
                <w:highlight w:val="none"/>
                <w:vertAlign w:val="baseline"/>
              </w:rPr>
              <w:t>定期清洁冷却器</w:t>
            </w:r>
            <w:r>
              <w:rPr>
                <w:rFonts w:hint="eastAsia"/>
                <w:color w:val="auto"/>
                <w:highlight w:val="none"/>
                <w:vertAlign w:val="baseline"/>
                <w:lang w:eastAsia="zh-CN"/>
              </w:rPr>
              <w:t>，</w:t>
            </w:r>
            <w:r>
              <w:rPr>
                <w:rFonts w:hint="eastAsia"/>
                <w:color w:val="auto"/>
                <w:highlight w:val="none"/>
                <w:vertAlign w:val="baseline"/>
              </w:rPr>
              <w:t>拆卸空气过滤芯，利用空气喷射进行清洁并检查</w:t>
            </w:r>
            <w:r>
              <w:rPr>
                <w:rFonts w:hint="eastAsia"/>
                <w:color w:val="auto"/>
                <w:highlight w:val="none"/>
                <w:vertAlign w:val="baseline"/>
                <w:lang w:eastAsia="zh-CN"/>
              </w:rPr>
              <w:t>，</w:t>
            </w:r>
            <w:r>
              <w:rPr>
                <w:rFonts w:hint="eastAsia"/>
                <w:color w:val="auto"/>
                <w:highlight w:val="none"/>
                <w:vertAlign w:val="baseline"/>
              </w:rPr>
              <w:t>清洁电机表面</w:t>
            </w:r>
            <w:r>
              <w:rPr>
                <w:rFonts w:hint="eastAsia"/>
                <w:color w:val="auto"/>
                <w:highlight w:val="none"/>
                <w:vertAlign w:val="baseline"/>
                <w:lang w:eastAsia="zh-CN"/>
              </w:rPr>
              <w:t>。</w:t>
            </w:r>
          </w:p>
          <w:p w14:paraId="1F62D7B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七</w:t>
            </w:r>
            <w:r>
              <w:rPr>
                <w:rFonts w:hint="eastAsia"/>
                <w:b/>
                <w:bCs/>
                <w:color w:val="auto"/>
                <w:highlight w:val="none"/>
                <w:vertAlign w:val="baseline"/>
              </w:rPr>
              <w:t>）转轮除湿机</w:t>
            </w:r>
          </w:p>
          <w:p w14:paraId="31F89A33">
            <w:pPr>
              <w:widowControl w:val="0"/>
              <w:numPr>
                <w:ilvl w:val="0"/>
                <w:numId w:val="0"/>
              </w:numPr>
              <w:jc w:val="both"/>
              <w:rPr>
                <w:rFonts w:hint="eastAsia"/>
                <w:color w:val="auto"/>
                <w:highlight w:val="none"/>
                <w:vertAlign w:val="baseline"/>
              </w:rPr>
            </w:pPr>
            <w:r>
              <w:rPr>
                <w:rFonts w:hint="eastAsia"/>
                <w:color w:val="auto"/>
                <w:highlight w:val="none"/>
                <w:vertAlign w:val="baseline"/>
              </w:rPr>
              <w:t>1、维修服务：</w:t>
            </w:r>
          </w:p>
          <w:p w14:paraId="01683E25">
            <w:pPr>
              <w:widowControl w:val="0"/>
              <w:numPr>
                <w:ilvl w:val="0"/>
                <w:numId w:val="0"/>
              </w:numPr>
              <w:jc w:val="both"/>
              <w:rPr>
                <w:rFonts w:hint="eastAsia"/>
                <w:color w:val="auto"/>
                <w:highlight w:val="none"/>
                <w:vertAlign w:val="baseline"/>
              </w:rPr>
            </w:pPr>
            <w:r>
              <w:rPr>
                <w:rFonts w:hint="eastAsia"/>
                <w:color w:val="auto"/>
                <w:highlight w:val="none"/>
                <w:vertAlign w:val="baseline"/>
              </w:rPr>
              <w:t>1小时内响应并作出应急处理，2小时内抵达现场，12小时内解决故障；</w:t>
            </w:r>
          </w:p>
          <w:p w14:paraId="7FF2BBB4">
            <w:pPr>
              <w:widowControl w:val="0"/>
              <w:numPr>
                <w:ilvl w:val="0"/>
                <w:numId w:val="0"/>
              </w:numPr>
              <w:jc w:val="both"/>
              <w:rPr>
                <w:rFonts w:hint="eastAsia"/>
                <w:color w:val="auto"/>
                <w:highlight w:val="none"/>
                <w:vertAlign w:val="baseline"/>
              </w:rPr>
            </w:pPr>
            <w:r>
              <w:rPr>
                <w:rFonts w:hint="eastAsia"/>
                <w:color w:val="auto"/>
                <w:highlight w:val="none"/>
                <w:vertAlign w:val="baseline"/>
              </w:rPr>
              <w:t>2.开检前进行全面维护保养，检查机组运行状况，记录报警内容并对报警内容进行分析消除隐患；</w:t>
            </w:r>
          </w:p>
          <w:p w14:paraId="7DB9F9C9">
            <w:pPr>
              <w:widowControl w:val="0"/>
              <w:numPr>
                <w:ilvl w:val="0"/>
                <w:numId w:val="0"/>
              </w:numPr>
              <w:jc w:val="both"/>
              <w:rPr>
                <w:rFonts w:hint="eastAsia"/>
                <w:color w:val="auto"/>
                <w:highlight w:val="none"/>
                <w:vertAlign w:val="baseline"/>
              </w:rPr>
            </w:pPr>
            <w:r>
              <w:rPr>
                <w:rFonts w:hint="eastAsia"/>
                <w:color w:val="auto"/>
                <w:highlight w:val="none"/>
                <w:vertAlign w:val="baseline"/>
              </w:rPr>
              <w:t>3、月巡视内容（每个月一次）</w:t>
            </w:r>
          </w:p>
          <w:p w14:paraId="77EA677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检查机组运行状况，记录报警内容并对报警内容进行分析消除隐患； 检查设定参数，控制电路，并根据实际需要调整各项运行参数；</w:t>
            </w:r>
          </w:p>
          <w:p w14:paraId="0FF35D3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检查除湿转轮运行情况，检查运行压力，检查膨胀阀的工作状态，必要时调整过热度，使设备处于最佳状态；</w:t>
            </w:r>
          </w:p>
          <w:p w14:paraId="5E030F64">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检查湿度/露点控制的工作状态；</w:t>
            </w:r>
          </w:p>
          <w:p w14:paraId="654B39C7">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八</w:t>
            </w:r>
            <w:r>
              <w:rPr>
                <w:rFonts w:hint="eastAsia"/>
                <w:b/>
                <w:bCs/>
                <w:color w:val="auto"/>
                <w:highlight w:val="none"/>
                <w:vertAlign w:val="baseline"/>
              </w:rPr>
              <w:t>）UPS 电源部分具体维护内容包括：</w:t>
            </w:r>
          </w:p>
          <w:p w14:paraId="1CF7BACC">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每半年进行一次巡检保养，测试 UPS 性能指标（按 UPS 保养性能测试单逐项测试），并出具书面报告一式二份。</w:t>
            </w:r>
          </w:p>
          <w:p w14:paraId="7CE068AA">
            <w:pPr>
              <w:widowControl w:val="0"/>
              <w:numPr>
                <w:ilvl w:val="0"/>
                <w:numId w:val="0"/>
              </w:numPr>
              <w:jc w:val="both"/>
              <w:rPr>
                <w:rFonts w:hint="eastAsia"/>
                <w:color w:val="auto"/>
                <w:highlight w:val="none"/>
                <w:vertAlign w:val="baseline"/>
              </w:rPr>
            </w:pPr>
            <w:r>
              <w:rPr>
                <w:rFonts w:hint="eastAsia"/>
                <w:color w:val="auto"/>
                <w:highlight w:val="none"/>
                <w:vertAlign w:val="baseline"/>
              </w:rPr>
              <w:t>2</w:t>
            </w:r>
            <w:r>
              <w:rPr>
                <w:rFonts w:hint="eastAsia"/>
                <w:color w:val="auto"/>
                <w:highlight w:val="none"/>
                <w:vertAlign w:val="baseline"/>
                <w:lang w:eastAsia="zh-CN"/>
              </w:rPr>
              <w:t>、</w:t>
            </w:r>
            <w:r>
              <w:rPr>
                <w:rFonts w:hint="eastAsia"/>
                <w:color w:val="auto"/>
                <w:highlight w:val="none"/>
                <w:vertAlign w:val="baseline"/>
              </w:rPr>
              <w:t>设备检修：对 UPS 设备进行一次彻底的检查、测试和维修；</w:t>
            </w:r>
          </w:p>
          <w:p w14:paraId="3DA63C7E">
            <w:pPr>
              <w:widowControl w:val="0"/>
              <w:numPr>
                <w:ilvl w:val="0"/>
                <w:numId w:val="0"/>
              </w:numPr>
              <w:jc w:val="both"/>
              <w:rPr>
                <w:rFonts w:hint="eastAsia"/>
                <w:color w:val="auto"/>
                <w:highlight w:val="none"/>
                <w:vertAlign w:val="baseline"/>
              </w:rPr>
            </w:pPr>
            <w:r>
              <w:rPr>
                <w:rFonts w:hint="eastAsia"/>
                <w:color w:val="auto"/>
                <w:highlight w:val="none"/>
                <w:vertAlign w:val="baseline"/>
              </w:rPr>
              <w:t>3</w:t>
            </w:r>
            <w:r>
              <w:rPr>
                <w:rFonts w:hint="eastAsia"/>
                <w:color w:val="auto"/>
                <w:highlight w:val="none"/>
                <w:vertAlign w:val="baseline"/>
                <w:lang w:eastAsia="zh-CN"/>
              </w:rPr>
              <w:t>、</w:t>
            </w:r>
            <w:r>
              <w:rPr>
                <w:rFonts w:hint="eastAsia"/>
                <w:color w:val="auto"/>
                <w:highlight w:val="none"/>
                <w:vertAlign w:val="baseline"/>
              </w:rPr>
              <w:t>设备保养：每季度进行一次，1 年进行2 次；对设备的运行状态进行检查，确保设备工作于最佳方式和状态；对故障件和已经损耗件进行更换；对 UPS 的电池组进行一次放电充电的激活。</w:t>
            </w:r>
          </w:p>
          <w:p w14:paraId="245B8344">
            <w:pPr>
              <w:widowControl w:val="0"/>
              <w:numPr>
                <w:ilvl w:val="0"/>
                <w:numId w:val="0"/>
              </w:numPr>
              <w:jc w:val="both"/>
              <w:rPr>
                <w:rFonts w:hint="eastAsia"/>
                <w:color w:val="auto"/>
                <w:highlight w:val="none"/>
                <w:vertAlign w:val="baseline"/>
              </w:rPr>
            </w:pPr>
            <w:r>
              <w:rPr>
                <w:rFonts w:hint="eastAsia"/>
                <w:color w:val="auto"/>
                <w:highlight w:val="none"/>
                <w:vertAlign w:val="baseline"/>
              </w:rPr>
              <w:t>4</w:t>
            </w:r>
            <w:r>
              <w:rPr>
                <w:rFonts w:hint="eastAsia"/>
                <w:color w:val="auto"/>
                <w:highlight w:val="none"/>
                <w:vertAlign w:val="baseline"/>
                <w:lang w:eastAsia="zh-CN"/>
              </w:rPr>
              <w:t>、</w:t>
            </w:r>
            <w:r>
              <w:rPr>
                <w:rFonts w:hint="eastAsia"/>
                <w:color w:val="auto"/>
                <w:highlight w:val="none"/>
                <w:vertAlign w:val="baseline"/>
              </w:rPr>
              <w:t>投标人需提供目前在用 UPS原厂售后服务承诺书（科士达），承诺厂家售后服务工程师提供上门服务。</w:t>
            </w:r>
          </w:p>
          <w:p w14:paraId="1C55B597">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九</w:t>
            </w:r>
            <w:r>
              <w:rPr>
                <w:rFonts w:hint="eastAsia"/>
                <w:b/>
                <w:bCs/>
                <w:color w:val="auto"/>
                <w:highlight w:val="none"/>
                <w:vertAlign w:val="baseline"/>
              </w:rPr>
              <w:t>）视频监控系统</w:t>
            </w:r>
          </w:p>
          <w:p w14:paraId="52C74F5F">
            <w:pPr>
              <w:widowControl w:val="0"/>
              <w:numPr>
                <w:ilvl w:val="0"/>
                <w:numId w:val="0"/>
              </w:numPr>
              <w:jc w:val="both"/>
              <w:rPr>
                <w:rFonts w:hint="eastAsia"/>
                <w:color w:val="auto"/>
                <w:highlight w:val="none"/>
                <w:vertAlign w:val="baseline"/>
              </w:rPr>
            </w:pPr>
            <w:r>
              <w:rPr>
                <w:rFonts w:hint="eastAsia"/>
                <w:color w:val="auto"/>
                <w:highlight w:val="none"/>
                <w:vertAlign w:val="baseline"/>
              </w:rPr>
              <w:t>1、维修保养范围及维护具体措施：</w:t>
            </w:r>
          </w:p>
          <w:p w14:paraId="34520EBF">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该监控系统由监控系统软件、监控主机、前端摄像机、摄像机控制解码器四部分组成，传输线路分为视频线路传输、供电系统传输、控制线路传输。 </w:t>
            </w:r>
          </w:p>
          <w:p w14:paraId="700A328E">
            <w:pPr>
              <w:widowControl w:val="0"/>
              <w:numPr>
                <w:ilvl w:val="0"/>
                <w:numId w:val="0"/>
              </w:numPr>
              <w:jc w:val="both"/>
              <w:rPr>
                <w:rFonts w:hint="eastAsia"/>
                <w:color w:val="auto"/>
                <w:highlight w:val="none"/>
                <w:vertAlign w:val="baseline"/>
              </w:rPr>
            </w:pPr>
            <w:r>
              <w:rPr>
                <w:rFonts w:hint="eastAsia"/>
                <w:color w:val="auto"/>
                <w:highlight w:val="none"/>
                <w:vertAlign w:val="baseline"/>
              </w:rPr>
              <w:t>1.1更换末端摄像头3台；改变摄像头安装位置8台。</w:t>
            </w:r>
          </w:p>
          <w:p w14:paraId="29BD7C85">
            <w:pPr>
              <w:widowControl w:val="0"/>
              <w:numPr>
                <w:ilvl w:val="0"/>
                <w:numId w:val="0"/>
              </w:numPr>
              <w:jc w:val="both"/>
              <w:rPr>
                <w:rFonts w:hint="eastAsia"/>
                <w:color w:val="auto"/>
                <w:highlight w:val="none"/>
                <w:vertAlign w:val="baseline"/>
              </w:rPr>
            </w:pPr>
            <w:r>
              <w:rPr>
                <w:rFonts w:hint="eastAsia"/>
                <w:color w:val="auto"/>
                <w:highlight w:val="none"/>
                <w:vertAlign w:val="baseline"/>
              </w:rPr>
              <w:t>1.2根据实验室使用要求，对实验室120台末端摄像头拍摄位置进行优化。</w:t>
            </w:r>
          </w:p>
          <w:p w14:paraId="4EEFA2C8">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定期检测各项技术参数及监控系统传输线路质量，处理故障隐患，协助监控主管设定使用级别等各种数据，确保各部份设备各项功能良好，能够正常运行。  </w:t>
            </w:r>
          </w:p>
          <w:p w14:paraId="2E24EE5B">
            <w:pPr>
              <w:widowControl w:val="0"/>
              <w:numPr>
                <w:ilvl w:val="0"/>
                <w:numId w:val="0"/>
              </w:numPr>
              <w:jc w:val="both"/>
              <w:rPr>
                <w:rFonts w:hint="eastAsia"/>
                <w:color w:val="auto"/>
                <w:highlight w:val="none"/>
                <w:vertAlign w:val="baseline"/>
              </w:rPr>
            </w:pPr>
            <w:r>
              <w:rPr>
                <w:rFonts w:hint="eastAsia"/>
                <w:color w:val="auto"/>
                <w:highlight w:val="none"/>
                <w:vertAlign w:val="baseline"/>
              </w:rPr>
              <w:t>1.3对长时间工作的监控设备每月定期维护一次，如硬盘录像机长时间工作会产生较多的热量，一旦其电风扇有故障，会影响排热，以免硬盘录像机工作不正常。</w:t>
            </w:r>
          </w:p>
          <w:p w14:paraId="3EE42E3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（十）实验室广播系统</w:t>
            </w:r>
          </w:p>
          <w:p w14:paraId="7BDA25F7">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硬件维护 ： </w:t>
            </w:r>
          </w:p>
          <w:p w14:paraId="71C5170F">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更换广播系统功率放大器1台；</w:t>
            </w:r>
          </w:p>
          <w:p w14:paraId="3527E17F">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lang w:eastAsia="zh-CN"/>
              </w:rPr>
              <w:t>、</w:t>
            </w:r>
            <w:r>
              <w:rPr>
                <w:rFonts w:hint="eastAsia"/>
                <w:color w:val="auto"/>
                <w:highlight w:val="none"/>
                <w:vertAlign w:val="baseline"/>
              </w:rPr>
              <w:t>更换广播系统功喇叭1台；</w:t>
            </w:r>
          </w:p>
          <w:p w14:paraId="797B18D6">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3</w:t>
            </w:r>
            <w:r>
              <w:rPr>
                <w:rFonts w:hint="eastAsia"/>
                <w:color w:val="auto"/>
                <w:highlight w:val="none"/>
                <w:vertAlign w:val="baseline"/>
                <w:lang w:eastAsia="zh-CN"/>
              </w:rPr>
              <w:t>、</w:t>
            </w:r>
            <w:r>
              <w:rPr>
                <w:rFonts w:hint="eastAsia"/>
                <w:color w:val="auto"/>
                <w:highlight w:val="none"/>
                <w:vertAlign w:val="baseline"/>
              </w:rPr>
              <w:t>更换广播系统功喇叭变压器2台；</w:t>
            </w:r>
          </w:p>
          <w:p w14:paraId="221D486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4</w:t>
            </w:r>
            <w:r>
              <w:rPr>
                <w:rFonts w:hint="eastAsia"/>
                <w:color w:val="auto"/>
                <w:highlight w:val="none"/>
                <w:vertAlign w:val="baseline"/>
                <w:lang w:eastAsia="zh-CN"/>
              </w:rPr>
              <w:t>、</w:t>
            </w:r>
            <w:r>
              <w:rPr>
                <w:rFonts w:hint="eastAsia"/>
                <w:color w:val="auto"/>
                <w:highlight w:val="none"/>
                <w:vertAlign w:val="baseline"/>
              </w:rPr>
              <w:t xml:space="preserve">对实验室广播系统所有线路与接头进行检查：检查音频线、电源线是否老化，接头是否松动或氧化（如BNC、XLR接口）。  </w:t>
            </w:r>
          </w:p>
          <w:p w14:paraId="6499A74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5</w:t>
            </w:r>
            <w:r>
              <w:rPr>
                <w:rFonts w:hint="eastAsia"/>
                <w:color w:val="auto"/>
                <w:highlight w:val="none"/>
                <w:vertAlign w:val="baseline"/>
                <w:lang w:eastAsia="zh-CN"/>
              </w:rPr>
              <w:t>、</w:t>
            </w:r>
            <w:r>
              <w:rPr>
                <w:rFonts w:hint="eastAsia"/>
                <w:color w:val="auto"/>
                <w:highlight w:val="none"/>
                <w:vertAlign w:val="baseline"/>
              </w:rPr>
              <w:t xml:space="preserve">使用软毛刷或吸尘器清理喇叭及功放设备散热孔，避免灰尘堆积导致过热（尤其功放）。  </w:t>
            </w:r>
          </w:p>
          <w:p w14:paraId="04087AAB">
            <w:pPr>
              <w:widowControl w:val="0"/>
              <w:numPr>
                <w:ilvl w:val="0"/>
                <w:numId w:val="0"/>
              </w:numPr>
              <w:jc w:val="both"/>
              <w:rPr>
                <w:rFonts w:hint="eastAsia" w:eastAsiaTheme="minorEastAsia"/>
                <w:b/>
                <w:bCs/>
                <w:color w:val="auto"/>
                <w:highlight w:val="none"/>
                <w:vertAlign w:val="baseline"/>
                <w:lang w:eastAsia="zh-CN"/>
              </w:rPr>
            </w:pPr>
            <w:r>
              <w:rPr>
                <w:rFonts w:hint="eastAsia"/>
                <w:b/>
                <w:bCs/>
                <w:color w:val="auto"/>
                <w:highlight w:val="none"/>
                <w:vertAlign w:val="baseline"/>
              </w:rPr>
              <w:t>（十</w:t>
            </w:r>
            <w:r>
              <w:rPr>
                <w:rFonts w:hint="eastAsia"/>
                <w:b/>
                <w:bCs/>
                <w:color w:val="auto"/>
                <w:highlight w:val="none"/>
                <w:vertAlign w:val="baseline"/>
                <w:lang w:val="en-US" w:eastAsia="zh-CN"/>
              </w:rPr>
              <w:t>一</w:t>
            </w:r>
            <w:r>
              <w:rPr>
                <w:rFonts w:hint="eastAsia"/>
                <w:b/>
                <w:bCs/>
                <w:color w:val="auto"/>
                <w:highlight w:val="none"/>
                <w:vertAlign w:val="baseline"/>
              </w:rPr>
              <w:t>）响应时间要求</w:t>
            </w:r>
            <w:r>
              <w:rPr>
                <w:rFonts w:hint="eastAsia"/>
                <w:b/>
                <w:bCs/>
                <w:color w:val="auto"/>
                <w:highlight w:val="none"/>
                <w:vertAlign w:val="baseline"/>
                <w:lang w:eastAsia="zh-CN"/>
              </w:rPr>
              <w:t>（</w:t>
            </w:r>
            <w:r>
              <w:rPr>
                <w:rFonts w:hint="eastAsia"/>
                <w:b/>
                <w:bCs/>
                <w:color w:val="auto"/>
                <w:highlight w:val="none"/>
                <w:vertAlign w:val="baseline"/>
                <w:lang w:val="en-US" w:eastAsia="zh-CN"/>
              </w:rPr>
              <w:t>清单目录中维护服务未单独注明要求的，执行该条售后维护服务标准</w:t>
            </w:r>
            <w:r>
              <w:rPr>
                <w:rFonts w:hint="eastAsia"/>
                <w:b/>
                <w:bCs/>
                <w:color w:val="auto"/>
                <w:highlight w:val="none"/>
                <w:vertAlign w:val="baseline"/>
                <w:lang w:eastAsia="zh-CN"/>
              </w:rPr>
              <w:t>）</w:t>
            </w:r>
          </w:p>
          <w:p w14:paraId="76EAF172">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7×24小时的电话响应售后服务（包括故障处理、上门维护、紧急维护、重要服务、电话维护、主动巡检等），出现一般性故障，接到维修通知后，在半小时内电话响应，在2小时内到达现场，在24小时内完成修复。</w:t>
            </w:r>
          </w:p>
          <w:p w14:paraId="4B81FB60">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（十</w:t>
            </w:r>
            <w:r>
              <w:rPr>
                <w:rFonts w:hint="eastAsia"/>
                <w:b/>
                <w:bCs/>
                <w:color w:val="auto"/>
                <w:highlight w:val="none"/>
                <w:vertAlign w:val="baseline"/>
                <w:lang w:val="en-US" w:eastAsia="zh-CN"/>
              </w:rPr>
              <w:t>二</w:t>
            </w:r>
            <w:r>
              <w:rPr>
                <w:rFonts w:hint="eastAsia"/>
                <w:b/>
                <w:bCs/>
                <w:color w:val="auto"/>
                <w:highlight w:val="none"/>
                <w:vertAlign w:val="baseline"/>
              </w:rPr>
              <w:t>）维保人员要求</w:t>
            </w:r>
          </w:p>
          <w:p w14:paraId="12DCFA8F">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维保人员资质为机电工程师及以上、电工操作证。</w:t>
            </w:r>
          </w:p>
          <w:p w14:paraId="3DEFA56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lang w:eastAsia="zh-CN"/>
              </w:rPr>
              <w:t>、</w:t>
            </w:r>
            <w:r>
              <w:rPr>
                <w:rFonts w:hint="eastAsia"/>
                <w:color w:val="auto"/>
                <w:highlight w:val="none"/>
                <w:vertAlign w:val="baseline"/>
              </w:rPr>
              <w:t>提供7×24小时的电话响应售后服务（包括故障处理、上门维护、紧急维护、重要服务、电话维护、主动巡检等），出现一般性故障，接到维修通知后，在半小时内电话响应，在2小时内到达现场，在24小时内完成修复；每次故障维修完毕后，维修人员必须现场填写维修记录并交甲方存档。</w:t>
            </w:r>
          </w:p>
          <w:p w14:paraId="506AEAD6">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3</w:t>
            </w:r>
            <w:r>
              <w:rPr>
                <w:rFonts w:hint="eastAsia"/>
                <w:color w:val="auto"/>
                <w:highlight w:val="none"/>
                <w:vertAlign w:val="baseline"/>
                <w:lang w:eastAsia="zh-CN"/>
              </w:rPr>
              <w:t>、</w:t>
            </w:r>
            <w:r>
              <w:rPr>
                <w:rFonts w:hint="eastAsia"/>
                <w:color w:val="auto"/>
                <w:highlight w:val="none"/>
                <w:vertAlign w:val="baseline"/>
              </w:rPr>
              <w:t>对比相关设备的实际功能，分析设备使用的合理性，提出设备合理使用、功能优化的建议。</w:t>
            </w:r>
          </w:p>
          <w:p w14:paraId="24997600">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4</w:t>
            </w:r>
            <w:r>
              <w:rPr>
                <w:rFonts w:hint="eastAsia"/>
                <w:color w:val="auto"/>
                <w:highlight w:val="none"/>
                <w:vertAlign w:val="baseline"/>
                <w:lang w:eastAsia="zh-CN"/>
              </w:rPr>
              <w:t>、</w:t>
            </w:r>
            <w:r>
              <w:rPr>
                <w:rFonts w:hint="eastAsia"/>
                <w:color w:val="auto"/>
                <w:highlight w:val="none"/>
                <w:vertAlign w:val="baseline"/>
              </w:rPr>
              <w:t>评估维保设备运行过程中可能存在的风险，提出整改建议。</w:t>
            </w:r>
          </w:p>
          <w:p w14:paraId="7C8B25C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5</w:t>
            </w:r>
            <w:r>
              <w:rPr>
                <w:rFonts w:hint="eastAsia"/>
                <w:color w:val="auto"/>
                <w:highlight w:val="none"/>
                <w:vertAlign w:val="baseline"/>
                <w:lang w:eastAsia="zh-CN"/>
              </w:rPr>
              <w:t>、</w:t>
            </w:r>
            <w:r>
              <w:rPr>
                <w:rFonts w:hint="eastAsia"/>
                <w:color w:val="auto"/>
                <w:highlight w:val="none"/>
                <w:vertAlign w:val="baseline"/>
              </w:rPr>
              <w:t>在合同期内要确保维保人员的人身安全，维保人员必须具有健康证，为维保人员购买商业保险。</w:t>
            </w:r>
          </w:p>
          <w:p w14:paraId="06D0FFAB">
            <w:pPr>
              <w:widowControl w:val="0"/>
              <w:numPr>
                <w:ilvl w:val="0"/>
                <w:numId w:val="0"/>
              </w:numPr>
              <w:jc w:val="both"/>
              <w:rPr>
                <w:rFonts w:hint="eastAsia"/>
                <w:color w:val="auto"/>
                <w:highlight w:val="none"/>
                <w:vertAlign w:val="baseline"/>
                <w:lang w:val="en-US" w:eastAsia="zh-CN"/>
              </w:rPr>
            </w:pPr>
          </w:p>
          <w:tbl>
            <w:tblPr>
              <w:tblStyle w:val="13"/>
              <w:tblW w:w="5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807"/>
              <w:gridCol w:w="804"/>
              <w:gridCol w:w="720"/>
            </w:tblGrid>
            <w:tr w14:paraId="69B5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863C402">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3807" w:type="dxa"/>
                  <w:vAlign w:val="center"/>
                </w:tcPr>
                <w:p w14:paraId="6939F4F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配件名称</w:t>
                  </w:r>
                </w:p>
              </w:tc>
              <w:tc>
                <w:tcPr>
                  <w:tcW w:w="804" w:type="dxa"/>
                  <w:vAlign w:val="center"/>
                </w:tcPr>
                <w:p w14:paraId="057F3AA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720" w:type="dxa"/>
                  <w:vAlign w:val="center"/>
                </w:tcPr>
                <w:p w14:paraId="3C047E7E">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需求数量</w:t>
                  </w:r>
                </w:p>
              </w:tc>
            </w:tr>
            <w:tr w14:paraId="27B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D65AD58">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1</w:t>
                  </w:r>
                </w:p>
              </w:tc>
              <w:tc>
                <w:tcPr>
                  <w:tcW w:w="3807" w:type="dxa"/>
                  <w:vAlign w:val="center"/>
                </w:tcPr>
                <w:p w14:paraId="2EAE6D47">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加湿桶</w:t>
                  </w:r>
                </w:p>
              </w:tc>
              <w:tc>
                <w:tcPr>
                  <w:tcW w:w="804" w:type="dxa"/>
                  <w:vAlign w:val="center"/>
                </w:tcPr>
                <w:p w14:paraId="5181EC71">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97E6322">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0</w:t>
                  </w:r>
                </w:p>
              </w:tc>
            </w:tr>
            <w:tr w14:paraId="5EE8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9D6888">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2</w:t>
                  </w:r>
                </w:p>
              </w:tc>
              <w:tc>
                <w:tcPr>
                  <w:tcW w:w="3807" w:type="dxa"/>
                  <w:vAlign w:val="center"/>
                </w:tcPr>
                <w:p w14:paraId="556571B4">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干燥过滤器</w:t>
                  </w:r>
                </w:p>
              </w:tc>
              <w:tc>
                <w:tcPr>
                  <w:tcW w:w="804" w:type="dxa"/>
                  <w:vAlign w:val="center"/>
                </w:tcPr>
                <w:p w14:paraId="6FA8C9E4">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C4A14AD">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2</w:t>
                  </w:r>
                </w:p>
              </w:tc>
            </w:tr>
            <w:tr w14:paraId="286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F9F5FC5">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3</w:t>
                  </w:r>
                </w:p>
              </w:tc>
              <w:tc>
                <w:tcPr>
                  <w:tcW w:w="3807" w:type="dxa"/>
                  <w:vAlign w:val="center"/>
                </w:tcPr>
                <w:p w14:paraId="5AA4F71E">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回风过滤网</w:t>
                  </w:r>
                </w:p>
              </w:tc>
              <w:tc>
                <w:tcPr>
                  <w:tcW w:w="804" w:type="dxa"/>
                  <w:vAlign w:val="center"/>
                </w:tcPr>
                <w:p w14:paraId="3E027CE0">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52333D1A">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100</w:t>
                  </w:r>
                </w:p>
              </w:tc>
            </w:tr>
            <w:tr w14:paraId="58E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25F50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3807" w:type="dxa"/>
                  <w:vAlign w:val="center"/>
                </w:tcPr>
                <w:p w14:paraId="5F37EF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上水阀</w:t>
                  </w:r>
                </w:p>
              </w:tc>
              <w:tc>
                <w:tcPr>
                  <w:tcW w:w="804" w:type="dxa"/>
                  <w:vAlign w:val="center"/>
                </w:tcPr>
                <w:p w14:paraId="578F6F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9715ED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r>
            <w:tr w14:paraId="45D4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7D642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3807" w:type="dxa"/>
                  <w:vAlign w:val="center"/>
                </w:tcPr>
                <w:p w14:paraId="07297A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排水阀</w:t>
                  </w:r>
                </w:p>
              </w:tc>
              <w:tc>
                <w:tcPr>
                  <w:tcW w:w="804" w:type="dxa"/>
                  <w:vAlign w:val="center"/>
                </w:tcPr>
                <w:p w14:paraId="5C42D0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5B37E8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r>
            <w:tr w14:paraId="276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E852E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3807" w:type="dxa"/>
                  <w:vAlign w:val="center"/>
                </w:tcPr>
                <w:p w14:paraId="7F1CD3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接触器</w:t>
                  </w:r>
                </w:p>
              </w:tc>
              <w:tc>
                <w:tcPr>
                  <w:tcW w:w="804" w:type="dxa"/>
                  <w:vAlign w:val="center"/>
                </w:tcPr>
                <w:p w14:paraId="051CD0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500EA4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r>
                    <w:rPr>
                      <w:rFonts w:hint="eastAsia" w:ascii="宋体" w:hAnsi="宋体" w:eastAsia="宋体" w:cs="宋体"/>
                      <w:i w:val="0"/>
                      <w:iCs w:val="0"/>
                      <w:color w:val="auto"/>
                      <w:kern w:val="0"/>
                      <w:sz w:val="16"/>
                      <w:szCs w:val="16"/>
                      <w:highlight w:val="none"/>
                      <w:u w:val="none"/>
                      <w:lang w:val="en-US" w:eastAsia="zh-CN" w:bidi="ar"/>
                    </w:rPr>
                    <w:t>0</w:t>
                  </w:r>
                </w:p>
              </w:tc>
            </w:tr>
            <w:tr w14:paraId="2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DD44F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3807" w:type="dxa"/>
                  <w:vAlign w:val="center"/>
                </w:tcPr>
                <w:p w14:paraId="4EF6C9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断路器</w:t>
                  </w:r>
                </w:p>
              </w:tc>
              <w:tc>
                <w:tcPr>
                  <w:tcW w:w="804" w:type="dxa"/>
                  <w:vAlign w:val="center"/>
                </w:tcPr>
                <w:p w14:paraId="595EFF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895482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r>
                    <w:rPr>
                      <w:rFonts w:hint="eastAsia" w:ascii="宋体" w:hAnsi="宋体" w:eastAsia="宋体" w:cs="宋体"/>
                      <w:i w:val="0"/>
                      <w:iCs w:val="0"/>
                      <w:color w:val="auto"/>
                      <w:kern w:val="0"/>
                      <w:sz w:val="16"/>
                      <w:szCs w:val="16"/>
                      <w:highlight w:val="none"/>
                      <w:u w:val="none"/>
                      <w:lang w:val="en-US" w:eastAsia="zh-CN" w:bidi="ar"/>
                    </w:rPr>
                    <w:t>0</w:t>
                  </w:r>
                </w:p>
              </w:tc>
            </w:tr>
            <w:tr w14:paraId="0506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17D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3807" w:type="dxa"/>
                  <w:vAlign w:val="center"/>
                </w:tcPr>
                <w:p w14:paraId="19DE0F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变频器</w:t>
                  </w:r>
                </w:p>
              </w:tc>
              <w:tc>
                <w:tcPr>
                  <w:tcW w:w="804" w:type="dxa"/>
                  <w:vAlign w:val="center"/>
                </w:tcPr>
                <w:p w14:paraId="3DEB81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882B73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3450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91F2B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3807" w:type="dxa"/>
                  <w:vAlign w:val="center"/>
                </w:tcPr>
                <w:p w14:paraId="6EA352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高压开关</w:t>
                  </w:r>
                </w:p>
              </w:tc>
              <w:tc>
                <w:tcPr>
                  <w:tcW w:w="804" w:type="dxa"/>
                  <w:vAlign w:val="center"/>
                </w:tcPr>
                <w:p w14:paraId="1D7D4C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215924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51F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A72DE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3807" w:type="dxa"/>
                  <w:vAlign w:val="center"/>
                </w:tcPr>
                <w:p w14:paraId="434981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低压开关</w:t>
                  </w:r>
                </w:p>
              </w:tc>
              <w:tc>
                <w:tcPr>
                  <w:tcW w:w="804" w:type="dxa"/>
                  <w:vAlign w:val="center"/>
                </w:tcPr>
                <w:p w14:paraId="10F277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974BAA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41A7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09C47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3807" w:type="dxa"/>
                  <w:vAlign w:val="center"/>
                </w:tcPr>
                <w:p w14:paraId="1A001E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制冷剂</w:t>
                  </w:r>
                </w:p>
              </w:tc>
              <w:tc>
                <w:tcPr>
                  <w:tcW w:w="804" w:type="dxa"/>
                  <w:vAlign w:val="center"/>
                </w:tcPr>
                <w:p w14:paraId="0401D5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219ABF1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42A2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BB77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3807" w:type="dxa"/>
                  <w:vAlign w:val="center"/>
                </w:tcPr>
                <w:p w14:paraId="19F71A8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压缩机</w:t>
                  </w:r>
                </w:p>
              </w:tc>
              <w:tc>
                <w:tcPr>
                  <w:tcW w:w="804" w:type="dxa"/>
                  <w:vAlign w:val="center"/>
                </w:tcPr>
                <w:p w14:paraId="574F07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6A243B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444D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F601F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3</w:t>
                  </w:r>
                </w:p>
              </w:tc>
              <w:tc>
                <w:tcPr>
                  <w:tcW w:w="3807" w:type="dxa"/>
                  <w:vAlign w:val="center"/>
                </w:tcPr>
                <w:p w14:paraId="370F6C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固态继电器</w:t>
                  </w:r>
                </w:p>
              </w:tc>
              <w:tc>
                <w:tcPr>
                  <w:tcW w:w="804" w:type="dxa"/>
                  <w:vAlign w:val="center"/>
                </w:tcPr>
                <w:p w14:paraId="0ECCB4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833D75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w:t>
                  </w:r>
                </w:p>
              </w:tc>
            </w:tr>
            <w:tr w14:paraId="5751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46C0A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4</w:t>
                  </w:r>
                </w:p>
              </w:tc>
              <w:tc>
                <w:tcPr>
                  <w:tcW w:w="3807" w:type="dxa"/>
                  <w:vAlign w:val="center"/>
                </w:tcPr>
                <w:p w14:paraId="4D0966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干燥过滤器</w:t>
                  </w:r>
                </w:p>
              </w:tc>
              <w:tc>
                <w:tcPr>
                  <w:tcW w:w="804" w:type="dxa"/>
                  <w:vAlign w:val="center"/>
                </w:tcPr>
                <w:p w14:paraId="6D1BF8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2DE6F3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54C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3F285D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5</w:t>
                  </w:r>
                </w:p>
              </w:tc>
              <w:tc>
                <w:tcPr>
                  <w:tcW w:w="3807" w:type="dxa"/>
                  <w:vAlign w:val="center"/>
                </w:tcPr>
                <w:p w14:paraId="10FB79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回风过滤网</w:t>
                  </w:r>
                </w:p>
              </w:tc>
              <w:tc>
                <w:tcPr>
                  <w:tcW w:w="804" w:type="dxa"/>
                  <w:vAlign w:val="center"/>
                </w:tcPr>
                <w:p w14:paraId="73A6B0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588C77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w:t>
                  </w:r>
                </w:p>
              </w:tc>
            </w:tr>
            <w:tr w14:paraId="075B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E1C23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6</w:t>
                  </w:r>
                </w:p>
              </w:tc>
              <w:tc>
                <w:tcPr>
                  <w:tcW w:w="3807" w:type="dxa"/>
                  <w:vAlign w:val="center"/>
                </w:tcPr>
                <w:p w14:paraId="6F80F8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MO47、MO57 风扇</w:t>
                  </w:r>
                </w:p>
              </w:tc>
              <w:tc>
                <w:tcPr>
                  <w:tcW w:w="804" w:type="dxa"/>
                  <w:vAlign w:val="center"/>
                </w:tcPr>
                <w:p w14:paraId="2D39DB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7455C9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492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EAFB6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3807" w:type="dxa"/>
                  <w:vAlign w:val="center"/>
                </w:tcPr>
                <w:p w14:paraId="474F09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JOV70约顿牌恒温恒室机室内机主板</w:t>
                  </w:r>
                </w:p>
              </w:tc>
              <w:tc>
                <w:tcPr>
                  <w:tcW w:w="804" w:type="dxa"/>
                  <w:vAlign w:val="center"/>
                </w:tcPr>
                <w:p w14:paraId="22F940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034D258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456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EE2FF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3807" w:type="dxa"/>
                  <w:vAlign w:val="center"/>
                </w:tcPr>
                <w:p w14:paraId="4CAC83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 台约顿牌恒温恒室机室内机 组 JOV70 的巡检维护</w:t>
                  </w:r>
                </w:p>
              </w:tc>
              <w:tc>
                <w:tcPr>
                  <w:tcW w:w="804" w:type="dxa"/>
                  <w:vAlign w:val="center"/>
                </w:tcPr>
                <w:p w14:paraId="2E7DA4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19DB5F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r>
            <w:tr w14:paraId="1F12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2648D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3807" w:type="dxa"/>
                  <w:vAlign w:val="center"/>
                </w:tcPr>
                <w:p w14:paraId="3A8248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JC10 的的巡检维护</w:t>
                  </w:r>
                </w:p>
              </w:tc>
              <w:tc>
                <w:tcPr>
                  <w:tcW w:w="804" w:type="dxa"/>
                  <w:vAlign w:val="center"/>
                </w:tcPr>
                <w:p w14:paraId="30AAF7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964ECD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E02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947DE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3807" w:type="dxa"/>
                  <w:vAlign w:val="center"/>
                </w:tcPr>
                <w:p w14:paraId="521EB1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台约盾牌恒温恒室机室外机组 MO42 的巡检维护</w:t>
                  </w:r>
                </w:p>
              </w:tc>
              <w:tc>
                <w:tcPr>
                  <w:tcW w:w="804" w:type="dxa"/>
                  <w:vAlign w:val="center"/>
                </w:tcPr>
                <w:p w14:paraId="50AFD2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8C15A8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574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BE584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3807" w:type="dxa"/>
                  <w:vAlign w:val="center"/>
                </w:tcPr>
                <w:p w14:paraId="4F4052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JC7 的 巡检维护</w:t>
                  </w:r>
                </w:p>
              </w:tc>
              <w:tc>
                <w:tcPr>
                  <w:tcW w:w="804" w:type="dxa"/>
                  <w:vAlign w:val="center"/>
                </w:tcPr>
                <w:p w14:paraId="40A2ED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573FDC4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20A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36FE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3807" w:type="dxa"/>
                  <w:vAlign w:val="center"/>
                </w:tcPr>
                <w:p w14:paraId="60F5FF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台约顿牌恒温恒室机室外机组 MO30 的巡检维护</w:t>
                  </w:r>
                </w:p>
              </w:tc>
              <w:tc>
                <w:tcPr>
                  <w:tcW w:w="804" w:type="dxa"/>
                  <w:vAlign w:val="center"/>
                </w:tcPr>
                <w:p w14:paraId="51E146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3E2A293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259D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57C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3807" w:type="dxa"/>
                  <w:vAlign w:val="center"/>
                </w:tcPr>
                <w:p w14:paraId="417E53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台约顿牌应急除尘风柜的巡检维护</w:t>
                  </w:r>
                </w:p>
              </w:tc>
              <w:tc>
                <w:tcPr>
                  <w:tcW w:w="804" w:type="dxa"/>
                  <w:vAlign w:val="center"/>
                </w:tcPr>
                <w:p w14:paraId="3AFB63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E593E6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57BE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95F9F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3807" w:type="dxa"/>
                  <w:vAlign w:val="center"/>
                </w:tcPr>
                <w:p w14:paraId="177CBC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台约顿牌水幕除尘机组的巡检维护</w:t>
                  </w:r>
                </w:p>
              </w:tc>
              <w:tc>
                <w:tcPr>
                  <w:tcW w:w="804" w:type="dxa"/>
                  <w:vAlign w:val="center"/>
                </w:tcPr>
                <w:p w14:paraId="7B155D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5FE482A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1261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74BCF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3807" w:type="dxa"/>
                  <w:vAlign w:val="center"/>
                </w:tcPr>
                <w:p w14:paraId="086C19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水幕除尘机组风压传感器</w:t>
                  </w:r>
                </w:p>
              </w:tc>
              <w:tc>
                <w:tcPr>
                  <w:tcW w:w="804" w:type="dxa"/>
                  <w:vAlign w:val="center"/>
                </w:tcPr>
                <w:p w14:paraId="73715F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47EAAB8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581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43D7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3807" w:type="dxa"/>
                  <w:vAlign w:val="center"/>
                </w:tcPr>
                <w:p w14:paraId="63BCEA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套约顿牌末端电加热系统的巡检维护</w:t>
                  </w:r>
                </w:p>
              </w:tc>
              <w:tc>
                <w:tcPr>
                  <w:tcW w:w="804" w:type="dxa"/>
                  <w:vAlign w:val="center"/>
                </w:tcPr>
                <w:p w14:paraId="0DD4DA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1562AA6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069F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86768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3807" w:type="dxa"/>
                  <w:vAlign w:val="center"/>
                </w:tcPr>
                <w:p w14:paraId="70456B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 台约顿牌 SCR 末端辅助电加热器的巡检维护</w:t>
                  </w:r>
                </w:p>
              </w:tc>
              <w:tc>
                <w:tcPr>
                  <w:tcW w:w="804" w:type="dxa"/>
                  <w:vAlign w:val="center"/>
                </w:tcPr>
                <w:p w14:paraId="18AD0F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40CB0D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0F98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F1856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3807" w:type="dxa"/>
                  <w:vAlign w:val="center"/>
                </w:tcPr>
                <w:p w14:paraId="236256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 SCR 末端辅助电加热器控制主板</w:t>
                  </w:r>
                </w:p>
              </w:tc>
              <w:tc>
                <w:tcPr>
                  <w:tcW w:w="804" w:type="dxa"/>
                  <w:vAlign w:val="center"/>
                </w:tcPr>
                <w:p w14:paraId="1C7DD3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4536100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D4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BB2D1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3807" w:type="dxa"/>
                  <w:vAlign w:val="center"/>
                </w:tcPr>
                <w:p w14:paraId="07B09B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外挂电梯口冷风处理设备</w:t>
                  </w:r>
                </w:p>
              </w:tc>
              <w:tc>
                <w:tcPr>
                  <w:tcW w:w="804" w:type="dxa"/>
                  <w:vAlign w:val="center"/>
                </w:tcPr>
                <w:p w14:paraId="766978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66882C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148B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F80CD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3807" w:type="dxa"/>
                  <w:vAlign w:val="center"/>
                </w:tcPr>
                <w:p w14:paraId="2ABA41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 台约顿牌温湿度记录仪的巡检维护</w:t>
                  </w:r>
                </w:p>
              </w:tc>
              <w:tc>
                <w:tcPr>
                  <w:tcW w:w="804" w:type="dxa"/>
                  <w:vAlign w:val="center"/>
                </w:tcPr>
                <w:p w14:paraId="062AF8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2BEF17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687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00B48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3807" w:type="dxa"/>
                  <w:vAlign w:val="center"/>
                </w:tcPr>
                <w:p w14:paraId="12D9FE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视频转换模块的巡检维护</w:t>
                  </w:r>
                </w:p>
              </w:tc>
              <w:tc>
                <w:tcPr>
                  <w:tcW w:w="804" w:type="dxa"/>
                  <w:vAlign w:val="center"/>
                </w:tcPr>
                <w:p w14:paraId="493F1A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623D047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170E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31B5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3807" w:type="dxa"/>
                  <w:vAlign w:val="center"/>
                </w:tcPr>
                <w:p w14:paraId="20AA36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液晶显示屏的巡检维护</w:t>
                  </w:r>
                </w:p>
              </w:tc>
              <w:tc>
                <w:tcPr>
                  <w:tcW w:w="804" w:type="dxa"/>
                  <w:vAlign w:val="center"/>
                </w:tcPr>
                <w:p w14:paraId="352C85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63A25BD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0C4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3CC70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3807" w:type="dxa"/>
                  <w:vAlign w:val="center"/>
                </w:tcPr>
                <w:p w14:paraId="5A91A2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一级过滤器</w:t>
                  </w:r>
                </w:p>
              </w:tc>
              <w:tc>
                <w:tcPr>
                  <w:tcW w:w="804" w:type="dxa"/>
                  <w:vAlign w:val="center"/>
                </w:tcPr>
                <w:p w14:paraId="2AD741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946EB2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r>
            <w:tr w14:paraId="7E42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B019F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3807" w:type="dxa"/>
                  <w:vAlign w:val="center"/>
                </w:tcPr>
                <w:p w14:paraId="242F3B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不锈钢过滤网</w:t>
                  </w:r>
                </w:p>
              </w:tc>
              <w:tc>
                <w:tcPr>
                  <w:tcW w:w="804" w:type="dxa"/>
                  <w:vAlign w:val="center"/>
                </w:tcPr>
                <w:p w14:paraId="4FE3C0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AE9F07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r>
            <w:tr w14:paraId="312E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15BB1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3807" w:type="dxa"/>
                  <w:vAlign w:val="center"/>
                </w:tcPr>
                <w:p w14:paraId="698F44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尼龙网过滤网</w:t>
                  </w:r>
                </w:p>
              </w:tc>
              <w:tc>
                <w:tcPr>
                  <w:tcW w:w="804" w:type="dxa"/>
                  <w:vAlign w:val="center"/>
                </w:tcPr>
                <w:p w14:paraId="13A654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BD214A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r>
            <w:tr w14:paraId="05A6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BE156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3807" w:type="dxa"/>
                  <w:vAlign w:val="center"/>
                </w:tcPr>
                <w:p w14:paraId="682800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二级不锈钢过滤器</w:t>
                  </w:r>
                </w:p>
              </w:tc>
              <w:tc>
                <w:tcPr>
                  <w:tcW w:w="804" w:type="dxa"/>
                  <w:vAlign w:val="center"/>
                </w:tcPr>
                <w:p w14:paraId="0D3499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30AAA7B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204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23D7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37</w:t>
                  </w:r>
                </w:p>
              </w:tc>
              <w:tc>
                <w:tcPr>
                  <w:tcW w:w="3807" w:type="dxa"/>
                  <w:vAlign w:val="center"/>
                </w:tcPr>
                <w:p w14:paraId="01E229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软化水系统增压水泵</w:t>
                  </w:r>
                </w:p>
              </w:tc>
              <w:tc>
                <w:tcPr>
                  <w:tcW w:w="804" w:type="dxa"/>
                  <w:vAlign w:val="center"/>
                </w:tcPr>
                <w:p w14:paraId="0E4814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14A1EB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CE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2093D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38</w:t>
                  </w:r>
                </w:p>
              </w:tc>
              <w:tc>
                <w:tcPr>
                  <w:tcW w:w="3807" w:type="dxa"/>
                  <w:vAlign w:val="center"/>
                </w:tcPr>
                <w:p w14:paraId="2C013E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软化水系统的增压水泵维护</w:t>
                  </w:r>
                </w:p>
              </w:tc>
              <w:tc>
                <w:tcPr>
                  <w:tcW w:w="804" w:type="dxa"/>
                  <w:vAlign w:val="center"/>
                </w:tcPr>
                <w:p w14:paraId="466547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5AC5F7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437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A1C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39</w:t>
                  </w:r>
                </w:p>
              </w:tc>
              <w:tc>
                <w:tcPr>
                  <w:tcW w:w="3807" w:type="dxa"/>
                  <w:vAlign w:val="center"/>
                </w:tcPr>
                <w:p w14:paraId="2B78B8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通风风道清洁设备</w:t>
                  </w:r>
                </w:p>
              </w:tc>
              <w:tc>
                <w:tcPr>
                  <w:tcW w:w="804" w:type="dxa"/>
                  <w:vAlign w:val="center"/>
                </w:tcPr>
                <w:p w14:paraId="21D09C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A23170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r>
            <w:tr w14:paraId="4F3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8E132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3807" w:type="dxa"/>
                  <w:vAlign w:val="center"/>
                </w:tcPr>
                <w:p w14:paraId="1E5EBB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软化水系统的树脂</w:t>
                  </w:r>
                </w:p>
              </w:tc>
              <w:tc>
                <w:tcPr>
                  <w:tcW w:w="804" w:type="dxa"/>
                  <w:vAlign w:val="center"/>
                </w:tcPr>
                <w:p w14:paraId="7F0B5D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1DD1D0C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w:t>
                  </w:r>
                </w:p>
              </w:tc>
            </w:tr>
            <w:tr w14:paraId="5D9B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6574A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3807" w:type="dxa"/>
                  <w:vAlign w:val="center"/>
                </w:tcPr>
                <w:p w14:paraId="34B24F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软化水系统的工业盐</w:t>
                  </w:r>
                </w:p>
              </w:tc>
              <w:tc>
                <w:tcPr>
                  <w:tcW w:w="804" w:type="dxa"/>
                  <w:vAlign w:val="center"/>
                </w:tcPr>
                <w:p w14:paraId="2DD1CA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10554A7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003B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98A0C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42</w:t>
                  </w:r>
                </w:p>
              </w:tc>
              <w:tc>
                <w:tcPr>
                  <w:tcW w:w="3807" w:type="dxa"/>
                  <w:vAlign w:val="center"/>
                </w:tcPr>
                <w:p w14:paraId="23C435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阿特拉斯牌空气压缩机的空气 滤芯</w:t>
                  </w:r>
                </w:p>
              </w:tc>
              <w:tc>
                <w:tcPr>
                  <w:tcW w:w="804" w:type="dxa"/>
                  <w:vAlign w:val="center"/>
                </w:tcPr>
                <w:p w14:paraId="56E7A1E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B4C1D1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0F5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AD521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3807" w:type="dxa"/>
                  <w:vAlign w:val="center"/>
                </w:tcPr>
                <w:p w14:paraId="3F26AE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 滤芯</w:t>
                  </w:r>
                </w:p>
              </w:tc>
              <w:tc>
                <w:tcPr>
                  <w:tcW w:w="804" w:type="dxa"/>
                  <w:vAlign w:val="center"/>
                </w:tcPr>
                <w:p w14:paraId="35C8D3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45D98B4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664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64EA7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44</w:t>
                  </w:r>
                </w:p>
              </w:tc>
              <w:tc>
                <w:tcPr>
                  <w:tcW w:w="3807" w:type="dxa"/>
                  <w:vAlign w:val="center"/>
                </w:tcPr>
                <w:p w14:paraId="655C30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阿特拉斯牌空气压缩机的油气 分离器</w:t>
                  </w:r>
                </w:p>
              </w:tc>
              <w:tc>
                <w:tcPr>
                  <w:tcW w:w="804" w:type="dxa"/>
                  <w:vAlign w:val="center"/>
                </w:tcPr>
                <w:p w14:paraId="1D5A96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EC4446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6522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FAFE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3807" w:type="dxa"/>
                  <w:vAlign w:val="center"/>
                </w:tcPr>
                <w:p w14:paraId="708179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804" w:type="dxa"/>
                  <w:vAlign w:val="center"/>
                </w:tcPr>
                <w:p w14:paraId="3DB030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720" w:type="dxa"/>
                  <w:vAlign w:val="center"/>
                </w:tcPr>
                <w:p w14:paraId="7D510DF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2B22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5E9D3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46</w:t>
                  </w:r>
                </w:p>
              </w:tc>
              <w:tc>
                <w:tcPr>
                  <w:tcW w:w="3807" w:type="dxa"/>
                  <w:vAlign w:val="center"/>
                </w:tcPr>
                <w:p w14:paraId="7B8641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自动排水装置维护</w:t>
                  </w:r>
                </w:p>
              </w:tc>
              <w:tc>
                <w:tcPr>
                  <w:tcW w:w="804" w:type="dxa"/>
                  <w:vAlign w:val="center"/>
                </w:tcPr>
                <w:p w14:paraId="718F11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179F2A2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r>
            <w:tr w14:paraId="673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E74D6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47</w:t>
                  </w:r>
                </w:p>
              </w:tc>
              <w:tc>
                <w:tcPr>
                  <w:tcW w:w="3807" w:type="dxa"/>
                  <w:vAlign w:val="center"/>
                </w:tcPr>
                <w:p w14:paraId="635E4E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山立牌空气干燥机的日常维护</w:t>
                  </w:r>
                </w:p>
              </w:tc>
              <w:tc>
                <w:tcPr>
                  <w:tcW w:w="804" w:type="dxa"/>
                  <w:vAlign w:val="center"/>
                </w:tcPr>
                <w:p w14:paraId="4A35B7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1D24785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20E3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9DDE3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3807" w:type="dxa"/>
                  <w:vAlign w:val="center"/>
                </w:tcPr>
                <w:p w14:paraId="7B31D3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干燥剂</w:t>
                  </w:r>
                </w:p>
              </w:tc>
              <w:tc>
                <w:tcPr>
                  <w:tcW w:w="804" w:type="dxa"/>
                  <w:vAlign w:val="center"/>
                </w:tcPr>
                <w:p w14:paraId="1D4210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0E10AFA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125</w:t>
                  </w:r>
                </w:p>
              </w:tc>
            </w:tr>
            <w:tr w14:paraId="4AAE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393F7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3807" w:type="dxa"/>
                  <w:vAlign w:val="center"/>
                </w:tcPr>
                <w:p w14:paraId="6A22B0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科士达 UPS 主机的日常巡检</w:t>
                  </w:r>
                </w:p>
              </w:tc>
              <w:tc>
                <w:tcPr>
                  <w:tcW w:w="804" w:type="dxa"/>
                  <w:vAlign w:val="center"/>
                </w:tcPr>
                <w:p w14:paraId="04DB0F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A3F0FE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BF5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3BFE8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3807" w:type="dxa"/>
                  <w:vAlign w:val="center"/>
                </w:tcPr>
                <w:p w14:paraId="5B8F66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松下牌电池的测定</w:t>
                  </w:r>
                </w:p>
              </w:tc>
              <w:tc>
                <w:tcPr>
                  <w:tcW w:w="804" w:type="dxa"/>
                  <w:vAlign w:val="center"/>
                </w:tcPr>
                <w:p w14:paraId="0924C8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节</w:t>
                  </w:r>
                </w:p>
              </w:tc>
              <w:tc>
                <w:tcPr>
                  <w:tcW w:w="720" w:type="dxa"/>
                  <w:vAlign w:val="center"/>
                </w:tcPr>
                <w:p w14:paraId="08DA909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64</w:t>
                  </w:r>
                </w:p>
              </w:tc>
            </w:tr>
            <w:tr w14:paraId="640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179E7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51</w:t>
                  </w:r>
                </w:p>
              </w:tc>
              <w:tc>
                <w:tcPr>
                  <w:tcW w:w="3807" w:type="dxa"/>
                  <w:vAlign w:val="center"/>
                </w:tcPr>
                <w:p w14:paraId="72B24B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蒙特牌转轮除湿机的日常维护</w:t>
                  </w:r>
                </w:p>
              </w:tc>
              <w:tc>
                <w:tcPr>
                  <w:tcW w:w="804" w:type="dxa"/>
                  <w:vAlign w:val="center"/>
                </w:tcPr>
                <w:p w14:paraId="6BD24E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2F787F0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580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5349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3807" w:type="dxa"/>
                  <w:vAlign w:val="center"/>
                </w:tcPr>
                <w:p w14:paraId="7BF8C45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实验室广播系统维护</w:t>
                  </w:r>
                </w:p>
              </w:tc>
              <w:tc>
                <w:tcPr>
                  <w:tcW w:w="804" w:type="dxa"/>
                  <w:vAlign w:val="center"/>
                </w:tcPr>
                <w:p w14:paraId="268F2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146726D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E0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C1ED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3807" w:type="dxa"/>
                  <w:vAlign w:val="center"/>
                </w:tcPr>
                <w:p w14:paraId="55AD63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实验室监控系统维护</w:t>
                  </w:r>
                </w:p>
              </w:tc>
              <w:tc>
                <w:tcPr>
                  <w:tcW w:w="804" w:type="dxa"/>
                  <w:vAlign w:val="center"/>
                </w:tcPr>
                <w:p w14:paraId="633857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3958C7F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07A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31579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54</w:t>
                  </w:r>
                </w:p>
              </w:tc>
              <w:tc>
                <w:tcPr>
                  <w:tcW w:w="3807" w:type="dxa"/>
                  <w:vAlign w:val="center"/>
                </w:tcPr>
                <w:p w14:paraId="4C23B5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天加牌恒温恒湿空调内外机组 检修保养</w:t>
                  </w:r>
                </w:p>
              </w:tc>
              <w:tc>
                <w:tcPr>
                  <w:tcW w:w="804" w:type="dxa"/>
                  <w:vAlign w:val="center"/>
                </w:tcPr>
                <w:p w14:paraId="0D1D56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983EE1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341E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0BDA2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3807" w:type="dxa"/>
                  <w:vAlign w:val="center"/>
                </w:tcPr>
                <w:p w14:paraId="50E9A0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天加牌恒温恒湿空调皮带耗材</w:t>
                  </w:r>
                </w:p>
              </w:tc>
              <w:tc>
                <w:tcPr>
                  <w:tcW w:w="804" w:type="dxa"/>
                  <w:vAlign w:val="center"/>
                </w:tcPr>
                <w:p w14:paraId="139C06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D9DAC5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r>
            <w:tr w14:paraId="6217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D5AD0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56</w:t>
                  </w:r>
                </w:p>
              </w:tc>
              <w:tc>
                <w:tcPr>
                  <w:tcW w:w="3807" w:type="dxa"/>
                  <w:vAlign w:val="center"/>
                </w:tcPr>
                <w:p w14:paraId="0F1F22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天加牌恒温恒湿空调初效耗材</w:t>
                  </w:r>
                </w:p>
              </w:tc>
              <w:tc>
                <w:tcPr>
                  <w:tcW w:w="804" w:type="dxa"/>
                  <w:vAlign w:val="center"/>
                </w:tcPr>
                <w:p w14:paraId="7D0FEB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0F2C36A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20B0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8A9E4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57</w:t>
                  </w:r>
                </w:p>
              </w:tc>
              <w:tc>
                <w:tcPr>
                  <w:tcW w:w="3807" w:type="dxa"/>
                  <w:vAlign w:val="center"/>
                </w:tcPr>
                <w:p w14:paraId="6C8BDD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天加牌恒温恒湿空调中效耗材</w:t>
                  </w:r>
                </w:p>
              </w:tc>
              <w:tc>
                <w:tcPr>
                  <w:tcW w:w="804" w:type="dxa"/>
                  <w:vAlign w:val="center"/>
                </w:tcPr>
                <w:p w14:paraId="58C8B57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2E5AD2B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2850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B7471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58</w:t>
                  </w:r>
                </w:p>
              </w:tc>
              <w:tc>
                <w:tcPr>
                  <w:tcW w:w="3807" w:type="dxa"/>
                  <w:vAlign w:val="center"/>
                </w:tcPr>
                <w:p w14:paraId="0BE7EB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天加牌恒温恒湿空调高效耗材</w:t>
                  </w:r>
                </w:p>
              </w:tc>
              <w:tc>
                <w:tcPr>
                  <w:tcW w:w="804" w:type="dxa"/>
                  <w:vAlign w:val="center"/>
                </w:tcPr>
                <w:p w14:paraId="1DF3F0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3F6F8BC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7D1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CF742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59</w:t>
                  </w:r>
                </w:p>
              </w:tc>
              <w:tc>
                <w:tcPr>
                  <w:tcW w:w="3807" w:type="dxa"/>
                  <w:vAlign w:val="center"/>
                </w:tcPr>
                <w:p w14:paraId="7FE394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25kg加湿桶</w:t>
                  </w:r>
                </w:p>
              </w:tc>
              <w:tc>
                <w:tcPr>
                  <w:tcW w:w="804" w:type="dxa"/>
                  <w:vAlign w:val="center"/>
                </w:tcPr>
                <w:p w14:paraId="5F0921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4B7999A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4CD5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E0544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w:t>
                  </w:r>
                </w:p>
              </w:tc>
              <w:tc>
                <w:tcPr>
                  <w:tcW w:w="3807" w:type="dxa"/>
                  <w:vAlign w:val="center"/>
                </w:tcPr>
                <w:p w14:paraId="57FDC8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15kg加湿桶</w:t>
                  </w:r>
                </w:p>
              </w:tc>
              <w:tc>
                <w:tcPr>
                  <w:tcW w:w="804" w:type="dxa"/>
                  <w:vAlign w:val="center"/>
                </w:tcPr>
                <w:p w14:paraId="29E7EB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8C1A8E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1F5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C677B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61</w:t>
                  </w:r>
                </w:p>
              </w:tc>
              <w:tc>
                <w:tcPr>
                  <w:tcW w:w="3807" w:type="dxa"/>
                  <w:vAlign w:val="center"/>
                </w:tcPr>
                <w:p w14:paraId="0B0E28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天加牌恒温恒湿空调排水系统 改造解决漏水问题</w:t>
                  </w:r>
                </w:p>
              </w:tc>
              <w:tc>
                <w:tcPr>
                  <w:tcW w:w="804" w:type="dxa"/>
                  <w:vAlign w:val="center"/>
                </w:tcPr>
                <w:p w14:paraId="7A5E98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3DA952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B7B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BC44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62</w:t>
                  </w:r>
                </w:p>
              </w:tc>
              <w:tc>
                <w:tcPr>
                  <w:tcW w:w="3807" w:type="dxa"/>
                  <w:vAlign w:val="center"/>
                </w:tcPr>
                <w:p w14:paraId="1ABD9B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天加牌恒温恒湿空调主机控制 板</w:t>
                  </w:r>
                </w:p>
              </w:tc>
              <w:tc>
                <w:tcPr>
                  <w:tcW w:w="804" w:type="dxa"/>
                  <w:vAlign w:val="center"/>
                </w:tcPr>
                <w:p w14:paraId="298902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6424803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C77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FECB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63</w:t>
                  </w:r>
                </w:p>
              </w:tc>
              <w:tc>
                <w:tcPr>
                  <w:tcW w:w="3807" w:type="dxa"/>
                  <w:vAlign w:val="center"/>
                </w:tcPr>
                <w:p w14:paraId="41D12C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阿特拉斯空气压缩系统空气滤 芯保养</w:t>
                  </w:r>
                </w:p>
              </w:tc>
              <w:tc>
                <w:tcPr>
                  <w:tcW w:w="804" w:type="dxa"/>
                  <w:vAlign w:val="center"/>
                </w:tcPr>
                <w:p w14:paraId="7FFC98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FAC3B6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D9A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52219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64</w:t>
                  </w:r>
                </w:p>
              </w:tc>
              <w:tc>
                <w:tcPr>
                  <w:tcW w:w="3807" w:type="dxa"/>
                  <w:vAlign w:val="center"/>
                </w:tcPr>
                <w:p w14:paraId="0DF5AE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阿特拉斯空气压缩系统机油滤 芯保养</w:t>
                  </w:r>
                </w:p>
              </w:tc>
              <w:tc>
                <w:tcPr>
                  <w:tcW w:w="804" w:type="dxa"/>
                  <w:vAlign w:val="center"/>
                </w:tcPr>
                <w:p w14:paraId="7F783F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0F3768B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ED1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4879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65</w:t>
                  </w:r>
                </w:p>
              </w:tc>
              <w:tc>
                <w:tcPr>
                  <w:tcW w:w="3807" w:type="dxa"/>
                  <w:vAlign w:val="center"/>
                </w:tcPr>
                <w:p w14:paraId="77976F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阿特拉斯空气压缩系统油气分 离器保养</w:t>
                  </w:r>
                </w:p>
              </w:tc>
              <w:tc>
                <w:tcPr>
                  <w:tcW w:w="804" w:type="dxa"/>
                  <w:vAlign w:val="center"/>
                </w:tcPr>
                <w:p w14:paraId="34EE01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090BDE2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650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97B3C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66</w:t>
                  </w:r>
                </w:p>
              </w:tc>
              <w:tc>
                <w:tcPr>
                  <w:tcW w:w="3807" w:type="dxa"/>
                  <w:vAlign w:val="center"/>
                </w:tcPr>
                <w:p w14:paraId="67A49B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804" w:type="dxa"/>
                  <w:vAlign w:val="center"/>
                </w:tcPr>
                <w:p w14:paraId="072277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720" w:type="dxa"/>
                  <w:vAlign w:val="center"/>
                </w:tcPr>
                <w:p w14:paraId="423B091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r>
            <w:tr w14:paraId="377B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555C2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67</w:t>
                  </w:r>
                </w:p>
              </w:tc>
              <w:tc>
                <w:tcPr>
                  <w:tcW w:w="3807" w:type="dxa"/>
                  <w:vAlign w:val="center"/>
                </w:tcPr>
                <w:p w14:paraId="003D34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阿特拉斯空气压缩系统正常保 养</w:t>
                  </w:r>
                </w:p>
              </w:tc>
              <w:tc>
                <w:tcPr>
                  <w:tcW w:w="804" w:type="dxa"/>
                  <w:vAlign w:val="center"/>
                </w:tcPr>
                <w:p w14:paraId="1D9D4E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A80FDB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FA1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AE9EB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w:t>
                  </w:r>
                </w:p>
              </w:tc>
              <w:tc>
                <w:tcPr>
                  <w:tcW w:w="3807" w:type="dxa"/>
                  <w:vAlign w:val="center"/>
                </w:tcPr>
                <w:p w14:paraId="1138B4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空气干燥剂</w:t>
                  </w:r>
                </w:p>
              </w:tc>
              <w:tc>
                <w:tcPr>
                  <w:tcW w:w="804" w:type="dxa"/>
                  <w:vAlign w:val="center"/>
                </w:tcPr>
                <w:p w14:paraId="5387EF1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5F6DCA2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29B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C7491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69</w:t>
                  </w:r>
                </w:p>
              </w:tc>
              <w:tc>
                <w:tcPr>
                  <w:tcW w:w="3807" w:type="dxa"/>
                  <w:vAlign w:val="center"/>
                </w:tcPr>
                <w:p w14:paraId="11419B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冷干机保养</w:t>
                  </w:r>
                </w:p>
              </w:tc>
              <w:tc>
                <w:tcPr>
                  <w:tcW w:w="804" w:type="dxa"/>
                  <w:vAlign w:val="center"/>
                </w:tcPr>
                <w:p w14:paraId="555D18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E8F933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4DE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8BA9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70</w:t>
                  </w:r>
                </w:p>
              </w:tc>
              <w:tc>
                <w:tcPr>
                  <w:tcW w:w="3807" w:type="dxa"/>
                  <w:vAlign w:val="center"/>
                </w:tcPr>
                <w:p w14:paraId="1DD13C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大多联内外机保养清洗</w:t>
                  </w:r>
                </w:p>
              </w:tc>
              <w:tc>
                <w:tcPr>
                  <w:tcW w:w="804" w:type="dxa"/>
                  <w:vAlign w:val="center"/>
                </w:tcPr>
                <w:p w14:paraId="3AEC4474">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222CB5E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r>
            <w:tr w14:paraId="267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095CE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71</w:t>
                  </w:r>
                </w:p>
              </w:tc>
              <w:tc>
                <w:tcPr>
                  <w:tcW w:w="3807" w:type="dxa"/>
                  <w:vAlign w:val="center"/>
                </w:tcPr>
                <w:p w14:paraId="223DAF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风柜内外机清洗保养</w:t>
                  </w:r>
                </w:p>
              </w:tc>
              <w:tc>
                <w:tcPr>
                  <w:tcW w:w="804" w:type="dxa"/>
                  <w:vAlign w:val="center"/>
                </w:tcPr>
                <w:p w14:paraId="6A9693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04F23CF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0D82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67DB6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72</w:t>
                  </w:r>
                </w:p>
              </w:tc>
              <w:tc>
                <w:tcPr>
                  <w:tcW w:w="3807" w:type="dxa"/>
                  <w:vAlign w:val="center"/>
                </w:tcPr>
                <w:p w14:paraId="38F0CC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风柜初效滤网更换</w:t>
                  </w:r>
                </w:p>
              </w:tc>
              <w:tc>
                <w:tcPr>
                  <w:tcW w:w="804" w:type="dxa"/>
                  <w:vAlign w:val="center"/>
                </w:tcPr>
                <w:p w14:paraId="000702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31FE648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r>
            <w:tr w14:paraId="3072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889C2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73</w:t>
                  </w:r>
                </w:p>
              </w:tc>
              <w:tc>
                <w:tcPr>
                  <w:tcW w:w="3807" w:type="dxa"/>
                  <w:vAlign w:val="center"/>
                </w:tcPr>
                <w:p w14:paraId="190B0B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中效袋式空气过滤器</w:t>
                  </w:r>
                </w:p>
              </w:tc>
              <w:tc>
                <w:tcPr>
                  <w:tcW w:w="804" w:type="dxa"/>
                  <w:vAlign w:val="center"/>
                </w:tcPr>
                <w:p w14:paraId="62C31C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5AF6306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r>
            <w:tr w14:paraId="118E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1E0D2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74</w:t>
                  </w:r>
                </w:p>
              </w:tc>
              <w:tc>
                <w:tcPr>
                  <w:tcW w:w="3807" w:type="dxa"/>
                  <w:vAlign w:val="center"/>
                </w:tcPr>
                <w:p w14:paraId="649CBC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高过滤器更换</w:t>
                  </w:r>
                </w:p>
              </w:tc>
              <w:tc>
                <w:tcPr>
                  <w:tcW w:w="804" w:type="dxa"/>
                  <w:vAlign w:val="center"/>
                </w:tcPr>
                <w:p w14:paraId="4C9798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C5EC3B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r>
            <w:tr w14:paraId="392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72D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75</w:t>
                  </w:r>
                </w:p>
              </w:tc>
              <w:tc>
                <w:tcPr>
                  <w:tcW w:w="3807" w:type="dxa"/>
                  <w:vAlign w:val="center"/>
                </w:tcPr>
                <w:p w14:paraId="5BD5DA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新风机</w:t>
                  </w:r>
                </w:p>
              </w:tc>
              <w:tc>
                <w:tcPr>
                  <w:tcW w:w="804" w:type="dxa"/>
                  <w:vAlign w:val="center"/>
                </w:tcPr>
                <w:p w14:paraId="54FFD1E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03B762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AC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FAFA83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76</w:t>
                  </w:r>
                </w:p>
              </w:tc>
              <w:tc>
                <w:tcPr>
                  <w:tcW w:w="3807" w:type="dxa"/>
                  <w:vAlign w:val="center"/>
                </w:tcPr>
                <w:p w14:paraId="13F964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中央空调室内机</w:t>
                  </w:r>
                </w:p>
              </w:tc>
              <w:tc>
                <w:tcPr>
                  <w:tcW w:w="804" w:type="dxa"/>
                  <w:vAlign w:val="center"/>
                </w:tcPr>
                <w:p w14:paraId="33517C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4539B0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5F5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D150B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77</w:t>
                  </w:r>
                </w:p>
              </w:tc>
              <w:tc>
                <w:tcPr>
                  <w:tcW w:w="3807" w:type="dxa"/>
                  <w:vAlign w:val="center"/>
                </w:tcPr>
                <w:p w14:paraId="7CFD09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排风机</w:t>
                  </w:r>
                </w:p>
              </w:tc>
              <w:tc>
                <w:tcPr>
                  <w:tcW w:w="804" w:type="dxa"/>
                  <w:vAlign w:val="center"/>
                </w:tcPr>
                <w:p w14:paraId="1190F4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2D485A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r>
            <w:tr w14:paraId="5B4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F833D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78</w:t>
                  </w:r>
                </w:p>
              </w:tc>
              <w:tc>
                <w:tcPr>
                  <w:tcW w:w="3807" w:type="dxa"/>
                  <w:vAlign w:val="center"/>
                </w:tcPr>
                <w:p w14:paraId="0341B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空调系统保养维护</w:t>
                  </w:r>
                </w:p>
              </w:tc>
              <w:tc>
                <w:tcPr>
                  <w:tcW w:w="804" w:type="dxa"/>
                  <w:vAlign w:val="center"/>
                </w:tcPr>
                <w:p w14:paraId="796D8C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48F2865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ADE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E1C63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79</w:t>
                  </w:r>
                </w:p>
              </w:tc>
              <w:tc>
                <w:tcPr>
                  <w:tcW w:w="3807" w:type="dxa"/>
                  <w:vAlign w:val="center"/>
                </w:tcPr>
                <w:p w14:paraId="3FD277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机组内加湿器维护保养</w:t>
                  </w:r>
                </w:p>
              </w:tc>
              <w:tc>
                <w:tcPr>
                  <w:tcW w:w="804" w:type="dxa"/>
                  <w:vAlign w:val="center"/>
                </w:tcPr>
                <w:p w14:paraId="17B9F0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EE4A7D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4B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3C7FB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w:t>
                  </w:r>
                </w:p>
              </w:tc>
              <w:tc>
                <w:tcPr>
                  <w:tcW w:w="3807" w:type="dxa"/>
                  <w:vAlign w:val="center"/>
                </w:tcPr>
                <w:p w14:paraId="3750C8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机组内电加热器维护保养</w:t>
                  </w:r>
                </w:p>
              </w:tc>
              <w:tc>
                <w:tcPr>
                  <w:tcW w:w="804" w:type="dxa"/>
                  <w:vAlign w:val="center"/>
                </w:tcPr>
                <w:p w14:paraId="6F641C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9FE46A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A0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E2D63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81</w:t>
                  </w:r>
                </w:p>
              </w:tc>
              <w:tc>
                <w:tcPr>
                  <w:tcW w:w="3807" w:type="dxa"/>
                  <w:vAlign w:val="center"/>
                </w:tcPr>
                <w:p w14:paraId="2D2FB0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机组内臭氧发生器维护保养</w:t>
                  </w:r>
                </w:p>
              </w:tc>
              <w:tc>
                <w:tcPr>
                  <w:tcW w:w="804" w:type="dxa"/>
                  <w:vAlign w:val="center"/>
                </w:tcPr>
                <w:p w14:paraId="1D298B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63EEA1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245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40229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82</w:t>
                  </w:r>
                </w:p>
              </w:tc>
              <w:tc>
                <w:tcPr>
                  <w:tcW w:w="3807" w:type="dxa"/>
                  <w:vAlign w:val="center"/>
                </w:tcPr>
                <w:p w14:paraId="5CA849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内外机保养清洗</w:t>
                  </w:r>
                </w:p>
              </w:tc>
              <w:tc>
                <w:tcPr>
                  <w:tcW w:w="804" w:type="dxa"/>
                  <w:vAlign w:val="center"/>
                </w:tcPr>
                <w:p w14:paraId="4E16B99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6642E6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1B1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D10F7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83</w:t>
                  </w:r>
                </w:p>
              </w:tc>
              <w:tc>
                <w:tcPr>
                  <w:tcW w:w="3807" w:type="dxa"/>
                  <w:vAlign w:val="center"/>
                </w:tcPr>
                <w:p w14:paraId="57D66D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水过滤器清洗</w:t>
                  </w:r>
                </w:p>
              </w:tc>
              <w:tc>
                <w:tcPr>
                  <w:tcW w:w="804" w:type="dxa"/>
                  <w:vAlign w:val="center"/>
                </w:tcPr>
                <w:p w14:paraId="22C6AE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4E56F5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3E9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B1265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84</w:t>
                  </w:r>
                </w:p>
              </w:tc>
              <w:tc>
                <w:tcPr>
                  <w:tcW w:w="3807" w:type="dxa"/>
                  <w:vAlign w:val="center"/>
                </w:tcPr>
                <w:p w14:paraId="0DA1D1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滤网更换</w:t>
                  </w:r>
                </w:p>
              </w:tc>
              <w:tc>
                <w:tcPr>
                  <w:tcW w:w="804" w:type="dxa"/>
                  <w:vAlign w:val="center"/>
                </w:tcPr>
                <w:p w14:paraId="23A848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0CE498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E8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6DFFE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85</w:t>
                  </w:r>
                </w:p>
              </w:tc>
              <w:tc>
                <w:tcPr>
                  <w:tcW w:w="3807" w:type="dxa"/>
                  <w:vAlign w:val="center"/>
                </w:tcPr>
                <w:p w14:paraId="252682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加湿罐清洗/ 更换</w:t>
                  </w:r>
                </w:p>
              </w:tc>
              <w:tc>
                <w:tcPr>
                  <w:tcW w:w="804" w:type="dxa"/>
                  <w:vAlign w:val="center"/>
                </w:tcPr>
                <w:p w14:paraId="49521F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03AB52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2D8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F527E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86</w:t>
                  </w:r>
                </w:p>
              </w:tc>
              <w:tc>
                <w:tcPr>
                  <w:tcW w:w="3807" w:type="dxa"/>
                  <w:vAlign w:val="center"/>
                </w:tcPr>
                <w:p w14:paraId="4E2DA7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过滤器更换</w:t>
                  </w:r>
                </w:p>
              </w:tc>
              <w:tc>
                <w:tcPr>
                  <w:tcW w:w="804" w:type="dxa"/>
                  <w:vAlign w:val="center"/>
                </w:tcPr>
                <w:p w14:paraId="298F94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0B0B67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004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BC524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87</w:t>
                  </w:r>
                </w:p>
              </w:tc>
              <w:tc>
                <w:tcPr>
                  <w:tcW w:w="3807" w:type="dxa"/>
                  <w:vAlign w:val="center"/>
                </w:tcPr>
                <w:p w14:paraId="4F8E36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加湿器维护保养</w:t>
                  </w:r>
                </w:p>
              </w:tc>
              <w:tc>
                <w:tcPr>
                  <w:tcW w:w="804" w:type="dxa"/>
                  <w:vAlign w:val="center"/>
                </w:tcPr>
                <w:p w14:paraId="1DD885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4CF0CB5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E6C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F24EC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88</w:t>
                  </w:r>
                </w:p>
              </w:tc>
              <w:tc>
                <w:tcPr>
                  <w:tcW w:w="3807" w:type="dxa"/>
                  <w:vAlign w:val="center"/>
                </w:tcPr>
                <w:p w14:paraId="16B2B5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电加热器维护保养</w:t>
                  </w:r>
                </w:p>
              </w:tc>
              <w:tc>
                <w:tcPr>
                  <w:tcW w:w="804" w:type="dxa"/>
                  <w:vAlign w:val="center"/>
                </w:tcPr>
                <w:p w14:paraId="0C3EF6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A952EF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2E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3A89A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89</w:t>
                  </w:r>
                </w:p>
              </w:tc>
              <w:tc>
                <w:tcPr>
                  <w:tcW w:w="3807" w:type="dxa"/>
                  <w:vAlign w:val="center"/>
                </w:tcPr>
                <w:p w14:paraId="1C0D0C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臭氧发生器维护保养</w:t>
                  </w:r>
                </w:p>
              </w:tc>
              <w:tc>
                <w:tcPr>
                  <w:tcW w:w="804" w:type="dxa"/>
                  <w:vAlign w:val="center"/>
                </w:tcPr>
                <w:p w14:paraId="3CB049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48AF18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91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A4577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90</w:t>
                  </w:r>
                </w:p>
              </w:tc>
              <w:tc>
                <w:tcPr>
                  <w:tcW w:w="3807" w:type="dxa"/>
                  <w:vAlign w:val="center"/>
                </w:tcPr>
                <w:p w14:paraId="461441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多联机室外机</w:t>
                  </w:r>
                </w:p>
              </w:tc>
              <w:tc>
                <w:tcPr>
                  <w:tcW w:w="804" w:type="dxa"/>
                  <w:vAlign w:val="center"/>
                </w:tcPr>
                <w:p w14:paraId="1C445D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BF6F33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A3A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005A7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91</w:t>
                  </w:r>
                </w:p>
              </w:tc>
              <w:tc>
                <w:tcPr>
                  <w:tcW w:w="3807" w:type="dxa"/>
                  <w:vAlign w:val="center"/>
                </w:tcPr>
                <w:p w14:paraId="5CFF26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多联机室内机</w:t>
                  </w:r>
                </w:p>
              </w:tc>
              <w:tc>
                <w:tcPr>
                  <w:tcW w:w="804" w:type="dxa"/>
                  <w:vAlign w:val="center"/>
                </w:tcPr>
                <w:p w14:paraId="5C5537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0995FA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不少于10台</w:t>
                  </w:r>
                </w:p>
              </w:tc>
            </w:tr>
            <w:tr w14:paraId="582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9E8AA1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87</w:t>
                  </w:r>
                </w:p>
              </w:tc>
              <w:tc>
                <w:tcPr>
                  <w:tcW w:w="3807" w:type="dxa"/>
                  <w:vAlign w:val="center"/>
                </w:tcPr>
                <w:p w14:paraId="3D92AA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加湿器维护保养</w:t>
                  </w:r>
                </w:p>
              </w:tc>
              <w:tc>
                <w:tcPr>
                  <w:tcW w:w="804" w:type="dxa"/>
                  <w:vAlign w:val="center"/>
                </w:tcPr>
                <w:p w14:paraId="40C5BF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507207E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06B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6EB82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88</w:t>
                  </w:r>
                </w:p>
              </w:tc>
              <w:tc>
                <w:tcPr>
                  <w:tcW w:w="3807" w:type="dxa"/>
                  <w:vAlign w:val="center"/>
                </w:tcPr>
                <w:p w14:paraId="5F8D322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电加热器维护保养</w:t>
                  </w:r>
                </w:p>
              </w:tc>
              <w:tc>
                <w:tcPr>
                  <w:tcW w:w="804" w:type="dxa"/>
                  <w:vAlign w:val="center"/>
                </w:tcPr>
                <w:p w14:paraId="44288B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20C722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E8A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B3DE0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89</w:t>
                  </w:r>
                </w:p>
              </w:tc>
              <w:tc>
                <w:tcPr>
                  <w:tcW w:w="3807" w:type="dxa"/>
                  <w:vAlign w:val="center"/>
                </w:tcPr>
                <w:p w14:paraId="04A203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臭氧发生器维护保养</w:t>
                  </w:r>
                </w:p>
              </w:tc>
              <w:tc>
                <w:tcPr>
                  <w:tcW w:w="804" w:type="dxa"/>
                  <w:vAlign w:val="center"/>
                </w:tcPr>
                <w:p w14:paraId="0BD5A3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842A67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CA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8922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90</w:t>
                  </w:r>
                </w:p>
              </w:tc>
              <w:tc>
                <w:tcPr>
                  <w:tcW w:w="3807" w:type="dxa"/>
                  <w:vAlign w:val="center"/>
                </w:tcPr>
                <w:p w14:paraId="0F984A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多联机室外机</w:t>
                  </w:r>
                </w:p>
              </w:tc>
              <w:tc>
                <w:tcPr>
                  <w:tcW w:w="804" w:type="dxa"/>
                  <w:vAlign w:val="center"/>
                </w:tcPr>
                <w:p w14:paraId="4E574C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42FEB00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412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0A4E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91</w:t>
                  </w:r>
                </w:p>
              </w:tc>
              <w:tc>
                <w:tcPr>
                  <w:tcW w:w="3807" w:type="dxa"/>
                  <w:vAlign w:val="center"/>
                </w:tcPr>
                <w:p w14:paraId="5D203D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多联机室内机</w:t>
                  </w:r>
                </w:p>
              </w:tc>
              <w:tc>
                <w:tcPr>
                  <w:tcW w:w="804" w:type="dxa"/>
                  <w:vAlign w:val="center"/>
                </w:tcPr>
                <w:p w14:paraId="604C12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992BE5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不少于10台</w:t>
                  </w:r>
                </w:p>
              </w:tc>
            </w:tr>
            <w:tr w14:paraId="2629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F4EA6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92</w:t>
                  </w:r>
                </w:p>
              </w:tc>
              <w:tc>
                <w:tcPr>
                  <w:tcW w:w="3807" w:type="dxa"/>
                  <w:vAlign w:val="center"/>
                </w:tcPr>
                <w:p w14:paraId="673884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材料费</w:t>
                  </w:r>
                </w:p>
              </w:tc>
              <w:tc>
                <w:tcPr>
                  <w:tcW w:w="804" w:type="dxa"/>
                  <w:vAlign w:val="center"/>
                </w:tcPr>
                <w:p w14:paraId="2CB7B3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73CB4C3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24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81006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93</w:t>
                  </w:r>
                </w:p>
              </w:tc>
              <w:tc>
                <w:tcPr>
                  <w:tcW w:w="3807" w:type="dxa"/>
                  <w:vAlign w:val="center"/>
                </w:tcPr>
                <w:p w14:paraId="175546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温湿度记录仪</w:t>
                  </w:r>
                </w:p>
              </w:tc>
              <w:tc>
                <w:tcPr>
                  <w:tcW w:w="804" w:type="dxa"/>
                  <w:vAlign w:val="center"/>
                </w:tcPr>
                <w:p w14:paraId="13556F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92B65A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33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B7A1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94</w:t>
                  </w:r>
                </w:p>
              </w:tc>
              <w:tc>
                <w:tcPr>
                  <w:tcW w:w="3807" w:type="dxa"/>
                  <w:vAlign w:val="center"/>
                </w:tcPr>
                <w:p w14:paraId="2D4C4A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安装费</w:t>
                  </w:r>
                </w:p>
              </w:tc>
              <w:tc>
                <w:tcPr>
                  <w:tcW w:w="804" w:type="dxa"/>
                  <w:vAlign w:val="center"/>
                </w:tcPr>
                <w:p w14:paraId="5F405B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71775A7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bl>
          <w:p w14:paraId="0ED12180">
            <w:pPr>
              <w:widowControl w:val="0"/>
              <w:numPr>
                <w:ilvl w:val="0"/>
                <w:numId w:val="0"/>
              </w:numPr>
              <w:jc w:val="both"/>
              <w:rPr>
                <w:rFonts w:hint="default"/>
                <w:color w:val="auto"/>
                <w:highlight w:val="none"/>
                <w:vertAlign w:val="baseline"/>
                <w:lang w:val="en-US" w:eastAsia="zh-CN"/>
              </w:rPr>
            </w:pPr>
          </w:p>
        </w:tc>
        <w:tc>
          <w:tcPr>
            <w:tcW w:w="825" w:type="dxa"/>
            <w:vAlign w:val="center"/>
          </w:tcPr>
          <w:p w14:paraId="4C8DC14D">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290" w:type="dxa"/>
            <w:gridSpan w:val="2"/>
            <w:vAlign w:val="center"/>
          </w:tcPr>
          <w:p w14:paraId="5DD75E51">
            <w:pPr>
              <w:widowControl w:val="0"/>
              <w:jc w:val="center"/>
              <w:rPr>
                <w:color w:val="auto"/>
                <w:highlight w:val="none"/>
                <w:vertAlign w:val="baseline"/>
              </w:rPr>
            </w:pPr>
          </w:p>
        </w:tc>
      </w:tr>
      <w:tr w14:paraId="324E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471E8436">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885" w:type="dxa"/>
            <w:vAlign w:val="center"/>
          </w:tcPr>
          <w:p w14:paraId="654BE2FA">
            <w:pPr>
              <w:widowControl w:val="0"/>
              <w:jc w:val="center"/>
              <w:rPr>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实验室检验设备的配件、升级保养</w:t>
            </w:r>
          </w:p>
        </w:tc>
        <w:tc>
          <w:tcPr>
            <w:tcW w:w="6225" w:type="dxa"/>
            <w:vAlign w:val="center"/>
          </w:tcPr>
          <w:p w14:paraId="2C5E6C7E">
            <w:pPr>
              <w:widowControl w:val="0"/>
              <w:jc w:val="both"/>
              <w:rPr>
                <w:rFonts w:hint="eastAsia"/>
                <w:b/>
                <w:bCs/>
                <w:color w:val="auto"/>
                <w:highlight w:val="none"/>
                <w:vertAlign w:val="baseline"/>
              </w:rPr>
            </w:pPr>
            <w:r>
              <w:rPr>
                <w:rFonts w:hint="eastAsia"/>
                <w:b/>
                <w:bCs/>
                <w:color w:val="auto"/>
                <w:highlight w:val="none"/>
                <w:vertAlign w:val="baseline"/>
              </w:rPr>
              <w:t>二、实验室检验设备的配件、升级保养：</w:t>
            </w:r>
          </w:p>
          <w:p w14:paraId="22CE75D8">
            <w:pPr>
              <w:widowControl w:val="0"/>
              <w:jc w:val="both"/>
              <w:rPr>
                <w:rFonts w:hint="eastAsia"/>
                <w:color w:val="auto"/>
                <w:highlight w:val="none"/>
                <w:vertAlign w:val="baseline"/>
              </w:rPr>
            </w:pPr>
            <w:r>
              <w:rPr>
                <w:rFonts w:hint="eastAsia"/>
                <w:color w:val="auto"/>
                <w:highlight w:val="none"/>
                <w:vertAlign w:val="baseline"/>
              </w:rPr>
              <w:t>提供由USTER公司出产的HVI1000型棉花大容量快速测试仪的相关配件，为保障实验设备测试数据的准确性和稳定性，供应的配件须符合设备生产厂商的精度要求，详见清单。</w:t>
            </w:r>
          </w:p>
          <w:p w14:paraId="2E28A689">
            <w:pPr>
              <w:widowControl w:val="0"/>
              <w:jc w:val="both"/>
              <w:rPr>
                <w:rFonts w:hint="eastAsia"/>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对12个颜色头开展准确性调整核查服务，实施相关操作的工作人员需遵循设备生产厂商的核查规程，技术能力受到设备生产厂商的认可，促使棉花检验检测相符率提升。</w:t>
            </w:r>
          </w:p>
          <w:tbl>
            <w:tblPr>
              <w:tblStyle w:val="13"/>
              <w:tblW w:w="6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65"/>
              <w:gridCol w:w="2340"/>
              <w:gridCol w:w="660"/>
              <w:gridCol w:w="690"/>
            </w:tblGrid>
            <w:tr w14:paraId="3FE0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1DBADF3">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1665" w:type="dxa"/>
                  <w:vAlign w:val="center"/>
                </w:tcPr>
                <w:p w14:paraId="1A0075BF">
                  <w:pPr>
                    <w:widowControl w:val="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零件编号</w:t>
                  </w:r>
                </w:p>
              </w:tc>
              <w:tc>
                <w:tcPr>
                  <w:tcW w:w="2340" w:type="dxa"/>
                  <w:vAlign w:val="center"/>
                </w:tcPr>
                <w:p w14:paraId="63625130">
                  <w:pPr>
                    <w:widowControl w:val="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零件名称</w:t>
                  </w:r>
                </w:p>
              </w:tc>
              <w:tc>
                <w:tcPr>
                  <w:tcW w:w="660" w:type="dxa"/>
                  <w:vAlign w:val="center"/>
                </w:tcPr>
                <w:p w14:paraId="593160A8">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数量</w:t>
                  </w:r>
                </w:p>
              </w:tc>
              <w:tc>
                <w:tcPr>
                  <w:tcW w:w="690" w:type="dxa"/>
                  <w:vAlign w:val="center"/>
                </w:tcPr>
                <w:p w14:paraId="4A46CB66">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单位</w:t>
                  </w:r>
                </w:p>
              </w:tc>
            </w:tr>
            <w:tr w14:paraId="5B11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C5C972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65" w:type="dxa"/>
                  <w:vAlign w:val="center"/>
                </w:tcPr>
                <w:p w14:paraId="5AE40B7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255010-19302</w:t>
                  </w:r>
                </w:p>
              </w:tc>
              <w:tc>
                <w:tcPr>
                  <w:tcW w:w="2340" w:type="dxa"/>
                  <w:vAlign w:val="center"/>
                </w:tcPr>
                <w:p w14:paraId="2CE2CFB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真空电机</w:t>
                  </w:r>
                </w:p>
              </w:tc>
              <w:tc>
                <w:tcPr>
                  <w:tcW w:w="660" w:type="dxa"/>
                  <w:vAlign w:val="center"/>
                </w:tcPr>
                <w:p w14:paraId="5CA7142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690" w:type="dxa"/>
                  <w:vAlign w:val="center"/>
                </w:tcPr>
                <w:p w14:paraId="2A9F4F0E">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台</w:t>
                  </w:r>
                </w:p>
              </w:tc>
            </w:tr>
            <w:tr w14:paraId="4B6F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92AA0E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65" w:type="dxa"/>
                  <w:vAlign w:val="center"/>
                </w:tcPr>
                <w:p w14:paraId="54920E2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255010-19311</w:t>
                  </w:r>
                </w:p>
              </w:tc>
              <w:tc>
                <w:tcPr>
                  <w:tcW w:w="2340" w:type="dxa"/>
                  <w:vAlign w:val="center"/>
                </w:tcPr>
                <w:p w14:paraId="601FB16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颜色头</w:t>
                  </w:r>
                </w:p>
              </w:tc>
              <w:tc>
                <w:tcPr>
                  <w:tcW w:w="660" w:type="dxa"/>
                  <w:vAlign w:val="center"/>
                </w:tcPr>
                <w:p w14:paraId="729EE0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690" w:type="dxa"/>
                  <w:vAlign w:val="center"/>
                </w:tcPr>
                <w:p w14:paraId="3276A8A8">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0632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2F0821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665" w:type="dxa"/>
                  <w:vAlign w:val="center"/>
                </w:tcPr>
                <w:p w14:paraId="1ACC9F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255010-19627</w:t>
                  </w:r>
                </w:p>
              </w:tc>
              <w:tc>
                <w:tcPr>
                  <w:tcW w:w="2340" w:type="dxa"/>
                  <w:vAlign w:val="center"/>
                </w:tcPr>
                <w:p w14:paraId="7EFFC24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新真空压力传感器</w:t>
                  </w:r>
                </w:p>
              </w:tc>
              <w:tc>
                <w:tcPr>
                  <w:tcW w:w="660" w:type="dxa"/>
                  <w:vAlign w:val="center"/>
                </w:tcPr>
                <w:p w14:paraId="078B6B1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690" w:type="dxa"/>
                  <w:vAlign w:val="center"/>
                </w:tcPr>
                <w:p w14:paraId="1249E0C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26E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99AF26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665" w:type="dxa"/>
                  <w:vAlign w:val="center"/>
                </w:tcPr>
                <w:p w14:paraId="6EBAFD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255110-01360</w:t>
                  </w:r>
                </w:p>
              </w:tc>
              <w:tc>
                <w:tcPr>
                  <w:tcW w:w="2340" w:type="dxa"/>
                  <w:vAlign w:val="center"/>
                </w:tcPr>
                <w:p w14:paraId="3F7B76A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MIC门上木塞</w:t>
                  </w:r>
                </w:p>
              </w:tc>
              <w:tc>
                <w:tcPr>
                  <w:tcW w:w="660" w:type="dxa"/>
                  <w:vAlign w:val="center"/>
                </w:tcPr>
                <w:p w14:paraId="476BC97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78572F42">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DB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099E06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665" w:type="dxa"/>
                  <w:vAlign w:val="center"/>
                </w:tcPr>
                <w:p w14:paraId="6A08699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255140-02636</w:t>
                  </w:r>
                </w:p>
              </w:tc>
              <w:tc>
                <w:tcPr>
                  <w:tcW w:w="2340" w:type="dxa"/>
                  <w:vAlign w:val="center"/>
                </w:tcPr>
                <w:p w14:paraId="0FE820C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毛刷24V电机</w:t>
                  </w:r>
                </w:p>
              </w:tc>
              <w:tc>
                <w:tcPr>
                  <w:tcW w:w="660" w:type="dxa"/>
                  <w:vAlign w:val="center"/>
                </w:tcPr>
                <w:p w14:paraId="447165B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690" w:type="dxa"/>
                  <w:vAlign w:val="center"/>
                </w:tcPr>
                <w:p w14:paraId="16A99B2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E48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3B2F88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665" w:type="dxa"/>
                  <w:vAlign w:val="center"/>
                </w:tcPr>
                <w:p w14:paraId="33BDF5A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255220-00150</w:t>
                  </w:r>
                </w:p>
              </w:tc>
              <w:tc>
                <w:tcPr>
                  <w:tcW w:w="2340" w:type="dxa"/>
                  <w:vAlign w:val="center"/>
                </w:tcPr>
                <w:p w14:paraId="6242172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颜色头窗口玻璃</w:t>
                  </w:r>
                </w:p>
              </w:tc>
              <w:tc>
                <w:tcPr>
                  <w:tcW w:w="660" w:type="dxa"/>
                  <w:vAlign w:val="center"/>
                </w:tcPr>
                <w:p w14:paraId="747068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3E9B2152">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417A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BA7BA6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665" w:type="dxa"/>
                  <w:vAlign w:val="center"/>
                </w:tcPr>
                <w:p w14:paraId="0C1105D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255310-06990</w:t>
                  </w:r>
                </w:p>
              </w:tc>
              <w:tc>
                <w:tcPr>
                  <w:tcW w:w="2340" w:type="dxa"/>
                  <w:vAlign w:val="center"/>
                </w:tcPr>
                <w:p w14:paraId="61D86A4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气缸传感器线</w:t>
                  </w:r>
                </w:p>
              </w:tc>
              <w:tc>
                <w:tcPr>
                  <w:tcW w:w="660" w:type="dxa"/>
                  <w:vAlign w:val="center"/>
                </w:tcPr>
                <w:p w14:paraId="08B4DC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557E36D3">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6475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64B8BA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665" w:type="dxa"/>
                  <w:vAlign w:val="center"/>
                </w:tcPr>
                <w:p w14:paraId="0B29687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255230-00130</w:t>
                  </w:r>
                </w:p>
              </w:tc>
              <w:tc>
                <w:tcPr>
                  <w:tcW w:w="2340" w:type="dxa"/>
                  <w:vAlign w:val="center"/>
                </w:tcPr>
                <w:p w14:paraId="70FA826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压手气缸复位弹簧</w:t>
                  </w:r>
                </w:p>
              </w:tc>
              <w:tc>
                <w:tcPr>
                  <w:tcW w:w="660" w:type="dxa"/>
                  <w:vAlign w:val="center"/>
                </w:tcPr>
                <w:p w14:paraId="6EA0F11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690" w:type="dxa"/>
                  <w:vAlign w:val="center"/>
                </w:tcPr>
                <w:p w14:paraId="7D6363AB">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76F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053B32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665" w:type="dxa"/>
                  <w:vAlign w:val="center"/>
                </w:tcPr>
                <w:p w14:paraId="225A09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256760-00180</w:t>
                  </w:r>
                </w:p>
              </w:tc>
              <w:tc>
                <w:tcPr>
                  <w:tcW w:w="2340" w:type="dxa"/>
                  <w:vAlign w:val="center"/>
                </w:tcPr>
                <w:p w14:paraId="52B769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样品压板四角气缸（上）气管接头</w:t>
                  </w:r>
                </w:p>
              </w:tc>
              <w:tc>
                <w:tcPr>
                  <w:tcW w:w="660" w:type="dxa"/>
                  <w:vAlign w:val="center"/>
                </w:tcPr>
                <w:p w14:paraId="38442C5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746DF55F">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3E60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463102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665" w:type="dxa"/>
                  <w:vAlign w:val="center"/>
                </w:tcPr>
                <w:p w14:paraId="3682A70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256760-03160</w:t>
                  </w:r>
                </w:p>
              </w:tc>
              <w:tc>
                <w:tcPr>
                  <w:tcW w:w="2340" w:type="dxa"/>
                  <w:vAlign w:val="center"/>
                </w:tcPr>
                <w:p w14:paraId="072F93B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托盘气缸气流调节器</w:t>
                  </w:r>
                </w:p>
              </w:tc>
              <w:tc>
                <w:tcPr>
                  <w:tcW w:w="660" w:type="dxa"/>
                  <w:vAlign w:val="center"/>
                </w:tcPr>
                <w:p w14:paraId="42FEE67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063A48DB">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5F7C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B111C8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1665" w:type="dxa"/>
                  <w:vAlign w:val="center"/>
                </w:tcPr>
                <w:p w14:paraId="4286D71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255260-00240</w:t>
                  </w:r>
                </w:p>
              </w:tc>
              <w:tc>
                <w:tcPr>
                  <w:tcW w:w="2340" w:type="dxa"/>
                  <w:vAlign w:val="center"/>
                </w:tcPr>
                <w:p w14:paraId="11F68B0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后夹钳直头销子</w:t>
                  </w:r>
                </w:p>
              </w:tc>
              <w:tc>
                <w:tcPr>
                  <w:tcW w:w="660" w:type="dxa"/>
                  <w:vAlign w:val="center"/>
                </w:tcPr>
                <w:p w14:paraId="3A83D9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0DAE08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816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5D9B04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12</w:t>
                  </w:r>
                </w:p>
              </w:tc>
              <w:tc>
                <w:tcPr>
                  <w:tcW w:w="1665" w:type="dxa"/>
                  <w:vAlign w:val="center"/>
                </w:tcPr>
                <w:p w14:paraId="18D43CF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256899-00170</w:t>
                  </w:r>
                </w:p>
              </w:tc>
              <w:tc>
                <w:tcPr>
                  <w:tcW w:w="2340" w:type="dxa"/>
                  <w:vAlign w:val="center"/>
                </w:tcPr>
                <w:p w14:paraId="0AA6E0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毛刷</w:t>
                  </w:r>
                </w:p>
              </w:tc>
              <w:tc>
                <w:tcPr>
                  <w:tcW w:w="660" w:type="dxa"/>
                  <w:vAlign w:val="center"/>
                </w:tcPr>
                <w:p w14:paraId="17F78B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625530DF">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161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FBCFA4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w:t>
                  </w:r>
                </w:p>
              </w:tc>
              <w:tc>
                <w:tcPr>
                  <w:tcW w:w="1665" w:type="dxa"/>
                  <w:vAlign w:val="center"/>
                </w:tcPr>
                <w:p w14:paraId="5CA399F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255010-19200</w:t>
                  </w:r>
                </w:p>
              </w:tc>
              <w:tc>
                <w:tcPr>
                  <w:tcW w:w="2340" w:type="dxa"/>
                  <w:vAlign w:val="center"/>
                </w:tcPr>
                <w:p w14:paraId="10B277C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扫码枪</w:t>
                  </w:r>
                </w:p>
              </w:tc>
              <w:tc>
                <w:tcPr>
                  <w:tcW w:w="660" w:type="dxa"/>
                  <w:vAlign w:val="center"/>
                </w:tcPr>
                <w:p w14:paraId="2944748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w:t>
                  </w:r>
                </w:p>
              </w:tc>
              <w:tc>
                <w:tcPr>
                  <w:tcW w:w="690" w:type="dxa"/>
                  <w:vAlign w:val="center"/>
                </w:tcPr>
                <w:p w14:paraId="147B5AE7">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786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36D559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665" w:type="dxa"/>
                  <w:vAlign w:val="center"/>
                </w:tcPr>
                <w:p w14:paraId="5231EB5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255210-02726</w:t>
                  </w:r>
                </w:p>
              </w:tc>
              <w:tc>
                <w:tcPr>
                  <w:tcW w:w="2340" w:type="dxa"/>
                  <w:vAlign w:val="center"/>
                </w:tcPr>
                <w:p w14:paraId="06981E1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梳夹U形卡（白色塑料）</w:t>
                  </w:r>
                </w:p>
              </w:tc>
              <w:tc>
                <w:tcPr>
                  <w:tcW w:w="660" w:type="dxa"/>
                  <w:vAlign w:val="center"/>
                </w:tcPr>
                <w:p w14:paraId="2017661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690" w:type="dxa"/>
                  <w:vAlign w:val="center"/>
                </w:tcPr>
                <w:p w14:paraId="568B1B0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93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406D4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1665" w:type="dxa"/>
                  <w:vAlign w:val="center"/>
                </w:tcPr>
                <w:p w14:paraId="03EA59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265730-02025</w:t>
                  </w:r>
                </w:p>
              </w:tc>
              <w:tc>
                <w:tcPr>
                  <w:tcW w:w="2340" w:type="dxa"/>
                  <w:vAlign w:val="center"/>
                </w:tcPr>
                <w:p w14:paraId="42E6E2E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电子秤</w:t>
                  </w:r>
                </w:p>
              </w:tc>
              <w:tc>
                <w:tcPr>
                  <w:tcW w:w="660" w:type="dxa"/>
                  <w:vAlign w:val="center"/>
                </w:tcPr>
                <w:p w14:paraId="241CB9F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690" w:type="dxa"/>
                  <w:vAlign w:val="center"/>
                </w:tcPr>
                <w:p w14:paraId="260272CE">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10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738FF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1665" w:type="dxa"/>
                  <w:vAlign w:val="center"/>
                </w:tcPr>
                <w:p w14:paraId="472A4CB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255200-23404</w:t>
                  </w:r>
                </w:p>
              </w:tc>
              <w:tc>
                <w:tcPr>
                  <w:tcW w:w="2340" w:type="dxa"/>
                  <w:vAlign w:val="center"/>
                </w:tcPr>
                <w:p w14:paraId="37971DB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安装微型电脑侧板</w:t>
                  </w:r>
                </w:p>
              </w:tc>
              <w:tc>
                <w:tcPr>
                  <w:tcW w:w="660" w:type="dxa"/>
                  <w:vAlign w:val="center"/>
                </w:tcPr>
                <w:p w14:paraId="64224E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12</w:t>
                  </w:r>
                </w:p>
              </w:tc>
              <w:tc>
                <w:tcPr>
                  <w:tcW w:w="690" w:type="dxa"/>
                  <w:vAlign w:val="center"/>
                </w:tcPr>
                <w:p w14:paraId="730530DB">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60C9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3F33C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17</w:t>
                  </w:r>
                </w:p>
              </w:tc>
              <w:tc>
                <w:tcPr>
                  <w:tcW w:w="1665" w:type="dxa"/>
                  <w:vAlign w:val="center"/>
                </w:tcPr>
                <w:p w14:paraId="3C96A53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255320-02131</w:t>
                  </w:r>
                </w:p>
              </w:tc>
              <w:tc>
                <w:tcPr>
                  <w:tcW w:w="2340" w:type="dxa"/>
                  <w:vAlign w:val="center"/>
                </w:tcPr>
                <w:p w14:paraId="6A275E1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24V电源线带特殊定制主机电源插头</w:t>
                  </w:r>
                </w:p>
              </w:tc>
              <w:tc>
                <w:tcPr>
                  <w:tcW w:w="660" w:type="dxa"/>
                  <w:vAlign w:val="center"/>
                </w:tcPr>
                <w:p w14:paraId="5121AE2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690" w:type="dxa"/>
                  <w:vAlign w:val="center"/>
                </w:tcPr>
                <w:p w14:paraId="1746C4AC">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31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930779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18</w:t>
                  </w:r>
                </w:p>
              </w:tc>
              <w:tc>
                <w:tcPr>
                  <w:tcW w:w="1665" w:type="dxa"/>
                  <w:vAlign w:val="center"/>
                </w:tcPr>
                <w:p w14:paraId="67D4CF6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256830-02780</w:t>
                  </w:r>
                </w:p>
              </w:tc>
              <w:tc>
                <w:tcPr>
                  <w:tcW w:w="2340" w:type="dxa"/>
                  <w:vAlign w:val="center"/>
                </w:tcPr>
                <w:p w14:paraId="47EDC46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微型电脑固定带</w:t>
                  </w:r>
                </w:p>
              </w:tc>
              <w:tc>
                <w:tcPr>
                  <w:tcW w:w="660" w:type="dxa"/>
                  <w:vAlign w:val="center"/>
                </w:tcPr>
                <w:p w14:paraId="46036D8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32</w:t>
                  </w:r>
                </w:p>
              </w:tc>
              <w:tc>
                <w:tcPr>
                  <w:tcW w:w="690" w:type="dxa"/>
                  <w:vAlign w:val="center"/>
                </w:tcPr>
                <w:p w14:paraId="434E4AC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B89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AC84BF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19</w:t>
                  </w:r>
                </w:p>
              </w:tc>
              <w:tc>
                <w:tcPr>
                  <w:tcW w:w="1665" w:type="dxa"/>
                  <w:vAlign w:val="center"/>
                </w:tcPr>
                <w:p w14:paraId="2485AC9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256850-01460</w:t>
                  </w:r>
                </w:p>
              </w:tc>
              <w:tc>
                <w:tcPr>
                  <w:tcW w:w="2340" w:type="dxa"/>
                  <w:vAlign w:val="center"/>
                </w:tcPr>
                <w:p w14:paraId="014EC72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地脚固定螺丝</w:t>
                  </w:r>
                </w:p>
              </w:tc>
              <w:tc>
                <w:tcPr>
                  <w:tcW w:w="660" w:type="dxa"/>
                  <w:vAlign w:val="center"/>
                </w:tcPr>
                <w:p w14:paraId="69000BD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64</w:t>
                  </w:r>
                </w:p>
              </w:tc>
              <w:tc>
                <w:tcPr>
                  <w:tcW w:w="690" w:type="dxa"/>
                  <w:vAlign w:val="center"/>
                </w:tcPr>
                <w:p w14:paraId="0F916057">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4E2B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4E812B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1665" w:type="dxa"/>
                  <w:vAlign w:val="center"/>
                </w:tcPr>
                <w:p w14:paraId="13CD8AC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255310-08017</w:t>
                  </w:r>
                </w:p>
              </w:tc>
              <w:tc>
                <w:tcPr>
                  <w:tcW w:w="2340" w:type="dxa"/>
                  <w:vAlign w:val="center"/>
                </w:tcPr>
                <w:p w14:paraId="6CD669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旧电脑更换微型电脑到天平信号电缆</w:t>
                  </w:r>
                </w:p>
              </w:tc>
              <w:tc>
                <w:tcPr>
                  <w:tcW w:w="660" w:type="dxa"/>
                  <w:vAlign w:val="center"/>
                </w:tcPr>
                <w:p w14:paraId="3759566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690" w:type="dxa"/>
                  <w:vAlign w:val="center"/>
                </w:tcPr>
                <w:p w14:paraId="5A5C37CE">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77C2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BC3766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21</w:t>
                  </w:r>
                </w:p>
              </w:tc>
              <w:tc>
                <w:tcPr>
                  <w:tcW w:w="1665" w:type="dxa"/>
                  <w:vAlign w:val="center"/>
                </w:tcPr>
                <w:p w14:paraId="45F59B0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256670-01507</w:t>
                  </w:r>
                </w:p>
              </w:tc>
              <w:tc>
                <w:tcPr>
                  <w:tcW w:w="2340" w:type="dxa"/>
                  <w:vAlign w:val="center"/>
                </w:tcPr>
                <w:p w14:paraId="4447EE3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110V电源插座到24V适配器供电电缆</w:t>
                  </w:r>
                </w:p>
              </w:tc>
              <w:tc>
                <w:tcPr>
                  <w:tcW w:w="660" w:type="dxa"/>
                  <w:vAlign w:val="center"/>
                </w:tcPr>
                <w:p w14:paraId="3474338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690" w:type="dxa"/>
                  <w:vAlign w:val="center"/>
                </w:tcPr>
                <w:p w14:paraId="016F3352">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493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0F7A74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22</w:t>
                  </w:r>
                </w:p>
              </w:tc>
              <w:tc>
                <w:tcPr>
                  <w:tcW w:w="1665" w:type="dxa"/>
                  <w:vAlign w:val="center"/>
                </w:tcPr>
                <w:p w14:paraId="341C04E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255010-19556</w:t>
                  </w:r>
                </w:p>
              </w:tc>
              <w:tc>
                <w:tcPr>
                  <w:tcW w:w="2340" w:type="dxa"/>
                  <w:vAlign w:val="center"/>
                </w:tcPr>
                <w:p w14:paraId="78E5DC7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旧电脑更换微型电脑整体的套件</w:t>
                  </w:r>
                </w:p>
              </w:tc>
              <w:tc>
                <w:tcPr>
                  <w:tcW w:w="660" w:type="dxa"/>
                  <w:vAlign w:val="center"/>
                </w:tcPr>
                <w:p w14:paraId="6A44C6D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690" w:type="dxa"/>
                  <w:vAlign w:val="center"/>
                </w:tcPr>
                <w:p w14:paraId="48A3646E">
                  <w:pPr>
                    <w:widowControl w:val="0"/>
                    <w:jc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套</w:t>
                  </w:r>
                </w:p>
              </w:tc>
            </w:tr>
            <w:tr w14:paraId="388C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485E3A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23</w:t>
                  </w:r>
                </w:p>
              </w:tc>
              <w:tc>
                <w:tcPr>
                  <w:tcW w:w="1665" w:type="dxa"/>
                  <w:vAlign w:val="center"/>
                </w:tcPr>
                <w:p w14:paraId="49D1707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256760-00180</w:t>
                  </w:r>
                </w:p>
              </w:tc>
              <w:tc>
                <w:tcPr>
                  <w:tcW w:w="2340" w:type="dxa"/>
                  <w:vAlign w:val="center"/>
                </w:tcPr>
                <w:p w14:paraId="19F2F95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样品压板四角气缸（上）气管接头</w:t>
                  </w:r>
                </w:p>
              </w:tc>
              <w:tc>
                <w:tcPr>
                  <w:tcW w:w="660" w:type="dxa"/>
                  <w:vAlign w:val="center"/>
                </w:tcPr>
                <w:p w14:paraId="668789B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7C230D05">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0070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78DA70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24</w:t>
                  </w:r>
                </w:p>
              </w:tc>
              <w:tc>
                <w:tcPr>
                  <w:tcW w:w="1665" w:type="dxa"/>
                  <w:vAlign w:val="center"/>
                </w:tcPr>
                <w:p w14:paraId="45642AE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255110-01270</w:t>
                  </w:r>
                </w:p>
              </w:tc>
              <w:tc>
                <w:tcPr>
                  <w:tcW w:w="2340" w:type="dxa"/>
                  <w:vAlign w:val="center"/>
                </w:tcPr>
                <w:p w14:paraId="7E724B7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马克隆活塞杆（安装木塞的杆）</w:t>
                  </w:r>
                </w:p>
              </w:tc>
              <w:tc>
                <w:tcPr>
                  <w:tcW w:w="660" w:type="dxa"/>
                  <w:vAlign w:val="center"/>
                </w:tcPr>
                <w:p w14:paraId="6E42B7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3AED9FE7">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187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4F5749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w:t>
                  </w:r>
                </w:p>
              </w:tc>
              <w:tc>
                <w:tcPr>
                  <w:tcW w:w="1665" w:type="dxa"/>
                  <w:vAlign w:val="center"/>
                </w:tcPr>
                <w:p w14:paraId="48437A2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255100-01770</w:t>
                  </w:r>
                </w:p>
              </w:tc>
              <w:tc>
                <w:tcPr>
                  <w:tcW w:w="2340" w:type="dxa"/>
                  <w:vAlign w:val="center"/>
                </w:tcPr>
                <w:p w14:paraId="292530C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前夹钳下钳口</w:t>
                  </w:r>
                </w:p>
              </w:tc>
              <w:tc>
                <w:tcPr>
                  <w:tcW w:w="660" w:type="dxa"/>
                  <w:vAlign w:val="center"/>
                </w:tcPr>
                <w:p w14:paraId="420B8A9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59ED536E">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1CB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B0521A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26</w:t>
                  </w:r>
                </w:p>
              </w:tc>
              <w:tc>
                <w:tcPr>
                  <w:tcW w:w="1665" w:type="dxa"/>
                  <w:vAlign w:val="center"/>
                </w:tcPr>
                <w:p w14:paraId="500A26E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255260-00210</w:t>
                  </w:r>
                </w:p>
              </w:tc>
              <w:tc>
                <w:tcPr>
                  <w:tcW w:w="2340" w:type="dxa"/>
                  <w:vAlign w:val="center"/>
                </w:tcPr>
                <w:p w14:paraId="6A50F4A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前夹钳下钳口链接销</w:t>
                  </w:r>
                </w:p>
              </w:tc>
              <w:tc>
                <w:tcPr>
                  <w:tcW w:w="660" w:type="dxa"/>
                  <w:vAlign w:val="center"/>
                </w:tcPr>
                <w:p w14:paraId="45D1886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690" w:type="dxa"/>
                  <w:vAlign w:val="center"/>
                </w:tcPr>
                <w:p w14:paraId="3A8D9F5A">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5326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C543FF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27</w:t>
                  </w:r>
                </w:p>
              </w:tc>
              <w:tc>
                <w:tcPr>
                  <w:tcW w:w="1665" w:type="dxa"/>
                  <w:vAlign w:val="center"/>
                </w:tcPr>
                <w:p w14:paraId="4B8A31E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256770-00980</w:t>
                  </w:r>
                </w:p>
              </w:tc>
              <w:tc>
                <w:tcPr>
                  <w:tcW w:w="2340" w:type="dxa"/>
                  <w:vAlign w:val="center"/>
                </w:tcPr>
                <w:p w14:paraId="702902E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08以后马克隆开门汽缸</w:t>
                  </w:r>
                </w:p>
              </w:tc>
              <w:tc>
                <w:tcPr>
                  <w:tcW w:w="660" w:type="dxa"/>
                  <w:vAlign w:val="center"/>
                </w:tcPr>
                <w:p w14:paraId="55ED908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2A7ADD25">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43A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69418F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665" w:type="dxa"/>
                  <w:vAlign w:val="center"/>
                </w:tcPr>
                <w:p w14:paraId="63E4953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256820-00780</w:t>
                  </w:r>
                </w:p>
              </w:tc>
              <w:tc>
                <w:tcPr>
                  <w:tcW w:w="2340" w:type="dxa"/>
                  <w:vAlign w:val="center"/>
                </w:tcPr>
                <w:p w14:paraId="421825D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取样器皮带</w:t>
                  </w:r>
                </w:p>
              </w:tc>
              <w:tc>
                <w:tcPr>
                  <w:tcW w:w="660" w:type="dxa"/>
                  <w:vAlign w:val="center"/>
                </w:tcPr>
                <w:p w14:paraId="64DAF70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690" w:type="dxa"/>
                  <w:vAlign w:val="center"/>
                </w:tcPr>
                <w:p w14:paraId="3139C8E5">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A35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AE73B5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w:t>
                  </w:r>
                </w:p>
              </w:tc>
              <w:tc>
                <w:tcPr>
                  <w:tcW w:w="1665" w:type="dxa"/>
                  <w:vAlign w:val="center"/>
                </w:tcPr>
                <w:p w14:paraId="16CC835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255140-01910</w:t>
                  </w:r>
                </w:p>
              </w:tc>
              <w:tc>
                <w:tcPr>
                  <w:tcW w:w="2340" w:type="dxa"/>
                  <w:vAlign w:val="center"/>
                </w:tcPr>
                <w:p w14:paraId="559BB4C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取样器电机</w:t>
                  </w:r>
                </w:p>
              </w:tc>
              <w:tc>
                <w:tcPr>
                  <w:tcW w:w="660" w:type="dxa"/>
                  <w:vAlign w:val="center"/>
                </w:tcPr>
                <w:p w14:paraId="5232A32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690" w:type="dxa"/>
                  <w:vAlign w:val="center"/>
                </w:tcPr>
                <w:p w14:paraId="24E6E35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4F7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6675E5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1665" w:type="dxa"/>
                  <w:vAlign w:val="center"/>
                </w:tcPr>
                <w:p w14:paraId="017C014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255210-02610</w:t>
                  </w:r>
                </w:p>
              </w:tc>
              <w:tc>
                <w:tcPr>
                  <w:tcW w:w="2340" w:type="dxa"/>
                  <w:vAlign w:val="center"/>
                </w:tcPr>
                <w:p w14:paraId="3C5AD2E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真空转换滑块</w:t>
                  </w:r>
                </w:p>
              </w:tc>
              <w:tc>
                <w:tcPr>
                  <w:tcW w:w="660" w:type="dxa"/>
                  <w:vAlign w:val="center"/>
                </w:tcPr>
                <w:p w14:paraId="2898CBF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690" w:type="dxa"/>
                  <w:vAlign w:val="center"/>
                </w:tcPr>
                <w:p w14:paraId="419408C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bl>
          <w:p w14:paraId="2FF115E2">
            <w:pPr>
              <w:widowControl w:val="0"/>
              <w:jc w:val="both"/>
              <w:rPr>
                <w:rFonts w:hint="eastAsia"/>
                <w:color w:val="auto"/>
                <w:highlight w:val="none"/>
                <w:vertAlign w:val="baseline"/>
              </w:rPr>
            </w:pPr>
          </w:p>
        </w:tc>
        <w:tc>
          <w:tcPr>
            <w:tcW w:w="825" w:type="dxa"/>
            <w:vAlign w:val="center"/>
          </w:tcPr>
          <w:p w14:paraId="002B460F">
            <w:pPr>
              <w:widowControl w:val="0"/>
              <w:jc w:val="center"/>
              <w:rPr>
                <w:color w:val="auto"/>
                <w:highlight w:val="none"/>
                <w:vertAlign w:val="baseline"/>
              </w:rPr>
            </w:pPr>
          </w:p>
        </w:tc>
        <w:tc>
          <w:tcPr>
            <w:tcW w:w="1290" w:type="dxa"/>
            <w:gridSpan w:val="2"/>
            <w:vAlign w:val="center"/>
          </w:tcPr>
          <w:p w14:paraId="67B07589">
            <w:pPr>
              <w:widowControl w:val="0"/>
              <w:jc w:val="center"/>
              <w:rPr>
                <w:color w:val="auto"/>
                <w:highlight w:val="none"/>
                <w:vertAlign w:val="baseline"/>
              </w:rPr>
            </w:pPr>
          </w:p>
        </w:tc>
      </w:tr>
      <w:tr w14:paraId="38F6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dxa"/>
            <w:vAlign w:val="center"/>
          </w:tcPr>
          <w:p w14:paraId="49F4B019">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885" w:type="dxa"/>
            <w:vAlign w:val="center"/>
          </w:tcPr>
          <w:p w14:paraId="63E7B196">
            <w:pPr>
              <w:widowControl w:val="0"/>
              <w:jc w:val="center"/>
              <w:rPr>
                <w:color w:val="auto"/>
                <w:highlight w:val="none"/>
                <w:vertAlign w:val="baseline"/>
              </w:rPr>
            </w:pPr>
            <w:r>
              <w:rPr>
                <w:rFonts w:hint="eastAsia"/>
                <w:color w:val="auto"/>
                <w:highlight w:val="none"/>
                <w:vertAlign w:val="baseline"/>
              </w:rPr>
              <w:t>HVI1000型棉花大容量快速测试仪的维护大保养服务</w:t>
            </w:r>
            <w:r>
              <w:rPr>
                <w:rFonts w:hint="eastAsia"/>
                <w:color w:val="auto"/>
                <w:highlight w:val="none"/>
                <w:vertAlign w:val="baseline"/>
                <w:lang w:val="en-US" w:eastAsia="zh-CN"/>
              </w:rPr>
              <w:t>（颜色头准确性核查服务）</w:t>
            </w:r>
          </w:p>
        </w:tc>
        <w:tc>
          <w:tcPr>
            <w:tcW w:w="6225" w:type="dxa"/>
            <w:vAlign w:val="center"/>
          </w:tcPr>
          <w:p w14:paraId="4797CBD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lang w:val="en-US" w:eastAsia="zh-CN"/>
              </w:rPr>
              <w:t>1、</w:t>
            </w:r>
            <w:r>
              <w:rPr>
                <w:rFonts w:hint="eastAsia"/>
                <w:b/>
                <w:bCs/>
                <w:color w:val="auto"/>
                <w:highlight w:val="none"/>
                <w:vertAlign w:val="baseline"/>
              </w:rPr>
              <w:t>用途：棉花大容量快速测试仪维护大保养</w:t>
            </w:r>
          </w:p>
          <w:p w14:paraId="4D845209">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在2025年9月前完成对21台由USTER公司出产的HVI1000型棉花大容量快速测试仪的维护大保养工作。                   </w:t>
            </w:r>
          </w:p>
          <w:p w14:paraId="6B2C6253">
            <w:pPr>
              <w:widowControl w:val="0"/>
              <w:numPr>
                <w:ilvl w:val="0"/>
                <w:numId w:val="0"/>
              </w:numPr>
              <w:jc w:val="both"/>
              <w:rPr>
                <w:rFonts w:hint="eastAsia"/>
                <w:color w:val="auto"/>
                <w:highlight w:val="none"/>
                <w:vertAlign w:val="baseline"/>
              </w:rPr>
            </w:pPr>
            <w:r>
              <w:rPr>
                <w:rFonts w:hint="eastAsia"/>
                <w:b/>
                <w:bCs/>
                <w:color w:val="auto"/>
                <w:highlight w:val="none"/>
                <w:vertAlign w:val="baseline"/>
                <w:lang w:val="en-US" w:eastAsia="zh-CN"/>
              </w:rPr>
              <w:t>2、</w:t>
            </w:r>
            <w:r>
              <w:rPr>
                <w:rFonts w:hint="eastAsia"/>
                <w:b/>
                <w:bCs/>
                <w:color w:val="auto"/>
                <w:highlight w:val="none"/>
                <w:vertAlign w:val="baseline"/>
              </w:rPr>
              <w:t>技术参数</w:t>
            </w:r>
          </w:p>
          <w:p w14:paraId="672C370D">
            <w:pPr>
              <w:widowControl w:val="0"/>
              <w:numPr>
                <w:ilvl w:val="0"/>
                <w:numId w:val="0"/>
              </w:numPr>
              <w:jc w:val="both"/>
              <w:rPr>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实施维护大保养的工作人员需遵循生产厂商的大保养规程，</w:t>
            </w:r>
            <w:r>
              <w:rPr>
                <w:rFonts w:hint="eastAsia"/>
                <w:color w:val="auto"/>
                <w:highlight w:val="none"/>
                <w:vertAlign w:val="baseline"/>
                <w:lang w:val="en-US" w:eastAsia="zh-CN"/>
              </w:rPr>
              <w:t>对</w:t>
            </w:r>
            <w:r>
              <w:rPr>
                <w:rFonts w:hint="eastAsia"/>
                <w:color w:val="auto"/>
                <w:highlight w:val="none"/>
                <w:vertAlign w:val="baseline"/>
              </w:rPr>
              <w:t>HVI1000型设备的大保养维护技术能力受到生产厂商的认可，需</w:t>
            </w:r>
            <w:r>
              <w:rPr>
                <w:rFonts w:hint="eastAsia"/>
                <w:color w:val="auto"/>
                <w:highlight w:val="none"/>
                <w:vertAlign w:val="baseline"/>
                <w:lang w:val="en-US" w:eastAsia="zh-CN"/>
              </w:rPr>
              <w:t>提供</w:t>
            </w:r>
            <w:r>
              <w:rPr>
                <w:rFonts w:hint="eastAsia"/>
                <w:color w:val="auto"/>
                <w:highlight w:val="none"/>
                <w:vertAlign w:val="baseline"/>
              </w:rPr>
              <w:t>生产厂商</w:t>
            </w:r>
            <w:r>
              <w:rPr>
                <w:rFonts w:hint="eastAsia"/>
                <w:color w:val="auto"/>
                <w:highlight w:val="none"/>
                <w:vertAlign w:val="baseline"/>
                <w:lang w:val="en-US" w:eastAsia="zh-CN"/>
              </w:rPr>
              <w:t>对该工作人员</w:t>
            </w:r>
            <w:r>
              <w:rPr>
                <w:rFonts w:hint="eastAsia"/>
                <w:color w:val="auto"/>
                <w:highlight w:val="none"/>
                <w:vertAlign w:val="baseline"/>
              </w:rPr>
              <w:t>维护技术能力</w:t>
            </w:r>
            <w:r>
              <w:rPr>
                <w:rFonts w:hint="eastAsia"/>
                <w:color w:val="auto"/>
                <w:highlight w:val="none"/>
                <w:vertAlign w:val="baseline"/>
                <w:lang w:val="en-US" w:eastAsia="zh-CN"/>
              </w:rPr>
              <w:t>的</w:t>
            </w:r>
            <w:r>
              <w:rPr>
                <w:rFonts w:hint="eastAsia"/>
                <w:color w:val="auto"/>
                <w:highlight w:val="none"/>
                <w:vertAlign w:val="baseline"/>
              </w:rPr>
              <w:t>授权</w:t>
            </w:r>
            <w:r>
              <w:rPr>
                <w:rFonts w:hint="eastAsia"/>
                <w:color w:val="auto"/>
                <w:highlight w:val="none"/>
                <w:vertAlign w:val="baseline"/>
                <w:lang w:val="en-US" w:eastAsia="zh-CN"/>
              </w:rPr>
              <w:t>资料</w:t>
            </w:r>
            <w:r>
              <w:rPr>
                <w:rFonts w:hint="eastAsia"/>
                <w:color w:val="auto"/>
                <w:highlight w:val="none"/>
                <w:vertAlign w:val="baseline"/>
              </w:rPr>
              <w:t>证件</w:t>
            </w:r>
            <w:r>
              <w:rPr>
                <w:rFonts w:hint="eastAsia"/>
                <w:color w:val="auto"/>
                <w:highlight w:val="none"/>
                <w:vertAlign w:val="baseline"/>
                <w:lang w:val="en-US" w:eastAsia="zh-CN"/>
              </w:rPr>
              <w:t>或资格证书</w:t>
            </w:r>
            <w:r>
              <w:rPr>
                <w:rFonts w:hint="eastAsia"/>
                <w:color w:val="auto"/>
                <w:highlight w:val="none"/>
                <w:vertAlign w:val="baseline"/>
                <w:lang w:eastAsia="zh-CN"/>
              </w:rPr>
              <w:t>，</w:t>
            </w:r>
            <w:r>
              <w:rPr>
                <w:rFonts w:hint="eastAsia"/>
                <w:color w:val="auto"/>
                <w:highlight w:val="none"/>
                <w:vertAlign w:val="baseline"/>
              </w:rPr>
              <w:t>方可开展该服务。</w:t>
            </w:r>
          </w:p>
        </w:tc>
        <w:tc>
          <w:tcPr>
            <w:tcW w:w="825" w:type="dxa"/>
            <w:vAlign w:val="center"/>
          </w:tcPr>
          <w:p w14:paraId="4DDE6142">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290" w:type="dxa"/>
            <w:gridSpan w:val="2"/>
            <w:vAlign w:val="center"/>
          </w:tcPr>
          <w:p w14:paraId="2061C566">
            <w:pPr>
              <w:widowControl w:val="0"/>
              <w:jc w:val="center"/>
              <w:rPr>
                <w:color w:val="auto"/>
                <w:highlight w:val="none"/>
                <w:vertAlign w:val="baseline"/>
              </w:rPr>
            </w:pPr>
          </w:p>
        </w:tc>
      </w:tr>
      <w:tr w14:paraId="6507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12" w:hRule="atLeast"/>
          <w:jc w:val="center"/>
        </w:trPr>
        <w:tc>
          <w:tcPr>
            <w:tcW w:w="694" w:type="dxa"/>
            <w:vAlign w:val="center"/>
          </w:tcPr>
          <w:p w14:paraId="2E9E930F">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7110" w:type="dxa"/>
            <w:gridSpan w:val="2"/>
            <w:vAlign w:val="center"/>
          </w:tcPr>
          <w:p w14:paraId="47D2B7DC">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合计</w:t>
            </w:r>
          </w:p>
        </w:tc>
        <w:tc>
          <w:tcPr>
            <w:tcW w:w="825" w:type="dxa"/>
            <w:vAlign w:val="center"/>
          </w:tcPr>
          <w:p w14:paraId="02615E95">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1286" w:type="dxa"/>
            <w:vAlign w:val="center"/>
          </w:tcPr>
          <w:p w14:paraId="1820487C">
            <w:pPr>
              <w:widowControl w:val="0"/>
              <w:jc w:val="center"/>
              <w:rPr>
                <w:color w:val="auto"/>
                <w:highlight w:val="none"/>
                <w:vertAlign w:val="baseline"/>
              </w:rPr>
            </w:pPr>
          </w:p>
        </w:tc>
      </w:tr>
    </w:tbl>
    <w:p w14:paraId="39C8F0F0">
      <w:pPr>
        <w:pStyle w:val="8"/>
        <w:numPr>
          <w:ilvl w:val="0"/>
          <w:numId w:val="0"/>
        </w:numPr>
        <w:spacing w:before="129" w:line="187" w:lineRule="auto"/>
        <w:outlineLvl w:val="0"/>
        <w:rPr>
          <w:rFonts w:hint="eastAsia"/>
          <w:b/>
          <w:bCs/>
          <w:color w:val="auto"/>
          <w:highlight w:val="none"/>
        </w:rPr>
      </w:pPr>
    </w:p>
    <w:p w14:paraId="5C2C5539">
      <w:pPr>
        <w:pStyle w:val="8"/>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所投产品参数不得低于上述要求。为保证投标人提供的产品技术参数真实性，投标人需提供投标产品图册、说明书性能参数页复印件，复印件必须与验货时的说明书完全相符；及所投产品的技术白皮书和完整检测报告等第三方部门出具的能够反应参数真实性的文件（加盖生产企业公章原件），并在其中标注出技术参数符合条款。上述资料均无法证实其真实性的，以评标委员会集体认定意见为准。</w:t>
      </w:r>
    </w:p>
    <w:p w14:paraId="60997D6E">
      <w:pPr>
        <w:pStyle w:val="8"/>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如果投标人按照合同提供的主要货物不是投标人自己制造的，投标人应提供制造厂家的项目授权原件，或者提供合法获得该货物及售后服务支持的有效证明原件。</w:t>
      </w:r>
    </w:p>
    <w:p w14:paraId="52F8FD17">
      <w:pPr>
        <w:spacing w:line="387" w:lineRule="auto"/>
        <w:rPr>
          <w:rFonts w:ascii="Arial"/>
          <w:color w:val="auto"/>
          <w:sz w:val="21"/>
          <w:highlight w:val="none"/>
        </w:rPr>
      </w:pPr>
    </w:p>
    <w:p w14:paraId="121D55D0">
      <w:pPr>
        <w:pStyle w:val="8"/>
        <w:spacing w:before="90" w:line="188" w:lineRule="auto"/>
        <w:ind w:left="2"/>
        <w:rPr>
          <w:rFonts w:hint="eastAsia" w:eastAsia="微软雅黑"/>
          <w:color w:val="auto"/>
          <w:sz w:val="21"/>
          <w:szCs w:val="21"/>
          <w:highlight w:val="none"/>
          <w:lang w:eastAsia="zh-CN"/>
        </w:rPr>
      </w:pPr>
      <w:r>
        <w:rPr>
          <w:b/>
          <w:bCs/>
          <w:color w:val="auto"/>
          <w:spacing w:val="-3"/>
          <w:sz w:val="21"/>
          <w:szCs w:val="21"/>
          <w:highlight w:val="none"/>
        </w:rPr>
        <w:t>注：1、技术参数中标注“*”为本次采购货物的核心参数；</w:t>
      </w:r>
      <w:r>
        <w:rPr>
          <w:b/>
          <w:bCs/>
          <w:color w:val="auto"/>
          <w:spacing w:val="-1"/>
          <w:sz w:val="21"/>
          <w:szCs w:val="21"/>
          <w:highlight w:val="none"/>
        </w:rPr>
        <w:t>核心参数不得负偏离，存在负偏离视为无效</w:t>
      </w:r>
      <w:r>
        <w:rPr>
          <w:rFonts w:hint="eastAsia"/>
          <w:b/>
          <w:bCs/>
          <w:color w:val="auto"/>
          <w:spacing w:val="-1"/>
          <w:sz w:val="21"/>
          <w:szCs w:val="21"/>
          <w:highlight w:val="none"/>
          <w:lang w:eastAsia="zh-CN"/>
        </w:rPr>
        <w:t>。</w:t>
      </w:r>
    </w:p>
    <w:p w14:paraId="7CAB8815">
      <w:pPr>
        <w:pStyle w:val="8"/>
        <w:numPr>
          <w:ilvl w:val="0"/>
          <w:numId w:val="4"/>
        </w:numPr>
        <w:spacing w:before="74" w:line="188" w:lineRule="auto"/>
        <w:ind w:left="0" w:leftChars="0" w:firstLine="0" w:firstLineChars="0"/>
        <w:rPr>
          <w:b/>
          <w:bCs/>
          <w:color w:val="auto"/>
          <w:spacing w:val="-2"/>
          <w:sz w:val="21"/>
          <w:szCs w:val="21"/>
          <w:highlight w:val="none"/>
        </w:rPr>
      </w:pPr>
      <w:r>
        <w:rPr>
          <w:b/>
          <w:bCs/>
          <w:color w:val="auto"/>
          <w:spacing w:val="-1"/>
          <w:sz w:val="21"/>
          <w:szCs w:val="21"/>
          <w:highlight w:val="none"/>
        </w:rPr>
        <w:t>采购清单中的设备及货物报价均需包含人工、供货、运输</w:t>
      </w:r>
      <w:r>
        <w:rPr>
          <w:b/>
          <w:bCs/>
          <w:color w:val="auto"/>
          <w:spacing w:val="-2"/>
          <w:sz w:val="21"/>
          <w:szCs w:val="21"/>
          <w:highlight w:val="none"/>
        </w:rPr>
        <w:t>费、装卸费、售后服务费、验收费用、安</w:t>
      </w:r>
      <w:r>
        <w:rPr>
          <w:b/>
          <w:bCs/>
          <w:color w:val="auto"/>
          <w:sz w:val="21"/>
          <w:szCs w:val="21"/>
          <w:highlight w:val="none"/>
        </w:rPr>
        <w:t xml:space="preserve"> </w:t>
      </w:r>
      <w:r>
        <w:rPr>
          <w:b/>
          <w:bCs/>
          <w:color w:val="auto"/>
          <w:spacing w:val="-2"/>
          <w:sz w:val="21"/>
          <w:szCs w:val="21"/>
          <w:highlight w:val="none"/>
        </w:rPr>
        <w:t>装调试费、运费及税金等相关伴随服务以及售后服务等一切费用。</w:t>
      </w:r>
    </w:p>
    <w:p w14:paraId="3348303B">
      <w:pPr>
        <w:pStyle w:val="8"/>
        <w:numPr>
          <w:ilvl w:val="0"/>
          <w:numId w:val="4"/>
        </w:numPr>
        <w:spacing w:before="74" w:line="188" w:lineRule="auto"/>
        <w:ind w:left="0" w:leftChars="0" w:firstLine="0" w:firstLineChars="0"/>
        <w:rPr>
          <w:b/>
          <w:bCs/>
          <w:color w:val="auto"/>
          <w:spacing w:val="-2"/>
          <w:sz w:val="21"/>
          <w:szCs w:val="21"/>
          <w:highlight w:val="none"/>
        </w:rPr>
      </w:pPr>
      <w:r>
        <w:rPr>
          <w:rFonts w:hint="eastAsia"/>
          <w:b/>
          <w:bCs/>
          <w:color w:val="auto"/>
          <w:spacing w:val="-2"/>
          <w:sz w:val="21"/>
          <w:szCs w:val="21"/>
          <w:highlight w:val="none"/>
          <w:lang w:val="en-US" w:eastAsia="zh-CN"/>
        </w:rPr>
        <w:t>3、</w:t>
      </w:r>
      <w:r>
        <w:rPr>
          <w:rFonts w:hint="eastAsia"/>
          <w:b/>
          <w:bCs/>
          <w:color w:val="auto"/>
          <w:spacing w:val="-2"/>
          <w:sz w:val="21"/>
          <w:szCs w:val="21"/>
          <w:highlight w:val="none"/>
        </w:rPr>
        <w:t>本项目采购产品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79A1DECD">
      <w:pPr>
        <w:pStyle w:val="8"/>
        <w:spacing w:before="90" w:line="188" w:lineRule="auto"/>
        <w:ind w:left="2"/>
        <w:rPr>
          <w:b/>
          <w:bCs/>
          <w:color w:val="auto"/>
          <w:spacing w:val="-3"/>
          <w:sz w:val="21"/>
          <w:szCs w:val="21"/>
          <w:highlight w:val="none"/>
        </w:rPr>
      </w:pPr>
    </w:p>
    <w:p w14:paraId="61616ED7">
      <w:pPr>
        <w:spacing w:line="236" w:lineRule="auto"/>
        <w:rPr>
          <w:color w:val="auto"/>
          <w:sz w:val="21"/>
          <w:szCs w:val="21"/>
          <w:highlight w:val="none"/>
        </w:rPr>
        <w:sectPr>
          <w:footerReference r:id="rId15" w:type="default"/>
          <w:pgSz w:w="11905" w:h="16839"/>
          <w:pgMar w:top="400" w:right="1082" w:bottom="1250" w:left="1100" w:header="0" w:footer="1090" w:gutter="0"/>
          <w:pgNumType w:fmt="numberInDash"/>
          <w:cols w:space="720" w:num="1"/>
        </w:sectPr>
      </w:pPr>
    </w:p>
    <w:p w14:paraId="0EFBC284">
      <w:pPr>
        <w:spacing w:line="317" w:lineRule="auto"/>
        <w:rPr>
          <w:rFonts w:ascii="Arial"/>
          <w:color w:val="auto"/>
          <w:sz w:val="21"/>
          <w:highlight w:val="none"/>
        </w:rPr>
      </w:pPr>
    </w:p>
    <w:p w14:paraId="573CF5A3">
      <w:pPr>
        <w:spacing w:line="318" w:lineRule="auto"/>
        <w:rPr>
          <w:rFonts w:ascii="Arial"/>
          <w:color w:val="auto"/>
          <w:sz w:val="21"/>
          <w:highlight w:val="none"/>
        </w:rPr>
      </w:pPr>
    </w:p>
    <w:p w14:paraId="10A67ABF">
      <w:pPr>
        <w:spacing w:line="318" w:lineRule="auto"/>
        <w:rPr>
          <w:rFonts w:ascii="Arial"/>
          <w:color w:val="auto"/>
          <w:sz w:val="21"/>
          <w:highlight w:val="none"/>
        </w:rPr>
      </w:pPr>
    </w:p>
    <w:p w14:paraId="7F6E5399">
      <w:pPr>
        <w:pStyle w:val="8"/>
        <w:spacing w:before="128" w:line="188" w:lineRule="auto"/>
        <w:ind w:left="2999"/>
        <w:outlineLvl w:val="0"/>
        <w:rPr>
          <w:color w:val="auto"/>
          <w:sz w:val="30"/>
          <w:szCs w:val="30"/>
          <w:highlight w:val="none"/>
        </w:rPr>
      </w:pPr>
      <w:bookmarkStart w:id="14" w:name="bookmark7"/>
      <w:bookmarkEnd w:id="14"/>
      <w:r>
        <w:rPr>
          <w:b/>
          <w:bCs/>
          <w:color w:val="auto"/>
          <w:spacing w:val="-8"/>
          <w:sz w:val="30"/>
          <w:szCs w:val="30"/>
          <w:highlight w:val="none"/>
        </w:rPr>
        <w:t>第五章</w:t>
      </w:r>
      <w:r>
        <w:rPr>
          <w:b/>
          <w:bCs/>
          <w:color w:val="auto"/>
          <w:spacing w:val="20"/>
          <w:sz w:val="30"/>
          <w:szCs w:val="30"/>
          <w:highlight w:val="none"/>
        </w:rPr>
        <w:t xml:space="preserve">   </w:t>
      </w:r>
      <w:r>
        <w:rPr>
          <w:b/>
          <w:bCs/>
          <w:color w:val="auto"/>
          <w:spacing w:val="-8"/>
          <w:sz w:val="30"/>
          <w:szCs w:val="30"/>
          <w:highlight w:val="none"/>
        </w:rPr>
        <w:t>合同格式</w:t>
      </w:r>
    </w:p>
    <w:p w14:paraId="2A0894C3">
      <w:pPr>
        <w:spacing w:before="170" w:line="221" w:lineRule="auto"/>
        <w:ind w:left="115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(此合同样本仅供参考,合同具体细则以成交双方协定为准)</w:t>
      </w:r>
    </w:p>
    <w:p w14:paraId="77091A03">
      <w:pPr>
        <w:spacing w:line="221" w:lineRule="auto"/>
        <w:rPr>
          <w:rFonts w:ascii="新宋体" w:hAnsi="新宋体" w:eastAsia="新宋体" w:cs="新宋体"/>
          <w:color w:val="auto"/>
          <w:sz w:val="24"/>
          <w:szCs w:val="24"/>
          <w:highlight w:val="none"/>
        </w:rPr>
        <w:sectPr>
          <w:footerReference r:id="rId16" w:type="default"/>
          <w:pgSz w:w="11905" w:h="16839"/>
          <w:pgMar w:top="400" w:right="1785" w:bottom="1250" w:left="1785" w:header="0" w:footer="1090" w:gutter="0"/>
          <w:pgNumType w:fmt="numberInDash"/>
          <w:cols w:space="720" w:num="1"/>
        </w:sectPr>
      </w:pPr>
    </w:p>
    <w:p w14:paraId="4FD30C33">
      <w:pPr>
        <w:spacing w:line="319" w:lineRule="auto"/>
        <w:rPr>
          <w:rFonts w:ascii="Arial"/>
          <w:color w:val="auto"/>
          <w:sz w:val="21"/>
          <w:highlight w:val="none"/>
        </w:rPr>
      </w:pPr>
    </w:p>
    <w:p w14:paraId="2F64A5B5">
      <w:pPr>
        <w:spacing w:line="319" w:lineRule="auto"/>
        <w:rPr>
          <w:rFonts w:ascii="Arial"/>
          <w:color w:val="auto"/>
          <w:sz w:val="21"/>
          <w:highlight w:val="none"/>
        </w:rPr>
      </w:pPr>
    </w:p>
    <w:p w14:paraId="256B2CB5">
      <w:pPr>
        <w:spacing w:line="319" w:lineRule="auto"/>
        <w:rPr>
          <w:rFonts w:ascii="Arial"/>
          <w:color w:val="auto"/>
          <w:sz w:val="21"/>
          <w:highlight w:val="none"/>
        </w:rPr>
      </w:pPr>
    </w:p>
    <w:p w14:paraId="757E77EF">
      <w:pPr>
        <w:pStyle w:val="8"/>
        <w:spacing w:before="120" w:line="184" w:lineRule="auto"/>
        <w:ind w:left="2307"/>
        <w:rPr>
          <w:b/>
          <w:bCs/>
          <w:color w:val="auto"/>
          <w:spacing w:val="-5"/>
          <w:sz w:val="28"/>
          <w:szCs w:val="28"/>
          <w:highlight w:val="none"/>
        </w:rPr>
      </w:pPr>
    </w:p>
    <w:p w14:paraId="0076FFD1">
      <w:pPr>
        <w:pStyle w:val="8"/>
        <w:spacing w:before="120" w:line="184" w:lineRule="auto"/>
        <w:ind w:left="2307"/>
        <w:rPr>
          <w:color w:val="auto"/>
          <w:sz w:val="28"/>
          <w:szCs w:val="28"/>
          <w:highlight w:val="none"/>
        </w:rPr>
      </w:pPr>
      <w:r>
        <w:rPr>
          <w:b/>
          <w:bCs/>
          <w:color w:val="auto"/>
          <w:spacing w:val="-5"/>
          <w:sz w:val="28"/>
          <w:szCs w:val="28"/>
          <w:highlight w:val="none"/>
        </w:rPr>
        <w:t>第一部分  合同协议书（参考格式）</w:t>
      </w:r>
    </w:p>
    <w:p w14:paraId="7FE158F1">
      <w:pPr>
        <w:spacing w:line="291" w:lineRule="auto"/>
        <w:rPr>
          <w:rFonts w:ascii="Arial"/>
          <w:color w:val="auto"/>
          <w:sz w:val="21"/>
          <w:highlight w:val="none"/>
        </w:rPr>
      </w:pPr>
    </w:p>
    <w:p w14:paraId="0DD28ACE">
      <w:pPr>
        <w:spacing w:line="291" w:lineRule="auto"/>
        <w:rPr>
          <w:rFonts w:ascii="Arial"/>
          <w:color w:val="auto"/>
          <w:sz w:val="21"/>
          <w:highlight w:val="none"/>
        </w:rPr>
      </w:pPr>
    </w:p>
    <w:p w14:paraId="42438162">
      <w:pPr>
        <w:spacing w:line="291" w:lineRule="auto"/>
        <w:rPr>
          <w:rFonts w:ascii="Arial"/>
          <w:color w:val="auto"/>
          <w:sz w:val="21"/>
          <w:highlight w:val="none"/>
        </w:rPr>
      </w:pPr>
    </w:p>
    <w:p w14:paraId="47DF538A">
      <w:pPr>
        <w:spacing w:line="292" w:lineRule="auto"/>
        <w:rPr>
          <w:rFonts w:ascii="Arial"/>
          <w:color w:val="auto"/>
          <w:sz w:val="21"/>
          <w:highlight w:val="none"/>
        </w:rPr>
      </w:pPr>
    </w:p>
    <w:p w14:paraId="24831888">
      <w:pPr>
        <w:tabs>
          <w:tab w:val="left" w:pos="5537"/>
          <w:tab w:val="left" w:pos="5657"/>
        </w:tabs>
        <w:spacing w:before="78" w:line="568" w:lineRule="auto"/>
        <w:ind w:left="270" w:right="2676" w:firstLine="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项目名称：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合同编号：</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甲方：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1"/>
          <w:sz w:val="24"/>
          <w:szCs w:val="24"/>
          <w:highlight w:val="none"/>
        </w:rPr>
        <w:t xml:space="preserve"> </w:t>
      </w:r>
      <w:r>
        <w:rPr>
          <w:rFonts w:ascii="新宋体" w:hAnsi="新宋体" w:eastAsia="新宋体" w:cs="新宋体"/>
          <w:color w:val="auto"/>
          <w:spacing w:val="-2"/>
          <w:sz w:val="24"/>
          <w:szCs w:val="24"/>
          <w:highlight w:val="none"/>
        </w:rPr>
        <w:t xml:space="preserve">联系电话： </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乙方：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
          <w:sz w:val="24"/>
          <w:szCs w:val="24"/>
          <w:highlight w:val="none"/>
        </w:rPr>
        <w:t>联系电话：</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签订地：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签订日期：</w:t>
      </w:r>
      <w:r>
        <w:rPr>
          <w:rFonts w:ascii="新宋体" w:hAnsi="新宋体" w:eastAsia="新宋体" w:cs="新宋体"/>
          <w:color w:val="auto"/>
          <w:spacing w:val="-11"/>
          <w:sz w:val="24"/>
          <w:szCs w:val="24"/>
          <w:highlight w:val="none"/>
          <w:u w:val="single" w:color="auto"/>
        </w:rPr>
        <w:t xml:space="preserve">                </w:t>
      </w:r>
      <w:r>
        <w:rPr>
          <w:rFonts w:ascii="新宋体" w:hAnsi="新宋体" w:eastAsia="新宋体" w:cs="新宋体"/>
          <w:color w:val="auto"/>
          <w:spacing w:val="-84"/>
          <w:sz w:val="24"/>
          <w:szCs w:val="24"/>
          <w:highlight w:val="none"/>
        </w:rPr>
        <w:t xml:space="preserve"> </w:t>
      </w:r>
      <w:r>
        <w:rPr>
          <w:rFonts w:ascii="新宋体" w:hAnsi="新宋体" w:eastAsia="新宋体" w:cs="新宋体"/>
          <w:color w:val="auto"/>
          <w:spacing w:val="-11"/>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11"/>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1"/>
          <w:sz w:val="24"/>
          <w:szCs w:val="24"/>
          <w:highlight w:val="none"/>
        </w:rPr>
        <w:t>日</w:t>
      </w:r>
    </w:p>
    <w:p w14:paraId="2C478AF9">
      <w:pPr>
        <w:spacing w:line="568" w:lineRule="auto"/>
        <w:rPr>
          <w:rFonts w:ascii="新宋体" w:hAnsi="新宋体" w:eastAsia="新宋体" w:cs="新宋体"/>
          <w:color w:val="auto"/>
          <w:sz w:val="24"/>
          <w:szCs w:val="24"/>
          <w:highlight w:val="none"/>
        </w:rPr>
        <w:sectPr>
          <w:footerReference r:id="rId17" w:type="default"/>
          <w:pgSz w:w="11905" w:h="16839"/>
          <w:pgMar w:top="400" w:right="1785" w:bottom="1250" w:left="1785" w:header="0" w:footer="1090" w:gutter="0"/>
          <w:pgNumType w:fmt="numberInDash"/>
          <w:cols w:space="720" w:num="1"/>
        </w:sectPr>
      </w:pPr>
    </w:p>
    <w:p w14:paraId="1318B049">
      <w:pPr>
        <w:spacing w:line="247" w:lineRule="auto"/>
        <w:rPr>
          <w:rFonts w:ascii="Arial"/>
          <w:color w:val="auto"/>
          <w:sz w:val="21"/>
          <w:highlight w:val="none"/>
        </w:rPr>
      </w:pPr>
    </w:p>
    <w:p w14:paraId="4744CB0A">
      <w:pPr>
        <w:spacing w:line="247" w:lineRule="auto"/>
        <w:rPr>
          <w:rFonts w:ascii="Arial"/>
          <w:color w:val="auto"/>
          <w:sz w:val="21"/>
          <w:highlight w:val="none"/>
        </w:rPr>
      </w:pPr>
    </w:p>
    <w:p w14:paraId="2B410B4B">
      <w:pPr>
        <w:spacing w:line="248" w:lineRule="auto"/>
        <w:rPr>
          <w:rFonts w:ascii="Arial"/>
          <w:color w:val="auto"/>
          <w:sz w:val="21"/>
          <w:highlight w:val="none"/>
        </w:rPr>
      </w:pPr>
    </w:p>
    <w:p w14:paraId="482180F3">
      <w:pPr>
        <w:spacing w:line="248" w:lineRule="auto"/>
        <w:rPr>
          <w:rFonts w:ascii="Arial"/>
          <w:color w:val="auto"/>
          <w:sz w:val="21"/>
          <w:highlight w:val="none"/>
        </w:rPr>
      </w:pPr>
    </w:p>
    <w:p w14:paraId="0116AE95">
      <w:pPr>
        <w:spacing w:before="78" w:line="354" w:lineRule="auto"/>
        <w:ind w:left="4"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根据《中华人民共和国</w:t>
      </w:r>
      <w:r>
        <w:rPr>
          <w:rFonts w:hint="eastAsia" w:ascii="新宋体" w:hAnsi="新宋体" w:eastAsia="新宋体" w:cs="新宋体"/>
          <w:color w:val="auto"/>
          <w:spacing w:val="-7"/>
          <w:sz w:val="24"/>
          <w:szCs w:val="24"/>
          <w:highlight w:val="none"/>
          <w:lang w:val="en-US" w:eastAsia="zh-CN"/>
        </w:rPr>
        <w:t>民法典</w:t>
      </w:r>
      <w:r>
        <w:rPr>
          <w:rFonts w:ascii="新宋体" w:hAnsi="新宋体" w:eastAsia="新宋体" w:cs="新宋体"/>
          <w:color w:val="auto"/>
          <w:spacing w:val="-7"/>
          <w:sz w:val="24"/>
          <w:szCs w:val="24"/>
          <w:highlight w:val="none"/>
        </w:rPr>
        <w:t>》、《中华人民共和国政府采购法》等相</w:t>
      </w:r>
      <w:r>
        <w:rPr>
          <w:rFonts w:ascii="新宋体" w:hAnsi="新宋体" w:eastAsia="新宋体" w:cs="新宋体"/>
          <w:color w:val="auto"/>
          <w:spacing w:val="-8"/>
          <w:sz w:val="24"/>
          <w:szCs w:val="24"/>
          <w:highlight w:val="none"/>
        </w:rPr>
        <w:t>关法律法规之规定，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以及</w:t>
      </w:r>
      <w:r>
        <w:rPr>
          <w:rFonts w:ascii="新宋体" w:hAnsi="新宋体" w:eastAsia="新宋体" w:cs="新宋体"/>
          <w:color w:val="auto"/>
          <w:spacing w:val="-4"/>
          <w:sz w:val="24"/>
          <w:szCs w:val="24"/>
          <w:highlight w:val="none"/>
          <w:u w:val="single" w:color="auto"/>
        </w:rPr>
        <w:t xml:space="preserve">     （项目名称</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pacing w:val="-4"/>
          <w:sz w:val="24"/>
          <w:szCs w:val="24"/>
          <w:highlight w:val="none"/>
          <w:u w:val="single" w:color="auto"/>
        </w:rPr>
        <w:t>项目编码</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0"/>
          <w:sz w:val="24"/>
          <w:szCs w:val="24"/>
          <w:highlight w:val="none"/>
        </w:rPr>
        <w:t xml:space="preserve"> </w:t>
      </w:r>
      <w:r>
        <w:rPr>
          <w:rFonts w:ascii="新宋体" w:hAnsi="新宋体" w:eastAsia="新宋体" w:cs="新宋体"/>
          <w:color w:val="auto"/>
          <w:spacing w:val="-10"/>
          <w:sz w:val="24"/>
          <w:szCs w:val="24"/>
          <w:highlight w:val="none"/>
        </w:rPr>
        <w:t>）</w:t>
      </w:r>
      <w:r>
        <w:rPr>
          <w:rFonts w:ascii="新宋体" w:hAnsi="新宋体" w:eastAsia="新宋体" w:cs="新宋体"/>
          <w:color w:val="auto"/>
          <w:spacing w:val="-4"/>
          <w:sz w:val="24"/>
          <w:szCs w:val="24"/>
          <w:highlight w:val="none"/>
        </w:rPr>
        <w:t>的《招</w:t>
      </w:r>
      <w:r>
        <w:rPr>
          <w:rFonts w:ascii="新宋体" w:hAnsi="新宋体" w:eastAsia="新宋体" w:cs="新宋体"/>
          <w:color w:val="auto"/>
          <w:spacing w:val="-5"/>
          <w:sz w:val="24"/>
          <w:szCs w:val="24"/>
          <w:highlight w:val="none"/>
        </w:rPr>
        <w:t>标文件》，</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乙方的《投标文件》及《中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标通知书》， 按照平等、自愿、公平和诚实</w:t>
      </w:r>
      <w:r>
        <w:rPr>
          <w:rFonts w:ascii="新宋体" w:hAnsi="新宋体" w:eastAsia="新宋体" w:cs="新宋体"/>
          <w:color w:val="auto"/>
          <w:spacing w:val="-4"/>
          <w:sz w:val="24"/>
          <w:szCs w:val="24"/>
          <w:highlight w:val="none"/>
        </w:rPr>
        <w:t>信用的原则，经</w:t>
      </w:r>
      <w:r>
        <w:rPr>
          <w:rFonts w:ascii="新宋体" w:hAnsi="新宋体" w:eastAsia="新宋体" w:cs="新宋体"/>
          <w:color w:val="auto"/>
          <w:spacing w:val="-4"/>
          <w:sz w:val="24"/>
          <w:szCs w:val="24"/>
          <w:highlight w:val="none"/>
          <w:u w:val="single" w:color="auto"/>
        </w:rPr>
        <w:t xml:space="preserve">       （采购人名称）   </w:t>
      </w:r>
      <w:r>
        <w:rPr>
          <w:rFonts w:ascii="新宋体" w:hAnsi="新宋体" w:eastAsia="新宋体" w:cs="新宋体"/>
          <w:color w:val="auto"/>
          <w:spacing w:val="-70"/>
          <w:sz w:val="24"/>
          <w:szCs w:val="24"/>
          <w:highlight w:val="none"/>
        </w:rPr>
        <w:t xml:space="preserve"> </w:t>
      </w:r>
      <w:r>
        <w:rPr>
          <w:rFonts w:ascii="新宋体" w:hAnsi="新宋体" w:eastAsia="新宋体" w:cs="新宋体"/>
          <w:color w:val="auto"/>
          <w:spacing w:val="-4"/>
          <w:sz w:val="24"/>
          <w:szCs w:val="24"/>
          <w:highlight w:val="none"/>
        </w:rPr>
        <w:t>(以下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简称：甲方)和</w:t>
      </w:r>
      <w:r>
        <w:rPr>
          <w:rFonts w:ascii="新宋体" w:hAnsi="新宋体" w:eastAsia="新宋体" w:cs="新宋体"/>
          <w:color w:val="auto"/>
          <w:spacing w:val="-2"/>
          <w:sz w:val="24"/>
          <w:szCs w:val="24"/>
          <w:highlight w:val="none"/>
          <w:u w:val="single" w:color="auto"/>
        </w:rPr>
        <w:t xml:space="preserve">      （中标供应商名称）  </w:t>
      </w:r>
      <w:r>
        <w:rPr>
          <w:rFonts w:ascii="新宋体" w:hAnsi="新宋体" w:eastAsia="新宋体" w:cs="新宋体"/>
          <w:color w:val="auto"/>
          <w:spacing w:val="-69"/>
          <w:sz w:val="24"/>
          <w:szCs w:val="24"/>
          <w:highlight w:val="none"/>
        </w:rPr>
        <w:t xml:space="preserve"> </w:t>
      </w:r>
      <w:r>
        <w:rPr>
          <w:rFonts w:ascii="新宋体" w:hAnsi="新宋体" w:eastAsia="新宋体" w:cs="新宋体"/>
          <w:color w:val="auto"/>
          <w:spacing w:val="-3"/>
          <w:sz w:val="24"/>
          <w:szCs w:val="24"/>
          <w:highlight w:val="none"/>
        </w:rPr>
        <w:t>(以下简称：乙方)协商一致，约定以下合同条款，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以兹共同遵守、全面履行。</w:t>
      </w:r>
    </w:p>
    <w:p w14:paraId="2E351785">
      <w:pPr>
        <w:spacing w:before="35" w:line="345" w:lineRule="auto"/>
        <w:ind w:right="171" w:firstLine="48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详细技术说明及其他有关合同项目的特定信息由合同附件予以说明，合同附件及本项</w:t>
      </w:r>
      <w:r>
        <w:rPr>
          <w:rFonts w:ascii="新宋体" w:hAnsi="新宋体" w:eastAsia="新宋体" w:cs="新宋体"/>
          <w:color w:val="auto"/>
          <w:spacing w:val="-4"/>
          <w:sz w:val="24"/>
          <w:szCs w:val="24"/>
          <w:highlight w:val="none"/>
        </w:rPr>
        <w:t>目的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《招标文件》、《投标文件》、《中标通知书》等均为</w:t>
      </w:r>
      <w:r>
        <w:rPr>
          <w:rFonts w:ascii="新宋体" w:hAnsi="新宋体" w:eastAsia="新宋体" w:cs="新宋体"/>
          <w:color w:val="auto"/>
          <w:spacing w:val="-2"/>
          <w:sz w:val="24"/>
          <w:szCs w:val="24"/>
          <w:highlight w:val="none"/>
        </w:rPr>
        <w:t>本合同的组成部分。</w:t>
      </w:r>
    </w:p>
    <w:p w14:paraId="1F7E7A7E">
      <w:pPr>
        <w:pStyle w:val="8"/>
        <w:spacing w:before="37" w:line="188" w:lineRule="auto"/>
        <w:ind w:left="495"/>
        <w:rPr>
          <w:color w:val="auto"/>
          <w:sz w:val="24"/>
          <w:szCs w:val="24"/>
          <w:highlight w:val="none"/>
        </w:rPr>
      </w:pPr>
      <w:r>
        <w:rPr>
          <w:b/>
          <w:bCs/>
          <w:color w:val="auto"/>
          <w:spacing w:val="-5"/>
          <w:sz w:val="24"/>
          <w:szCs w:val="24"/>
          <w:highlight w:val="none"/>
        </w:rPr>
        <w:t>1.1  合同组成部分</w:t>
      </w:r>
    </w:p>
    <w:p w14:paraId="0BE0139E">
      <w:pPr>
        <w:spacing w:before="142" w:line="350" w:lineRule="auto"/>
        <w:ind w:left="5" w:right="171" w:firstLine="484"/>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下列文件为本合同的组成部分，并构成一个整体，需综合解释、相互补充。</w:t>
      </w:r>
      <w:r>
        <w:rPr>
          <w:rFonts w:ascii="新宋体" w:hAnsi="新宋体" w:eastAsia="新宋体" w:cs="新宋体"/>
          <w:color w:val="auto"/>
          <w:spacing w:val="-4"/>
          <w:sz w:val="24"/>
          <w:szCs w:val="24"/>
          <w:highlight w:val="none"/>
        </w:rPr>
        <w:t>如果下列文件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内容出现不一致的情形，那么在保证按照采购文件确定的事项的前提下，组成本合同的多个文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件的优先适用顺序如下：</w:t>
      </w:r>
    </w:p>
    <w:p w14:paraId="5AD4D1B6">
      <w:pPr>
        <w:spacing w:before="3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1.1.1 本合同及其补充合同、变更协议；</w:t>
      </w:r>
    </w:p>
    <w:p w14:paraId="65939FBB">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1.1.2</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0"/>
          <w:sz w:val="24"/>
          <w:szCs w:val="24"/>
          <w:highlight w:val="none"/>
        </w:rPr>
        <w:t>中标通知书；</w:t>
      </w:r>
    </w:p>
    <w:p w14:paraId="7A8D90AE">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1.1.3 投标文件（含澄清或者说明文件</w:t>
      </w:r>
      <w:r>
        <w:rPr>
          <w:rFonts w:ascii="新宋体" w:hAnsi="新宋体" w:eastAsia="新宋体" w:cs="新宋体"/>
          <w:color w:val="auto"/>
          <w:spacing w:val="2"/>
          <w:sz w:val="24"/>
          <w:szCs w:val="24"/>
          <w:highlight w:val="none"/>
        </w:rPr>
        <w:t>）；</w:t>
      </w:r>
    </w:p>
    <w:p w14:paraId="1E8392A7">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1.1.4 招标文件（含澄清或者修改文件</w:t>
      </w:r>
      <w:r>
        <w:rPr>
          <w:rFonts w:ascii="新宋体" w:hAnsi="新宋体" w:eastAsia="新宋体" w:cs="新宋体"/>
          <w:color w:val="auto"/>
          <w:spacing w:val="2"/>
          <w:sz w:val="24"/>
          <w:szCs w:val="24"/>
          <w:highlight w:val="none"/>
        </w:rPr>
        <w:t>）；</w:t>
      </w:r>
    </w:p>
    <w:p w14:paraId="39DB18E0">
      <w:pPr>
        <w:spacing w:before="176"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1.1.5 其他相关采购文件。</w:t>
      </w:r>
    </w:p>
    <w:p w14:paraId="07CECA1F">
      <w:pPr>
        <w:pStyle w:val="8"/>
        <w:spacing w:before="178" w:line="188" w:lineRule="auto"/>
        <w:ind w:left="495"/>
        <w:rPr>
          <w:color w:val="auto"/>
          <w:sz w:val="24"/>
          <w:szCs w:val="24"/>
          <w:highlight w:val="none"/>
        </w:rPr>
      </w:pPr>
      <w:r>
        <w:rPr>
          <w:b/>
          <w:bCs/>
          <w:color w:val="auto"/>
          <w:spacing w:val="-7"/>
          <w:sz w:val="24"/>
          <w:szCs w:val="24"/>
          <w:highlight w:val="none"/>
        </w:rPr>
        <w:t>1.2  货物</w:t>
      </w:r>
    </w:p>
    <w:p w14:paraId="79B9ED64">
      <w:pPr>
        <w:spacing w:before="143"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货物名称</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79CB5048">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货物数量</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4F905BE">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1.2.3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货物质量：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60D837DE">
      <w:pPr>
        <w:pStyle w:val="8"/>
        <w:spacing w:before="177" w:line="188" w:lineRule="auto"/>
        <w:ind w:left="495"/>
        <w:rPr>
          <w:color w:val="auto"/>
          <w:sz w:val="24"/>
          <w:szCs w:val="24"/>
          <w:highlight w:val="none"/>
        </w:rPr>
      </w:pPr>
      <w:r>
        <w:rPr>
          <w:b/>
          <w:bCs/>
          <w:color w:val="auto"/>
          <w:spacing w:val="-7"/>
          <w:sz w:val="24"/>
          <w:szCs w:val="24"/>
          <w:highlight w:val="none"/>
        </w:rPr>
        <w:t>1.3  价款</w:t>
      </w:r>
    </w:p>
    <w:p w14:paraId="7C33342F">
      <w:pPr>
        <w:spacing w:before="146" w:line="344" w:lineRule="auto"/>
        <w:ind w:left="487" w:right="1542" w:hanging="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本合同总价为：￥</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3"/>
          <w:sz w:val="24"/>
          <w:szCs w:val="24"/>
          <w:highlight w:val="none"/>
        </w:rPr>
        <w:t>元（大写：</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4"/>
          <w:sz w:val="24"/>
          <w:szCs w:val="24"/>
          <w:highlight w:val="none"/>
        </w:rPr>
        <w:t>元人民币）。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分项价格：</w:t>
      </w:r>
    </w:p>
    <w:tbl>
      <w:tblPr>
        <w:tblStyle w:val="15"/>
        <w:tblW w:w="8598"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4084"/>
        <w:gridCol w:w="3068"/>
      </w:tblGrid>
      <w:tr w14:paraId="262F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46" w:type="dxa"/>
            <w:vAlign w:val="top"/>
          </w:tcPr>
          <w:p w14:paraId="3F29544A">
            <w:pPr>
              <w:pStyle w:val="16"/>
              <w:spacing w:before="37" w:line="225" w:lineRule="auto"/>
              <w:ind w:left="492"/>
              <w:rPr>
                <w:color w:val="auto"/>
                <w:highlight w:val="none"/>
              </w:rPr>
            </w:pPr>
            <w:r>
              <w:rPr>
                <w:color w:val="auto"/>
                <w:spacing w:val="-4"/>
                <w:highlight w:val="none"/>
              </w:rPr>
              <w:t>序号</w:t>
            </w:r>
          </w:p>
        </w:tc>
        <w:tc>
          <w:tcPr>
            <w:tcW w:w="4084" w:type="dxa"/>
            <w:vAlign w:val="top"/>
          </w:tcPr>
          <w:p w14:paraId="6E4A0241">
            <w:pPr>
              <w:pStyle w:val="16"/>
              <w:spacing w:before="38" w:line="224" w:lineRule="auto"/>
              <w:ind w:left="1675"/>
              <w:rPr>
                <w:color w:val="auto"/>
                <w:highlight w:val="none"/>
              </w:rPr>
            </w:pPr>
            <w:r>
              <w:rPr>
                <w:color w:val="auto"/>
                <w:spacing w:val="-4"/>
                <w:highlight w:val="none"/>
              </w:rPr>
              <w:t>分项名称</w:t>
            </w:r>
          </w:p>
        </w:tc>
        <w:tc>
          <w:tcPr>
            <w:tcW w:w="3068" w:type="dxa"/>
            <w:vAlign w:val="top"/>
          </w:tcPr>
          <w:p w14:paraId="71CE5FCB">
            <w:pPr>
              <w:pStyle w:val="16"/>
              <w:spacing w:before="37" w:line="222" w:lineRule="auto"/>
              <w:ind w:left="1069"/>
              <w:rPr>
                <w:color w:val="auto"/>
                <w:highlight w:val="none"/>
              </w:rPr>
            </w:pPr>
            <w:r>
              <w:rPr>
                <w:color w:val="auto"/>
                <w:spacing w:val="-4"/>
                <w:highlight w:val="none"/>
              </w:rPr>
              <w:t>分项价格</w:t>
            </w:r>
          </w:p>
        </w:tc>
      </w:tr>
      <w:tr w14:paraId="6A7F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5A2BA462">
            <w:pPr>
              <w:rPr>
                <w:rFonts w:ascii="Arial"/>
                <w:color w:val="auto"/>
                <w:sz w:val="21"/>
                <w:highlight w:val="none"/>
              </w:rPr>
            </w:pPr>
          </w:p>
        </w:tc>
        <w:tc>
          <w:tcPr>
            <w:tcW w:w="4084" w:type="dxa"/>
            <w:vAlign w:val="top"/>
          </w:tcPr>
          <w:p w14:paraId="6EC274C8">
            <w:pPr>
              <w:rPr>
                <w:rFonts w:ascii="Arial"/>
                <w:color w:val="auto"/>
                <w:sz w:val="21"/>
                <w:highlight w:val="none"/>
              </w:rPr>
            </w:pPr>
          </w:p>
        </w:tc>
        <w:tc>
          <w:tcPr>
            <w:tcW w:w="3068" w:type="dxa"/>
            <w:vAlign w:val="top"/>
          </w:tcPr>
          <w:p w14:paraId="66769664">
            <w:pPr>
              <w:rPr>
                <w:rFonts w:ascii="Arial"/>
                <w:color w:val="auto"/>
                <w:sz w:val="21"/>
                <w:highlight w:val="none"/>
              </w:rPr>
            </w:pPr>
          </w:p>
        </w:tc>
      </w:tr>
      <w:tr w14:paraId="1E26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0F18981B">
            <w:pPr>
              <w:rPr>
                <w:rFonts w:ascii="Arial"/>
                <w:color w:val="auto"/>
                <w:sz w:val="21"/>
                <w:highlight w:val="none"/>
              </w:rPr>
            </w:pPr>
          </w:p>
        </w:tc>
        <w:tc>
          <w:tcPr>
            <w:tcW w:w="4084" w:type="dxa"/>
            <w:vAlign w:val="top"/>
          </w:tcPr>
          <w:p w14:paraId="21451AF1">
            <w:pPr>
              <w:rPr>
                <w:rFonts w:ascii="Arial"/>
                <w:color w:val="auto"/>
                <w:sz w:val="21"/>
                <w:highlight w:val="none"/>
              </w:rPr>
            </w:pPr>
          </w:p>
        </w:tc>
        <w:tc>
          <w:tcPr>
            <w:tcW w:w="3068" w:type="dxa"/>
            <w:vAlign w:val="top"/>
          </w:tcPr>
          <w:p w14:paraId="4A1320A4">
            <w:pPr>
              <w:rPr>
                <w:rFonts w:ascii="Arial"/>
                <w:color w:val="auto"/>
                <w:sz w:val="21"/>
                <w:highlight w:val="none"/>
              </w:rPr>
            </w:pPr>
          </w:p>
        </w:tc>
      </w:tr>
      <w:tr w14:paraId="762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35A69CB2">
            <w:pPr>
              <w:rPr>
                <w:rFonts w:ascii="Arial"/>
                <w:color w:val="auto"/>
                <w:sz w:val="21"/>
                <w:highlight w:val="none"/>
              </w:rPr>
            </w:pPr>
          </w:p>
        </w:tc>
        <w:tc>
          <w:tcPr>
            <w:tcW w:w="4084" w:type="dxa"/>
            <w:vAlign w:val="top"/>
          </w:tcPr>
          <w:p w14:paraId="36BFD789">
            <w:pPr>
              <w:rPr>
                <w:rFonts w:ascii="Arial"/>
                <w:color w:val="auto"/>
                <w:sz w:val="21"/>
                <w:highlight w:val="none"/>
              </w:rPr>
            </w:pPr>
          </w:p>
        </w:tc>
        <w:tc>
          <w:tcPr>
            <w:tcW w:w="3068" w:type="dxa"/>
            <w:vAlign w:val="top"/>
          </w:tcPr>
          <w:p w14:paraId="2ED2A908">
            <w:pPr>
              <w:rPr>
                <w:rFonts w:ascii="Arial"/>
                <w:color w:val="auto"/>
                <w:sz w:val="21"/>
                <w:highlight w:val="none"/>
              </w:rPr>
            </w:pPr>
          </w:p>
        </w:tc>
      </w:tr>
      <w:tr w14:paraId="0FFF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46" w:type="dxa"/>
            <w:vAlign w:val="top"/>
          </w:tcPr>
          <w:p w14:paraId="0F85CC5D">
            <w:pPr>
              <w:rPr>
                <w:rFonts w:ascii="Arial"/>
                <w:color w:val="auto"/>
                <w:sz w:val="21"/>
                <w:highlight w:val="none"/>
              </w:rPr>
            </w:pPr>
          </w:p>
        </w:tc>
        <w:tc>
          <w:tcPr>
            <w:tcW w:w="4084" w:type="dxa"/>
            <w:vAlign w:val="top"/>
          </w:tcPr>
          <w:p w14:paraId="5104C1FA">
            <w:pPr>
              <w:rPr>
                <w:rFonts w:ascii="Arial"/>
                <w:color w:val="auto"/>
                <w:sz w:val="21"/>
                <w:highlight w:val="none"/>
              </w:rPr>
            </w:pPr>
          </w:p>
        </w:tc>
        <w:tc>
          <w:tcPr>
            <w:tcW w:w="3068" w:type="dxa"/>
            <w:vAlign w:val="top"/>
          </w:tcPr>
          <w:p w14:paraId="69746DDE">
            <w:pPr>
              <w:rPr>
                <w:rFonts w:ascii="Arial"/>
                <w:color w:val="auto"/>
                <w:sz w:val="21"/>
                <w:highlight w:val="none"/>
              </w:rPr>
            </w:pPr>
          </w:p>
        </w:tc>
      </w:tr>
      <w:tr w14:paraId="31CD8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30" w:type="dxa"/>
            <w:gridSpan w:val="2"/>
            <w:vAlign w:val="top"/>
          </w:tcPr>
          <w:p w14:paraId="5D7FB8BC">
            <w:pPr>
              <w:pStyle w:val="16"/>
              <w:spacing w:before="41" w:line="222" w:lineRule="auto"/>
              <w:ind w:left="2647"/>
              <w:rPr>
                <w:color w:val="auto"/>
                <w:highlight w:val="none"/>
              </w:rPr>
            </w:pPr>
            <w:r>
              <w:rPr>
                <w:color w:val="auto"/>
                <w:spacing w:val="-7"/>
                <w:highlight w:val="none"/>
              </w:rPr>
              <w:t>总价</w:t>
            </w:r>
          </w:p>
        </w:tc>
        <w:tc>
          <w:tcPr>
            <w:tcW w:w="3068" w:type="dxa"/>
            <w:vAlign w:val="top"/>
          </w:tcPr>
          <w:p w14:paraId="63B6935A">
            <w:pPr>
              <w:rPr>
                <w:rFonts w:ascii="Arial"/>
                <w:color w:val="auto"/>
                <w:sz w:val="21"/>
                <w:highlight w:val="none"/>
              </w:rPr>
            </w:pPr>
          </w:p>
        </w:tc>
      </w:tr>
    </w:tbl>
    <w:p w14:paraId="0D809CAB">
      <w:pPr>
        <w:rPr>
          <w:rFonts w:ascii="Arial"/>
          <w:color w:val="auto"/>
          <w:sz w:val="21"/>
          <w:highlight w:val="none"/>
        </w:rPr>
      </w:pPr>
    </w:p>
    <w:p w14:paraId="40163058">
      <w:pPr>
        <w:rPr>
          <w:rFonts w:ascii="Arial" w:hAnsi="Arial" w:eastAsia="Arial" w:cs="Arial"/>
          <w:color w:val="auto"/>
          <w:sz w:val="21"/>
          <w:szCs w:val="21"/>
          <w:highlight w:val="none"/>
        </w:rPr>
        <w:sectPr>
          <w:footerReference r:id="rId18" w:type="default"/>
          <w:pgSz w:w="11905" w:h="16839"/>
          <w:pgMar w:top="400" w:right="911" w:bottom="1250" w:left="1093" w:header="0" w:footer="1090" w:gutter="0"/>
          <w:pgNumType w:fmt="numberInDash"/>
          <w:cols w:space="720" w:num="1"/>
        </w:sectPr>
      </w:pPr>
    </w:p>
    <w:p w14:paraId="7C257FAB">
      <w:pPr>
        <w:spacing w:line="242" w:lineRule="auto"/>
        <w:rPr>
          <w:rFonts w:ascii="Arial"/>
          <w:color w:val="auto"/>
          <w:sz w:val="21"/>
          <w:highlight w:val="none"/>
        </w:rPr>
      </w:pPr>
    </w:p>
    <w:p w14:paraId="4E43F7C9">
      <w:pPr>
        <w:spacing w:line="242" w:lineRule="auto"/>
        <w:rPr>
          <w:rFonts w:ascii="Arial"/>
          <w:color w:val="auto"/>
          <w:sz w:val="21"/>
          <w:highlight w:val="none"/>
        </w:rPr>
      </w:pPr>
    </w:p>
    <w:p w14:paraId="6C456607">
      <w:pPr>
        <w:spacing w:line="242" w:lineRule="auto"/>
        <w:rPr>
          <w:rFonts w:ascii="Arial"/>
          <w:color w:val="auto"/>
          <w:sz w:val="21"/>
          <w:highlight w:val="none"/>
        </w:rPr>
      </w:pPr>
    </w:p>
    <w:p w14:paraId="74490EE4">
      <w:pPr>
        <w:spacing w:line="242" w:lineRule="auto"/>
        <w:rPr>
          <w:rFonts w:ascii="Arial"/>
          <w:color w:val="auto"/>
          <w:sz w:val="21"/>
          <w:highlight w:val="none"/>
        </w:rPr>
      </w:pPr>
    </w:p>
    <w:p w14:paraId="7B44595F">
      <w:pPr>
        <w:pStyle w:val="8"/>
        <w:spacing w:before="103" w:line="188" w:lineRule="auto"/>
        <w:ind w:left="490"/>
        <w:rPr>
          <w:color w:val="auto"/>
          <w:sz w:val="24"/>
          <w:szCs w:val="24"/>
          <w:highlight w:val="none"/>
        </w:rPr>
      </w:pPr>
      <w:r>
        <w:rPr>
          <w:b/>
          <w:bCs/>
          <w:color w:val="auto"/>
          <w:spacing w:val="-4"/>
          <w:sz w:val="24"/>
          <w:szCs w:val="24"/>
          <w:highlight w:val="none"/>
        </w:rPr>
        <w:t>1.4</w:t>
      </w:r>
      <w:r>
        <w:rPr>
          <w:b/>
          <w:bCs/>
          <w:color w:val="auto"/>
          <w:spacing w:val="74"/>
          <w:sz w:val="24"/>
          <w:szCs w:val="24"/>
          <w:highlight w:val="none"/>
        </w:rPr>
        <w:t xml:space="preserve"> </w:t>
      </w:r>
      <w:r>
        <w:rPr>
          <w:b/>
          <w:bCs/>
          <w:color w:val="auto"/>
          <w:spacing w:val="-4"/>
          <w:sz w:val="24"/>
          <w:szCs w:val="24"/>
          <w:highlight w:val="none"/>
        </w:rPr>
        <w:t>付款方式和发票开具方式</w:t>
      </w:r>
    </w:p>
    <w:p w14:paraId="70790F75">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1.4.1</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付款方式</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w:t>
      </w:r>
    </w:p>
    <w:p w14:paraId="2FD93130">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1.4.2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发票开具方式：</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4"/>
          <w:sz w:val="24"/>
          <w:szCs w:val="24"/>
          <w:highlight w:val="none"/>
        </w:rPr>
        <w:t>。</w:t>
      </w:r>
    </w:p>
    <w:p w14:paraId="536FBFB7">
      <w:pPr>
        <w:pStyle w:val="8"/>
        <w:spacing w:before="175" w:line="188" w:lineRule="auto"/>
        <w:ind w:left="490"/>
        <w:rPr>
          <w:color w:val="auto"/>
          <w:sz w:val="24"/>
          <w:szCs w:val="24"/>
          <w:highlight w:val="none"/>
        </w:rPr>
      </w:pPr>
      <w:r>
        <w:rPr>
          <w:b/>
          <w:bCs/>
          <w:color w:val="auto"/>
          <w:spacing w:val="-4"/>
          <w:sz w:val="24"/>
          <w:szCs w:val="24"/>
          <w:highlight w:val="none"/>
        </w:rPr>
        <w:t>1.5</w:t>
      </w:r>
      <w:r>
        <w:rPr>
          <w:b/>
          <w:bCs/>
          <w:color w:val="auto"/>
          <w:spacing w:val="78"/>
          <w:sz w:val="24"/>
          <w:szCs w:val="24"/>
          <w:highlight w:val="none"/>
        </w:rPr>
        <w:t xml:space="preserve"> </w:t>
      </w:r>
      <w:r>
        <w:rPr>
          <w:b/>
          <w:bCs/>
          <w:color w:val="auto"/>
          <w:spacing w:val="-4"/>
          <w:sz w:val="24"/>
          <w:szCs w:val="24"/>
          <w:highlight w:val="none"/>
        </w:rPr>
        <w:t>货物交付期限、地点和方式</w:t>
      </w:r>
    </w:p>
    <w:p w14:paraId="35D6FF4A">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交付期限</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1CD1FDF9">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交付地点</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27FC3C44">
      <w:pPr>
        <w:spacing w:before="176"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1.5.3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交付方式：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0C89531B">
      <w:pPr>
        <w:pStyle w:val="8"/>
        <w:spacing w:before="177" w:line="188" w:lineRule="auto"/>
        <w:ind w:left="490"/>
        <w:rPr>
          <w:color w:val="auto"/>
          <w:sz w:val="24"/>
          <w:szCs w:val="24"/>
          <w:highlight w:val="none"/>
        </w:rPr>
      </w:pPr>
      <w:r>
        <w:rPr>
          <w:b/>
          <w:bCs/>
          <w:color w:val="auto"/>
          <w:spacing w:val="-7"/>
          <w:sz w:val="24"/>
          <w:szCs w:val="24"/>
          <w:highlight w:val="none"/>
        </w:rPr>
        <w:t>1.6</w:t>
      </w:r>
      <w:r>
        <w:rPr>
          <w:b/>
          <w:bCs/>
          <w:color w:val="auto"/>
          <w:spacing w:val="70"/>
          <w:sz w:val="24"/>
          <w:szCs w:val="24"/>
          <w:highlight w:val="none"/>
        </w:rPr>
        <w:t xml:space="preserve"> </w:t>
      </w:r>
      <w:r>
        <w:rPr>
          <w:b/>
          <w:bCs/>
          <w:color w:val="auto"/>
          <w:spacing w:val="-7"/>
          <w:sz w:val="24"/>
          <w:szCs w:val="24"/>
          <w:highlight w:val="none"/>
        </w:rPr>
        <w:t>违约责任</w:t>
      </w:r>
    </w:p>
    <w:p w14:paraId="362CE765">
      <w:pPr>
        <w:spacing w:before="144" w:line="325" w:lineRule="auto"/>
        <w:ind w:firstLine="49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7"/>
          <w:sz w:val="24"/>
          <w:szCs w:val="24"/>
          <w:highlight w:val="none"/>
        </w:rPr>
        <w:t>除不可抗力外，如果乙方没有按照本合同约定的期限、地点和方式交付货物，</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7"/>
          <w:sz w:val="24"/>
          <w:szCs w:val="24"/>
          <w:highlight w:val="none"/>
        </w:rPr>
        <w:t>那么</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甲方可要求乙方支付违约金，违约金按每迟延交付货物一</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日的应交付而未交付货物价格的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rPr>
        <w:t xml:space="preserve"> 计算，最高限额为本合同总价的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%；迟延交付货物</w:t>
      </w:r>
      <w:r>
        <w:rPr>
          <w:rFonts w:ascii="新宋体" w:hAnsi="新宋体" w:eastAsia="新宋体" w:cs="新宋体"/>
          <w:color w:val="auto"/>
          <w:spacing w:val="-1"/>
          <w:sz w:val="24"/>
          <w:szCs w:val="24"/>
          <w:highlight w:val="none"/>
        </w:rPr>
        <w:t>的违约金计算数额达到前述最高限额之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日起，甲方有权在要求乙方支付违约金的同时，书面通知乙方解除本合</w:t>
      </w:r>
      <w:r>
        <w:rPr>
          <w:rFonts w:ascii="新宋体" w:hAnsi="新宋体" w:eastAsia="新宋体" w:cs="新宋体"/>
          <w:color w:val="auto"/>
          <w:spacing w:val="-3"/>
          <w:sz w:val="24"/>
          <w:szCs w:val="24"/>
          <w:highlight w:val="none"/>
        </w:rPr>
        <w:t>同；</w:t>
      </w:r>
    </w:p>
    <w:p w14:paraId="143012C6">
      <w:pPr>
        <w:spacing w:before="177" w:line="325" w:lineRule="auto"/>
        <w:ind w:right="120"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1.6.2 除不可抗力外，如果甲方没有按照本合同约定的付款方式付款，那么乙方可要求甲</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1"/>
          <w:sz w:val="24"/>
          <w:szCs w:val="24"/>
          <w:highlight w:val="none"/>
        </w:rPr>
        <w:t>方支付违约金，违约金按每迟延付款一</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1"/>
          <w:sz w:val="24"/>
          <w:szCs w:val="24"/>
          <w:highlight w:val="none"/>
        </w:rPr>
        <w:t>日的</w:t>
      </w:r>
      <w:r>
        <w:rPr>
          <w:rFonts w:ascii="新宋体" w:hAnsi="新宋体" w:eastAsia="新宋体" w:cs="新宋体"/>
          <w:color w:val="auto"/>
          <w:spacing w:val="-2"/>
          <w:sz w:val="24"/>
          <w:szCs w:val="24"/>
          <w:highlight w:val="none"/>
        </w:rPr>
        <w:t>应付而未付款的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%计算，最高限额为本合同总</w:t>
      </w:r>
      <w:r>
        <w:rPr>
          <w:rFonts w:ascii="新宋体" w:hAnsi="新宋体" w:eastAsia="新宋体" w:cs="新宋体"/>
          <w:color w:val="auto"/>
          <w:sz w:val="24"/>
          <w:szCs w:val="24"/>
          <w:highlight w:val="none"/>
        </w:rPr>
        <w:t xml:space="preserve">  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%；迟延付款的违约金计算数额达到前述最</w:t>
      </w:r>
      <w:r>
        <w:rPr>
          <w:rFonts w:ascii="新宋体" w:hAnsi="新宋体" w:eastAsia="新宋体" w:cs="新宋体"/>
          <w:color w:val="auto"/>
          <w:spacing w:val="-1"/>
          <w:sz w:val="24"/>
          <w:szCs w:val="24"/>
          <w:highlight w:val="none"/>
        </w:rPr>
        <w:t>高限额之日起，乙方有权在要求甲方支付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违约金的同时，书面通知甲方解除本合同；</w:t>
      </w:r>
    </w:p>
    <w:p w14:paraId="295474B7">
      <w:pPr>
        <w:spacing w:before="181" w:line="336" w:lineRule="auto"/>
        <w:ind w:right="161"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1.6.3 除不可抗力外，任何一方未能履行本合同约定的其他主要义务，经催告后在合理期</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限内仍未履行的，或者任何一方有其他违约行为致使不能实现合同目的的，或者任何一方有腐</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败行为（即：提供或给予或接受或索取任何财物或其他好处或者采取其他不正当手段影响对方</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当事人在合同签订、履行过程中的行为）或者欺诈行为（即：以谎报事实或者隐瞒真相的方法</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6"/>
          <w:sz w:val="24"/>
          <w:szCs w:val="24"/>
          <w:highlight w:val="none"/>
        </w:rPr>
        <w:t>来影响对方当事人在合同签订、履行过程中的行为） 的，对方当事人可以书面通知违约方解除</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4"/>
          <w:sz w:val="24"/>
          <w:szCs w:val="24"/>
          <w:highlight w:val="none"/>
        </w:rPr>
        <w:t>本合同；</w:t>
      </w:r>
    </w:p>
    <w:p w14:paraId="2C1491BA">
      <w:pPr>
        <w:spacing w:before="178" w:line="332" w:lineRule="auto"/>
        <w:ind w:left="1" w:right="161"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1.6.4 任何一方按照前述约定要求违约方支付违约金的同时，仍有权要求违约方继续履行</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合同、采取补救措施，并有权按照己方实际损失情况要求违约方赔偿损失；任何一方按照前述</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约定要求解除本合同的同时，仍有权要求违约方支付违约金和按照己方实际损失情况要求违约</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方赔偿损失；且守约方行使的任何权利救济方式均不视为其放弃了其他法定或者约定的权利救</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4"/>
          <w:sz w:val="24"/>
          <w:szCs w:val="24"/>
          <w:highlight w:val="none"/>
        </w:rPr>
        <w:t>济方式；</w:t>
      </w:r>
    </w:p>
    <w:p w14:paraId="716A6417">
      <w:pPr>
        <w:spacing w:before="175" w:line="314" w:lineRule="auto"/>
        <w:ind w:right="161" w:firstLine="490"/>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1.6.5 除前述约定外，除不可抗力外，任何一方未能履行本合同约定的义务，对方当事人</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均有权要求继续履行、采取补救措施或者赔偿损失等，</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且对方当事人行使的任何权利救济方式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均不视为其放弃了其他法定或者约定的权利救济方式；</w:t>
      </w:r>
    </w:p>
    <w:p w14:paraId="32341168">
      <w:pPr>
        <w:spacing w:line="314" w:lineRule="auto"/>
        <w:rPr>
          <w:rFonts w:ascii="新宋体" w:hAnsi="新宋体" w:eastAsia="新宋体" w:cs="新宋体"/>
          <w:color w:val="auto"/>
          <w:sz w:val="24"/>
          <w:szCs w:val="24"/>
          <w:highlight w:val="none"/>
        </w:rPr>
        <w:sectPr>
          <w:footerReference r:id="rId19" w:type="default"/>
          <w:pgSz w:w="11905" w:h="16839"/>
          <w:pgMar w:top="400" w:right="861" w:bottom="1250" w:left="1098" w:header="0" w:footer="1090" w:gutter="0"/>
          <w:pgNumType w:fmt="numberInDash"/>
          <w:cols w:space="720" w:num="1"/>
        </w:sectPr>
      </w:pPr>
    </w:p>
    <w:p w14:paraId="4A6B7CC3">
      <w:pPr>
        <w:spacing w:line="248" w:lineRule="auto"/>
        <w:rPr>
          <w:rFonts w:ascii="Arial"/>
          <w:color w:val="auto"/>
          <w:sz w:val="21"/>
          <w:highlight w:val="none"/>
        </w:rPr>
      </w:pPr>
    </w:p>
    <w:p w14:paraId="250993C0">
      <w:pPr>
        <w:spacing w:line="248" w:lineRule="auto"/>
        <w:rPr>
          <w:rFonts w:ascii="Arial"/>
          <w:color w:val="auto"/>
          <w:sz w:val="21"/>
          <w:highlight w:val="none"/>
        </w:rPr>
      </w:pPr>
    </w:p>
    <w:p w14:paraId="73BFD6E6">
      <w:pPr>
        <w:spacing w:line="249" w:lineRule="auto"/>
        <w:rPr>
          <w:rFonts w:ascii="Arial"/>
          <w:color w:val="auto"/>
          <w:sz w:val="21"/>
          <w:highlight w:val="none"/>
        </w:rPr>
      </w:pPr>
    </w:p>
    <w:p w14:paraId="30F928BB">
      <w:pPr>
        <w:spacing w:line="249" w:lineRule="auto"/>
        <w:rPr>
          <w:rFonts w:ascii="Arial"/>
          <w:color w:val="auto"/>
          <w:sz w:val="21"/>
          <w:highlight w:val="none"/>
        </w:rPr>
      </w:pPr>
    </w:p>
    <w:p w14:paraId="5181D39F">
      <w:pPr>
        <w:spacing w:before="78" w:line="350" w:lineRule="auto"/>
        <w:ind w:left="14" w:right="2" w:firstLine="476"/>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1.6.6 如果出现政府采购监督管理部门在处理投诉事项期间，书面通知甲方暂停采购活动</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的情形，或者询问或质疑事项可能影响中标结果的，导致甲方中止履行</w:t>
      </w:r>
      <w:r>
        <w:rPr>
          <w:rFonts w:ascii="新宋体" w:hAnsi="新宋体" w:eastAsia="新宋体" w:cs="新宋体"/>
          <w:color w:val="auto"/>
          <w:spacing w:val="-4"/>
          <w:sz w:val="24"/>
          <w:szCs w:val="24"/>
          <w:highlight w:val="none"/>
        </w:rPr>
        <w:t>合同的情形，均不视为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甲方违约。</w:t>
      </w:r>
    </w:p>
    <w:p w14:paraId="18B9AE1D">
      <w:pPr>
        <w:pStyle w:val="8"/>
        <w:spacing w:before="34" w:line="188" w:lineRule="auto"/>
        <w:ind w:left="490"/>
        <w:rPr>
          <w:color w:val="auto"/>
          <w:sz w:val="24"/>
          <w:szCs w:val="24"/>
          <w:highlight w:val="none"/>
        </w:rPr>
      </w:pPr>
      <w:r>
        <w:rPr>
          <w:b/>
          <w:bCs/>
          <w:color w:val="auto"/>
          <w:spacing w:val="-5"/>
          <w:sz w:val="24"/>
          <w:szCs w:val="24"/>
          <w:highlight w:val="none"/>
        </w:rPr>
        <w:t>1.7  合同争议的解决</w:t>
      </w:r>
    </w:p>
    <w:p w14:paraId="3D565601">
      <w:pPr>
        <w:spacing w:before="144" w:line="345"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本合同履行过程中发生的任何争议，双方当事人</w:t>
      </w:r>
      <w:r>
        <w:rPr>
          <w:rFonts w:ascii="新宋体" w:hAnsi="新宋体" w:eastAsia="新宋体" w:cs="新宋体"/>
          <w:color w:val="auto"/>
          <w:spacing w:val="-2"/>
          <w:sz w:val="24"/>
          <w:szCs w:val="24"/>
          <w:highlight w:val="none"/>
        </w:rPr>
        <w:t>均可通过和解或者调解解决；不愿和解、</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调解或者和解、调解不成的，可以选择下列第</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pacing w:val="-3"/>
          <w:sz w:val="24"/>
          <w:szCs w:val="24"/>
          <w:highlight w:val="none"/>
        </w:rPr>
        <w:t>种方式解决：</w:t>
      </w:r>
    </w:p>
    <w:p w14:paraId="4AF62065">
      <w:pPr>
        <w:spacing w:before="36" w:line="223" w:lineRule="auto"/>
        <w:ind w:right="11"/>
        <w:jc w:val="right"/>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1.7.1 将争议提交</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
          <w:sz w:val="24"/>
          <w:szCs w:val="24"/>
          <w:highlight w:val="none"/>
        </w:rPr>
        <w:t>仲裁委员会依申请仲裁时其现行有效的仲裁规则裁决；</w:t>
      </w:r>
    </w:p>
    <w:p w14:paraId="7B0B986D">
      <w:pPr>
        <w:spacing w:before="178" w:line="291" w:lineRule="auto"/>
        <w:ind w:left="1" w:right="92"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1.7.2</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向</w:t>
      </w:r>
      <w:r>
        <w:rPr>
          <w:rFonts w:ascii="新宋体" w:hAnsi="新宋体" w:eastAsia="新宋体" w:cs="新宋体"/>
          <w:color w:val="auto"/>
          <w:spacing w:val="-2"/>
          <w:sz w:val="24"/>
          <w:szCs w:val="24"/>
          <w:highlight w:val="none"/>
          <w:u w:val="single" w:color="auto"/>
        </w:rPr>
        <w:t xml:space="preserve">   （被告住所地、合同履行地、合同签订地、原告住所地、标的物所在地</w:t>
      </w:r>
      <w:r>
        <w:rPr>
          <w:rFonts w:ascii="新宋体" w:hAnsi="新宋体" w:eastAsia="新宋体" w:cs="新宋体"/>
          <w:color w:val="auto"/>
          <w:spacing w:val="-3"/>
          <w:sz w:val="24"/>
          <w:szCs w:val="24"/>
          <w:highlight w:val="none"/>
          <w:u w:val="single" w:color="auto"/>
        </w:rPr>
        <w:t>等与</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u w:val="single" w:color="auto"/>
        </w:rPr>
        <w:t xml:space="preserve">争议有实际联系的地点中选出的人民法院名称）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2"/>
          <w:sz w:val="24"/>
          <w:szCs w:val="24"/>
          <w:highlight w:val="none"/>
        </w:rPr>
        <w:t>人民法院起诉。</w:t>
      </w:r>
    </w:p>
    <w:p w14:paraId="77247934">
      <w:pPr>
        <w:pStyle w:val="8"/>
        <w:spacing w:before="176" w:line="188" w:lineRule="auto"/>
        <w:ind w:left="490"/>
        <w:rPr>
          <w:color w:val="auto"/>
          <w:sz w:val="24"/>
          <w:szCs w:val="24"/>
          <w:highlight w:val="none"/>
        </w:rPr>
      </w:pPr>
      <w:r>
        <w:rPr>
          <w:b/>
          <w:bCs/>
          <w:color w:val="auto"/>
          <w:spacing w:val="-6"/>
          <w:sz w:val="24"/>
          <w:szCs w:val="24"/>
          <w:highlight w:val="none"/>
        </w:rPr>
        <w:t>1.8  合同生效</w:t>
      </w:r>
    </w:p>
    <w:p w14:paraId="04B2B912">
      <w:pPr>
        <w:spacing w:before="144" w:line="223"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本合同自双方当事人盖章或者签字时生效。</w:t>
      </w:r>
    </w:p>
    <w:p w14:paraId="5612E1D8">
      <w:pPr>
        <w:spacing w:line="268" w:lineRule="auto"/>
        <w:rPr>
          <w:rFonts w:ascii="Arial"/>
          <w:color w:val="auto"/>
          <w:sz w:val="21"/>
          <w:highlight w:val="none"/>
        </w:rPr>
      </w:pPr>
    </w:p>
    <w:p w14:paraId="027A2CF7">
      <w:pPr>
        <w:spacing w:line="269" w:lineRule="auto"/>
        <w:rPr>
          <w:rFonts w:ascii="Arial"/>
          <w:color w:val="auto"/>
          <w:sz w:val="21"/>
          <w:highlight w:val="none"/>
        </w:rPr>
      </w:pPr>
    </w:p>
    <w:p w14:paraId="18EC7723">
      <w:pPr>
        <w:pStyle w:val="8"/>
        <w:spacing w:before="104" w:line="188" w:lineRule="auto"/>
        <w:ind w:left="511"/>
        <w:rPr>
          <w:rFonts w:ascii="新宋体" w:hAnsi="新宋体" w:eastAsia="新宋体" w:cs="新宋体"/>
          <w:color w:val="auto"/>
          <w:sz w:val="24"/>
          <w:szCs w:val="24"/>
          <w:highlight w:val="none"/>
        </w:rPr>
      </w:pPr>
      <w:r>
        <w:rPr>
          <w:b/>
          <w:bCs/>
          <w:color w:val="auto"/>
          <w:spacing w:val="-10"/>
          <w:sz w:val="24"/>
          <w:szCs w:val="24"/>
          <w:highlight w:val="none"/>
        </w:rPr>
        <w:t>甲方</w:t>
      </w:r>
      <w:r>
        <w:rPr>
          <w:b/>
          <w:bCs/>
          <w:color w:val="auto"/>
          <w:spacing w:val="-38"/>
          <w:sz w:val="24"/>
          <w:szCs w:val="24"/>
          <w:highlight w:val="none"/>
        </w:rPr>
        <w:t xml:space="preserve"> </w:t>
      </w:r>
      <w:r>
        <w:rPr>
          <w:rFonts w:ascii="新宋体" w:hAnsi="新宋体" w:eastAsia="新宋体" w:cs="新宋体"/>
          <w:color w:val="auto"/>
          <w:spacing w:val="-10"/>
          <w:sz w:val="24"/>
          <w:szCs w:val="24"/>
          <w:highlight w:val="none"/>
        </w:rPr>
        <w:t xml:space="preserve">：                                      </w:t>
      </w:r>
      <w:r>
        <w:rPr>
          <w:b/>
          <w:bCs/>
          <w:color w:val="auto"/>
          <w:spacing w:val="-11"/>
          <w:sz w:val="24"/>
          <w:szCs w:val="24"/>
          <w:highlight w:val="none"/>
        </w:rPr>
        <w:t>乙方</w:t>
      </w:r>
      <w:r>
        <w:rPr>
          <w:rFonts w:ascii="新宋体" w:hAnsi="新宋体" w:eastAsia="新宋体" w:cs="新宋体"/>
          <w:color w:val="auto"/>
          <w:spacing w:val="-11"/>
          <w:sz w:val="24"/>
          <w:szCs w:val="24"/>
          <w:highlight w:val="none"/>
        </w:rPr>
        <w:t>：</w:t>
      </w:r>
    </w:p>
    <w:p w14:paraId="2ED2C561">
      <w:pPr>
        <w:spacing w:before="144" w:line="223"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 xml:space="preserve">统一社会信用代码：             </w:t>
      </w:r>
      <w:r>
        <w:rPr>
          <w:rFonts w:ascii="新宋体" w:hAnsi="新宋体" w:eastAsia="新宋体" w:cs="新宋体"/>
          <w:color w:val="auto"/>
          <w:spacing w:val="-2"/>
          <w:sz w:val="24"/>
          <w:szCs w:val="24"/>
          <w:highlight w:val="none"/>
        </w:rPr>
        <w:t xml:space="preserve">          统一社会信用代码或身份证号码：</w:t>
      </w:r>
    </w:p>
    <w:p w14:paraId="4253743D">
      <w:pPr>
        <w:spacing w:before="177"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住所：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住所：</w:t>
      </w:r>
    </w:p>
    <w:p w14:paraId="1CD0BE48">
      <w:pPr>
        <w:spacing w:before="175"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法定代表人或</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法定代表人</w:t>
      </w:r>
    </w:p>
    <w:p w14:paraId="5EB17E8C">
      <w:pPr>
        <w:spacing w:before="176"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或授权代表（签字</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或授权代表（签字）:</w:t>
      </w:r>
    </w:p>
    <w:p w14:paraId="7D152481">
      <w:pPr>
        <w:spacing w:before="176" w:line="226" w:lineRule="auto"/>
        <w:ind w:left="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联系人：                                  </w:t>
      </w:r>
      <w:r>
        <w:rPr>
          <w:rFonts w:ascii="新宋体" w:hAnsi="新宋体" w:eastAsia="新宋体" w:cs="新宋体"/>
          <w:color w:val="auto"/>
          <w:spacing w:val="-5"/>
          <w:sz w:val="24"/>
          <w:szCs w:val="24"/>
          <w:highlight w:val="none"/>
        </w:rPr>
        <w:t>联系人：</w:t>
      </w:r>
    </w:p>
    <w:p w14:paraId="4DC67361">
      <w:pPr>
        <w:spacing w:before="173" w:line="224"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约定送达地址：</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约定送达地址：</w:t>
      </w:r>
    </w:p>
    <w:p w14:paraId="19CD1014">
      <w:pPr>
        <w:spacing w:before="175" w:line="224" w:lineRule="auto"/>
        <w:ind w:left="498"/>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邮政编码：</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1"/>
          <w:sz w:val="24"/>
          <w:szCs w:val="24"/>
          <w:highlight w:val="none"/>
        </w:rPr>
        <w:t>邮政编码：</w:t>
      </w:r>
    </w:p>
    <w:p w14:paraId="0C96F262">
      <w:pPr>
        <w:spacing w:before="176" w:line="226"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3"/>
          <w:sz w:val="24"/>
          <w:szCs w:val="24"/>
          <w:highlight w:val="none"/>
        </w:rPr>
        <w:t>电话:</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3"/>
          <w:sz w:val="24"/>
          <w:szCs w:val="24"/>
          <w:highlight w:val="none"/>
        </w:rPr>
        <w:t>电话:</w:t>
      </w:r>
    </w:p>
    <w:p w14:paraId="5DEDA25E">
      <w:pPr>
        <w:spacing w:before="173" w:line="223" w:lineRule="auto"/>
        <w:ind w:left="482"/>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 xml:space="preserve">传真:                                 </w:t>
      </w:r>
      <w:r>
        <w:rPr>
          <w:rFonts w:ascii="新宋体" w:hAnsi="新宋体" w:eastAsia="新宋体" w:cs="新宋体"/>
          <w:color w:val="auto"/>
          <w:spacing w:val="-4"/>
          <w:sz w:val="24"/>
          <w:szCs w:val="24"/>
          <w:highlight w:val="none"/>
        </w:rPr>
        <w:t xml:space="preserve">    传真:</w:t>
      </w:r>
    </w:p>
    <w:p w14:paraId="5CA56645">
      <w:pPr>
        <w:spacing w:before="178" w:line="224"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2"/>
          <w:sz w:val="24"/>
          <w:szCs w:val="24"/>
          <w:highlight w:val="none"/>
        </w:rPr>
        <w:t>电子邮箱：</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2"/>
          <w:sz w:val="24"/>
          <w:szCs w:val="24"/>
          <w:highlight w:val="none"/>
        </w:rPr>
        <w:t>电子邮箱：</w:t>
      </w:r>
    </w:p>
    <w:p w14:paraId="311E5D09">
      <w:pPr>
        <w:spacing w:before="175"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开户银行：                            </w:t>
      </w:r>
      <w:r>
        <w:rPr>
          <w:rFonts w:ascii="新宋体" w:hAnsi="新宋体" w:eastAsia="新宋体" w:cs="新宋体"/>
          <w:color w:val="auto"/>
          <w:spacing w:val="-5"/>
          <w:sz w:val="24"/>
          <w:szCs w:val="24"/>
          <w:highlight w:val="none"/>
        </w:rPr>
        <w:t xml:space="preserve">    开户银行：</w:t>
      </w:r>
    </w:p>
    <w:p w14:paraId="71D2FA7E">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开户名称：                            </w:t>
      </w:r>
      <w:r>
        <w:rPr>
          <w:rFonts w:ascii="新宋体" w:hAnsi="新宋体" w:eastAsia="新宋体" w:cs="新宋体"/>
          <w:color w:val="auto"/>
          <w:spacing w:val="-5"/>
          <w:sz w:val="24"/>
          <w:szCs w:val="24"/>
          <w:highlight w:val="none"/>
        </w:rPr>
        <w:t xml:space="preserve">    开户名称：</w:t>
      </w:r>
    </w:p>
    <w:p w14:paraId="5C954F4A">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开户账号：                            </w:t>
      </w:r>
      <w:r>
        <w:rPr>
          <w:rFonts w:ascii="新宋体" w:hAnsi="新宋体" w:eastAsia="新宋体" w:cs="新宋体"/>
          <w:color w:val="auto"/>
          <w:spacing w:val="-5"/>
          <w:sz w:val="24"/>
          <w:szCs w:val="24"/>
          <w:highlight w:val="none"/>
        </w:rPr>
        <w:t xml:space="preserve">    开户账号：</w:t>
      </w:r>
    </w:p>
    <w:p w14:paraId="34C1514F">
      <w:pPr>
        <w:spacing w:line="224" w:lineRule="auto"/>
        <w:rPr>
          <w:rFonts w:ascii="新宋体" w:hAnsi="新宋体" w:eastAsia="新宋体" w:cs="新宋体"/>
          <w:color w:val="auto"/>
          <w:sz w:val="24"/>
          <w:szCs w:val="24"/>
          <w:highlight w:val="none"/>
        </w:rPr>
        <w:sectPr>
          <w:footerReference r:id="rId20" w:type="default"/>
          <w:pgSz w:w="11905" w:h="16839"/>
          <w:pgMar w:top="400" w:right="1020" w:bottom="1250" w:left="1098" w:header="0" w:footer="1090" w:gutter="0"/>
          <w:pgNumType w:fmt="numberInDash"/>
          <w:cols w:space="720" w:num="1"/>
        </w:sectPr>
      </w:pPr>
    </w:p>
    <w:p w14:paraId="7A625830">
      <w:pPr>
        <w:spacing w:line="319" w:lineRule="auto"/>
        <w:rPr>
          <w:rFonts w:ascii="Arial"/>
          <w:color w:val="auto"/>
          <w:sz w:val="21"/>
          <w:highlight w:val="none"/>
        </w:rPr>
      </w:pPr>
    </w:p>
    <w:p w14:paraId="15370E6D">
      <w:pPr>
        <w:spacing w:line="319" w:lineRule="auto"/>
        <w:rPr>
          <w:rFonts w:ascii="Arial"/>
          <w:color w:val="auto"/>
          <w:sz w:val="21"/>
          <w:highlight w:val="none"/>
        </w:rPr>
      </w:pPr>
    </w:p>
    <w:p w14:paraId="4C609C05">
      <w:pPr>
        <w:spacing w:line="319" w:lineRule="auto"/>
        <w:rPr>
          <w:rFonts w:ascii="Arial"/>
          <w:color w:val="auto"/>
          <w:sz w:val="21"/>
          <w:highlight w:val="none"/>
        </w:rPr>
      </w:pPr>
    </w:p>
    <w:p w14:paraId="7D925F07">
      <w:pPr>
        <w:pStyle w:val="8"/>
        <w:spacing w:before="120" w:line="188" w:lineRule="auto"/>
        <w:ind w:left="3696"/>
        <w:rPr>
          <w:color w:val="auto"/>
          <w:sz w:val="28"/>
          <w:szCs w:val="28"/>
          <w:highlight w:val="none"/>
        </w:rPr>
      </w:pPr>
      <w:r>
        <w:rPr>
          <w:b/>
          <w:bCs/>
          <w:color w:val="auto"/>
          <w:spacing w:val="-5"/>
          <w:sz w:val="28"/>
          <w:szCs w:val="28"/>
          <w:highlight w:val="none"/>
        </w:rPr>
        <w:t>第二部分  合同一般条款</w:t>
      </w:r>
    </w:p>
    <w:p w14:paraId="4D1227C2">
      <w:pPr>
        <w:pStyle w:val="8"/>
        <w:spacing w:before="161" w:line="189" w:lineRule="auto"/>
        <w:ind w:left="478"/>
        <w:rPr>
          <w:color w:val="auto"/>
          <w:sz w:val="24"/>
          <w:szCs w:val="24"/>
          <w:highlight w:val="none"/>
        </w:rPr>
      </w:pPr>
      <w:r>
        <w:rPr>
          <w:b/>
          <w:bCs/>
          <w:color w:val="auto"/>
          <w:spacing w:val="-5"/>
          <w:sz w:val="24"/>
          <w:szCs w:val="24"/>
          <w:highlight w:val="none"/>
        </w:rPr>
        <w:t>2.1  定义</w:t>
      </w:r>
    </w:p>
    <w:p w14:paraId="37CC4BBE">
      <w:pPr>
        <w:spacing w:before="143" w:line="223"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本合同中的下列词语应按以下内容进行解释：</w:t>
      </w:r>
    </w:p>
    <w:p w14:paraId="3A29C9B7">
      <w:pPr>
        <w:spacing w:before="177" w:line="291" w:lineRule="auto"/>
        <w:ind w:right="10" w:firstLine="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 “合同”系指采购人和中标供应商签订的载明双方当事</w:t>
      </w:r>
      <w:r>
        <w:rPr>
          <w:rFonts w:ascii="新宋体" w:hAnsi="新宋体" w:eastAsia="新宋体" w:cs="新宋体"/>
          <w:color w:val="auto"/>
          <w:spacing w:val="-2"/>
          <w:sz w:val="24"/>
          <w:szCs w:val="24"/>
          <w:highlight w:val="none"/>
        </w:rPr>
        <w:t>人所达成的协议，并包括所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有的附件、附录和构成合同的其他文件。</w:t>
      </w:r>
    </w:p>
    <w:p w14:paraId="5992FBC9">
      <w:pPr>
        <w:spacing w:before="176" w:line="291"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2.1.2 “合同价”系指根据合同约定，中标供应商在完全履行</w:t>
      </w:r>
      <w:r>
        <w:rPr>
          <w:rFonts w:ascii="新宋体" w:hAnsi="新宋体" w:eastAsia="新宋体" w:cs="新宋体"/>
          <w:color w:val="auto"/>
          <w:spacing w:val="-2"/>
          <w:sz w:val="24"/>
          <w:szCs w:val="24"/>
          <w:highlight w:val="none"/>
        </w:rPr>
        <w:t>合同义务后，采购人应支付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给中标供应商的价格。</w:t>
      </w:r>
    </w:p>
    <w:p w14:paraId="5E3C95EE">
      <w:pPr>
        <w:spacing w:before="177" w:line="314" w:lineRule="auto"/>
        <w:ind w:left="11" w:right="10"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 “货物”系指中标供应商根据合同约定应向采购人交付</w:t>
      </w:r>
      <w:r>
        <w:rPr>
          <w:rFonts w:ascii="新宋体" w:hAnsi="新宋体" w:eastAsia="新宋体" w:cs="新宋体"/>
          <w:color w:val="auto"/>
          <w:spacing w:val="-2"/>
          <w:sz w:val="24"/>
          <w:szCs w:val="24"/>
          <w:highlight w:val="none"/>
        </w:rPr>
        <w:t>的一切各种形态和种类的物</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品，包括原材料、燃料、设备、机械、仪表、备件、</w:t>
      </w:r>
      <w:r>
        <w:rPr>
          <w:rFonts w:ascii="新宋体" w:hAnsi="新宋体" w:eastAsia="新宋体" w:cs="新宋体"/>
          <w:color w:val="auto"/>
          <w:spacing w:val="-8"/>
          <w:sz w:val="24"/>
          <w:szCs w:val="24"/>
          <w:highlight w:val="none"/>
        </w:rPr>
        <w:t>计算机软件、产品等，</w:t>
      </w:r>
      <w:r>
        <w:rPr>
          <w:rFonts w:ascii="新宋体" w:hAnsi="新宋体" w:eastAsia="新宋体" w:cs="新宋体"/>
          <w:color w:val="auto"/>
          <w:spacing w:val="58"/>
          <w:sz w:val="24"/>
          <w:szCs w:val="24"/>
          <w:highlight w:val="none"/>
        </w:rPr>
        <w:t xml:space="preserve"> </w:t>
      </w:r>
      <w:r>
        <w:rPr>
          <w:rFonts w:ascii="新宋体" w:hAnsi="新宋体" w:eastAsia="新宋体" w:cs="新宋体"/>
          <w:color w:val="auto"/>
          <w:spacing w:val="-8"/>
          <w:sz w:val="24"/>
          <w:szCs w:val="24"/>
          <w:highlight w:val="none"/>
        </w:rPr>
        <w:t>并包括工具、手册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等其他相关资料。</w:t>
      </w:r>
    </w:p>
    <w:p w14:paraId="6AAA7FCD">
      <w:pPr>
        <w:spacing w:before="177" w:line="291" w:lineRule="auto"/>
        <w:ind w:left="19" w:right="10"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2.1.4 “甲方”系指与中标供应商签署合同的采购人；采购人</w:t>
      </w:r>
      <w:r>
        <w:rPr>
          <w:rFonts w:ascii="新宋体" w:hAnsi="新宋体" w:eastAsia="新宋体" w:cs="新宋体"/>
          <w:color w:val="auto"/>
          <w:spacing w:val="-2"/>
          <w:sz w:val="24"/>
          <w:szCs w:val="24"/>
          <w:highlight w:val="none"/>
        </w:rPr>
        <w:t>委托采购代理机构代表其与</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乙方签订合同的，采购人的授权委托书作为合同附件。</w:t>
      </w:r>
    </w:p>
    <w:p w14:paraId="792FD00A">
      <w:pPr>
        <w:spacing w:before="176" w:line="314"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2.1.5 “乙方”系指根据合同约定交付货物的中标供应商；两</w:t>
      </w:r>
      <w:r>
        <w:rPr>
          <w:rFonts w:ascii="新宋体" w:hAnsi="新宋体" w:eastAsia="新宋体" w:cs="新宋体"/>
          <w:color w:val="auto"/>
          <w:spacing w:val="-2"/>
          <w:sz w:val="24"/>
          <w:szCs w:val="24"/>
          <w:highlight w:val="none"/>
        </w:rPr>
        <w:t>个以上的自然人、法人或者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其他组织组成一个联合体，以一个供应商的身份共同参加政府采购的，联合体各方均应为乙方</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
          <w:sz w:val="24"/>
          <w:szCs w:val="24"/>
          <w:highlight w:val="none"/>
        </w:rPr>
        <w:t>或者与乙方相同地位的合同当事人，并就合同</w:t>
      </w:r>
      <w:r>
        <w:rPr>
          <w:rFonts w:ascii="新宋体" w:hAnsi="新宋体" w:eastAsia="新宋体" w:cs="新宋体"/>
          <w:color w:val="auto"/>
          <w:spacing w:val="-2"/>
          <w:sz w:val="24"/>
          <w:szCs w:val="24"/>
          <w:highlight w:val="none"/>
        </w:rPr>
        <w:t>约定的事项对甲方承担连带责任。</w:t>
      </w:r>
    </w:p>
    <w:p w14:paraId="25DF3D76">
      <w:pPr>
        <w:spacing w:before="176"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2.1.6 “现场”系指合同约定货物将要运至或者安装的地点。</w:t>
      </w:r>
    </w:p>
    <w:p w14:paraId="057CB27E">
      <w:pPr>
        <w:pStyle w:val="8"/>
        <w:spacing w:before="177" w:line="188" w:lineRule="auto"/>
        <w:ind w:left="478"/>
        <w:rPr>
          <w:color w:val="auto"/>
          <w:sz w:val="24"/>
          <w:szCs w:val="24"/>
          <w:highlight w:val="none"/>
        </w:rPr>
      </w:pPr>
      <w:r>
        <w:rPr>
          <w:b/>
          <w:bCs/>
          <w:color w:val="auto"/>
          <w:spacing w:val="-5"/>
          <w:sz w:val="24"/>
          <w:szCs w:val="24"/>
          <w:highlight w:val="none"/>
        </w:rPr>
        <w:t>2.2</w:t>
      </w:r>
      <w:r>
        <w:rPr>
          <w:b/>
          <w:bCs/>
          <w:color w:val="auto"/>
          <w:spacing w:val="70"/>
          <w:w w:val="101"/>
          <w:sz w:val="24"/>
          <w:szCs w:val="24"/>
          <w:highlight w:val="none"/>
        </w:rPr>
        <w:t xml:space="preserve"> </w:t>
      </w:r>
      <w:r>
        <w:rPr>
          <w:b/>
          <w:bCs/>
          <w:color w:val="auto"/>
          <w:spacing w:val="-5"/>
          <w:sz w:val="24"/>
          <w:szCs w:val="24"/>
          <w:highlight w:val="none"/>
        </w:rPr>
        <w:t>技术规范</w:t>
      </w:r>
    </w:p>
    <w:p w14:paraId="13017729">
      <w:pPr>
        <w:spacing w:before="143" w:line="350" w:lineRule="auto"/>
        <w:ind w:left="4" w:right="18" w:firstLine="482"/>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货物所应遵守的技术规范应与采购文件规定的技术规范和技术规范附件(如果有的话)及</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其技术规范偏差表(如果被甲方接受的话)相一致；如果采购文件中没有技术规范的相应说明，</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2"/>
          <w:sz w:val="24"/>
          <w:szCs w:val="24"/>
          <w:highlight w:val="none"/>
        </w:rPr>
        <w:t>那么应以国家有关部门最新颁布的相应标准和规范为准。</w:t>
      </w:r>
    </w:p>
    <w:p w14:paraId="5C032171">
      <w:pPr>
        <w:pStyle w:val="8"/>
        <w:spacing w:before="37" w:line="188" w:lineRule="auto"/>
        <w:ind w:left="478"/>
        <w:rPr>
          <w:color w:val="auto"/>
          <w:sz w:val="24"/>
          <w:szCs w:val="24"/>
          <w:highlight w:val="none"/>
        </w:rPr>
      </w:pPr>
      <w:r>
        <w:rPr>
          <w:b/>
          <w:bCs/>
          <w:color w:val="auto"/>
          <w:spacing w:val="-5"/>
          <w:sz w:val="24"/>
          <w:szCs w:val="24"/>
          <w:highlight w:val="none"/>
        </w:rPr>
        <w:t>2.3</w:t>
      </w:r>
      <w:r>
        <w:rPr>
          <w:b/>
          <w:bCs/>
          <w:color w:val="auto"/>
          <w:spacing w:val="71"/>
          <w:sz w:val="24"/>
          <w:szCs w:val="24"/>
          <w:highlight w:val="none"/>
        </w:rPr>
        <w:t xml:space="preserve"> </w:t>
      </w:r>
      <w:r>
        <w:rPr>
          <w:b/>
          <w:bCs/>
          <w:color w:val="auto"/>
          <w:spacing w:val="-5"/>
          <w:sz w:val="24"/>
          <w:szCs w:val="24"/>
          <w:highlight w:val="none"/>
        </w:rPr>
        <w:t>知识产权</w:t>
      </w:r>
    </w:p>
    <w:p w14:paraId="5205CB7E">
      <w:pPr>
        <w:spacing w:before="145" w:line="314" w:lineRule="auto"/>
        <w:ind w:left="2" w:right="70"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2.3.1</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乙方应保证甲方在使用该货物或其任何一部分时不受任何第三方提出的侵犯其著</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作权、商标权、专利权等知识产权方面的起诉；如果任何第三方提出侵权指控，那么乙方须与</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该第三方交涉并承担由此发生的一切责任、费用和赔偿；</w:t>
      </w:r>
    </w:p>
    <w:p w14:paraId="589200CB">
      <w:pPr>
        <w:pStyle w:val="8"/>
        <w:spacing w:before="175" w:line="187"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具有知识产权的计算机软件等货物的知识产权归属，详见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1B5F5819">
      <w:pPr>
        <w:pStyle w:val="8"/>
        <w:spacing w:before="146" w:line="189" w:lineRule="auto"/>
        <w:ind w:left="478"/>
        <w:rPr>
          <w:color w:val="auto"/>
          <w:sz w:val="24"/>
          <w:szCs w:val="24"/>
          <w:highlight w:val="none"/>
        </w:rPr>
      </w:pPr>
      <w:r>
        <w:rPr>
          <w:b/>
          <w:bCs/>
          <w:color w:val="auto"/>
          <w:spacing w:val="-4"/>
          <w:sz w:val="24"/>
          <w:szCs w:val="24"/>
          <w:highlight w:val="none"/>
        </w:rPr>
        <w:t>2.4  包装和装运</w:t>
      </w:r>
    </w:p>
    <w:p w14:paraId="76541A97">
      <w:pPr>
        <w:pStyle w:val="8"/>
        <w:spacing w:before="142" w:line="316" w:lineRule="auto"/>
        <w:ind w:left="4" w:firstLine="47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2.4.1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除</w:t>
      </w:r>
      <w:r>
        <w:rPr>
          <w:b/>
          <w:bCs/>
          <w:color w:val="auto"/>
          <w:spacing w:val="4"/>
          <w:sz w:val="24"/>
          <w:szCs w:val="24"/>
          <w:highlight w:val="none"/>
          <w:u w:val="single" w:color="auto"/>
        </w:rPr>
        <w:t>合同专用条款</w:t>
      </w:r>
      <w:r>
        <w:rPr>
          <w:rFonts w:ascii="新宋体" w:hAnsi="新宋体" w:eastAsia="新宋体" w:cs="新宋体"/>
          <w:color w:val="auto"/>
          <w:spacing w:val="4"/>
          <w:sz w:val="24"/>
          <w:szCs w:val="24"/>
          <w:highlight w:val="none"/>
        </w:rPr>
        <w:t>另有约定外,乙方交付的全部货物,均应</w:t>
      </w:r>
      <w:r>
        <w:rPr>
          <w:rFonts w:ascii="新宋体" w:hAnsi="新宋体" w:eastAsia="新宋体" w:cs="新宋体"/>
          <w:color w:val="auto"/>
          <w:spacing w:val="3"/>
          <w:sz w:val="24"/>
          <w:szCs w:val="24"/>
          <w:highlight w:val="none"/>
        </w:rPr>
        <w:t>采用本行业通用的方式进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行包装，没有通用方式的，应当采取足以保护货物的包装方式，且该包装应符合国家有关包装</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9"/>
          <w:sz w:val="24"/>
          <w:szCs w:val="24"/>
          <w:highlight w:val="none"/>
        </w:rPr>
        <w:t>的法律、法规的规定。如有必要， 包装应适</w:t>
      </w:r>
      <w:r>
        <w:rPr>
          <w:rFonts w:ascii="新宋体" w:hAnsi="新宋体" w:eastAsia="新宋体" w:cs="新宋体"/>
          <w:color w:val="auto"/>
          <w:spacing w:val="-10"/>
          <w:sz w:val="24"/>
          <w:szCs w:val="24"/>
          <w:highlight w:val="none"/>
        </w:rPr>
        <w:t>用于远距离运输、防潮、防震、防锈和防粗暴装卸，</w:t>
      </w:r>
    </w:p>
    <w:p w14:paraId="0B040DBF">
      <w:pPr>
        <w:spacing w:line="316" w:lineRule="auto"/>
        <w:rPr>
          <w:rFonts w:ascii="新宋体" w:hAnsi="新宋体" w:eastAsia="新宋体" w:cs="新宋体"/>
          <w:color w:val="auto"/>
          <w:sz w:val="24"/>
          <w:szCs w:val="24"/>
          <w:highlight w:val="none"/>
        </w:rPr>
        <w:sectPr>
          <w:footerReference r:id="rId21" w:type="default"/>
          <w:pgSz w:w="11905" w:h="16839"/>
          <w:pgMar w:top="400" w:right="1012" w:bottom="1250" w:left="1096" w:header="0" w:footer="1090" w:gutter="0"/>
          <w:pgNumType w:fmt="numberInDash"/>
          <w:cols w:space="720" w:num="1"/>
        </w:sectPr>
      </w:pPr>
    </w:p>
    <w:p w14:paraId="71B30E6C">
      <w:pPr>
        <w:spacing w:line="248" w:lineRule="auto"/>
        <w:rPr>
          <w:rFonts w:ascii="Arial"/>
          <w:color w:val="auto"/>
          <w:sz w:val="21"/>
          <w:highlight w:val="none"/>
        </w:rPr>
      </w:pPr>
    </w:p>
    <w:p w14:paraId="1B485FE3">
      <w:pPr>
        <w:spacing w:line="248" w:lineRule="auto"/>
        <w:rPr>
          <w:rFonts w:ascii="Arial"/>
          <w:color w:val="auto"/>
          <w:sz w:val="21"/>
          <w:highlight w:val="none"/>
        </w:rPr>
      </w:pPr>
    </w:p>
    <w:p w14:paraId="0E1C0D8B">
      <w:pPr>
        <w:spacing w:line="248" w:lineRule="auto"/>
        <w:rPr>
          <w:rFonts w:ascii="Arial"/>
          <w:color w:val="auto"/>
          <w:sz w:val="21"/>
          <w:highlight w:val="none"/>
        </w:rPr>
      </w:pPr>
    </w:p>
    <w:p w14:paraId="0E453794">
      <w:pPr>
        <w:spacing w:line="249" w:lineRule="auto"/>
        <w:rPr>
          <w:rFonts w:ascii="Arial"/>
          <w:color w:val="auto"/>
          <w:sz w:val="21"/>
          <w:highlight w:val="none"/>
        </w:rPr>
      </w:pPr>
    </w:p>
    <w:p w14:paraId="7536F349">
      <w:pPr>
        <w:spacing w:before="78" w:line="345" w:lineRule="auto"/>
        <w:ind w:left="17" w:right="171" w:hanging="1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确保货物安全无损地运抵现场。由于包装不善所引起的货物锈蚀、损坏和损失等一切风险均由</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11"/>
          <w:sz w:val="24"/>
          <w:szCs w:val="24"/>
          <w:highlight w:val="none"/>
        </w:rPr>
        <w:t>乙方承担。</w:t>
      </w:r>
    </w:p>
    <w:p w14:paraId="065CC73D">
      <w:pPr>
        <w:pStyle w:val="8"/>
        <w:spacing w:before="36"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2.4.2 装运货物的要求和通知，详见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2DFFB8AA">
      <w:pPr>
        <w:pStyle w:val="8"/>
        <w:spacing w:before="146" w:line="187" w:lineRule="auto"/>
        <w:ind w:left="476"/>
        <w:rPr>
          <w:color w:val="auto"/>
          <w:sz w:val="24"/>
          <w:szCs w:val="24"/>
          <w:highlight w:val="none"/>
        </w:rPr>
      </w:pPr>
      <w:r>
        <w:rPr>
          <w:b/>
          <w:bCs/>
          <w:color w:val="auto"/>
          <w:spacing w:val="-3"/>
          <w:sz w:val="24"/>
          <w:szCs w:val="24"/>
          <w:highlight w:val="none"/>
        </w:rPr>
        <w:t>2.5</w:t>
      </w:r>
      <w:r>
        <w:rPr>
          <w:b/>
          <w:bCs/>
          <w:color w:val="auto"/>
          <w:spacing w:val="69"/>
          <w:w w:val="101"/>
          <w:sz w:val="24"/>
          <w:szCs w:val="24"/>
          <w:highlight w:val="none"/>
        </w:rPr>
        <w:t xml:space="preserve"> </w:t>
      </w:r>
      <w:r>
        <w:rPr>
          <w:b/>
          <w:bCs/>
          <w:color w:val="auto"/>
          <w:spacing w:val="-3"/>
          <w:sz w:val="24"/>
          <w:szCs w:val="24"/>
          <w:highlight w:val="none"/>
        </w:rPr>
        <w:t>履约检查和问题反馈</w:t>
      </w:r>
    </w:p>
    <w:p w14:paraId="64FBDE94">
      <w:pPr>
        <w:spacing w:before="146" w:line="314" w:lineRule="auto"/>
        <w:ind w:left="4" w:right="171" w:firstLine="47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2.5.1 甲方有权在其认为必要时，对乙方是否能够按照合同约定交付货物进行履约检查，</w:t>
      </w:r>
      <w:r>
        <w:rPr>
          <w:rFonts w:ascii="新宋体" w:hAnsi="新宋体" w:eastAsia="新宋体" w:cs="新宋体"/>
          <w:color w:val="auto"/>
          <w:spacing w:val="12"/>
          <w:sz w:val="24"/>
          <w:szCs w:val="24"/>
          <w:highlight w:val="none"/>
        </w:rPr>
        <w:t xml:space="preserve"> </w:t>
      </w:r>
      <w:r>
        <w:rPr>
          <w:rFonts w:ascii="新宋体" w:hAnsi="新宋体" w:eastAsia="新宋体" w:cs="新宋体"/>
          <w:color w:val="auto"/>
          <w:spacing w:val="-3"/>
          <w:sz w:val="24"/>
          <w:szCs w:val="24"/>
          <w:highlight w:val="none"/>
        </w:rPr>
        <w:t>以确保乙方所交付的货物能够依约满足甲方之项目需求，但不得因履约检查妨碍乙方的正常工</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作，乙方应予积极配合；</w:t>
      </w:r>
    </w:p>
    <w:p w14:paraId="4BD1F3D2">
      <w:pPr>
        <w:spacing w:before="176" w:line="291" w:lineRule="auto"/>
        <w:ind w:left="5" w:right="111" w:firstLine="47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2.5.2 合同履行期间，甲方有权将履行过程中出现的问题反馈</w:t>
      </w:r>
      <w:r>
        <w:rPr>
          <w:rFonts w:ascii="新宋体" w:hAnsi="新宋体" w:eastAsia="新宋体" w:cs="新宋体"/>
          <w:color w:val="auto"/>
          <w:spacing w:val="-2"/>
          <w:sz w:val="24"/>
          <w:szCs w:val="24"/>
          <w:highlight w:val="none"/>
        </w:rPr>
        <w:t>给乙方，双方当事人应以书</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面形式约定需要完善和改进的内容。</w:t>
      </w:r>
    </w:p>
    <w:p w14:paraId="5124F59A">
      <w:pPr>
        <w:pStyle w:val="8"/>
        <w:spacing w:before="174" w:line="230" w:lineRule="auto"/>
        <w:ind w:left="481" w:right="6790" w:hanging="5"/>
        <w:rPr>
          <w:rFonts w:ascii="新宋体" w:hAnsi="新宋体" w:eastAsia="新宋体" w:cs="新宋体"/>
          <w:color w:val="auto"/>
          <w:sz w:val="24"/>
          <w:szCs w:val="24"/>
          <w:highlight w:val="none"/>
        </w:rPr>
      </w:pPr>
      <w:r>
        <w:rPr>
          <w:b/>
          <w:bCs/>
          <w:color w:val="auto"/>
          <w:spacing w:val="-4"/>
          <w:sz w:val="24"/>
          <w:szCs w:val="24"/>
          <w:highlight w:val="none"/>
        </w:rPr>
        <w:t>2.6</w:t>
      </w:r>
      <w:r>
        <w:rPr>
          <w:b/>
          <w:bCs/>
          <w:color w:val="auto"/>
          <w:spacing w:val="79"/>
          <w:sz w:val="24"/>
          <w:szCs w:val="24"/>
          <w:highlight w:val="none"/>
        </w:rPr>
        <w:t xml:space="preserve"> </w:t>
      </w:r>
      <w:r>
        <w:rPr>
          <w:b/>
          <w:bCs/>
          <w:color w:val="auto"/>
          <w:spacing w:val="-4"/>
          <w:sz w:val="24"/>
          <w:szCs w:val="24"/>
          <w:highlight w:val="none"/>
        </w:rPr>
        <w:t>结算方式和付款条件</w:t>
      </w:r>
      <w:r>
        <w:rPr>
          <w:b/>
          <w:bCs/>
          <w:color w:val="auto"/>
          <w:sz w:val="24"/>
          <w:szCs w:val="24"/>
          <w:highlight w:val="none"/>
        </w:rPr>
        <w:t xml:space="preserve"> </w:t>
      </w:r>
      <w:r>
        <w:rPr>
          <w:rFonts w:ascii="新宋体" w:hAnsi="新宋体" w:eastAsia="新宋体" w:cs="新宋体"/>
          <w:color w:val="auto"/>
          <w:spacing w:val="-2"/>
          <w:sz w:val="24"/>
          <w:szCs w:val="24"/>
          <w:highlight w:val="none"/>
        </w:rPr>
        <w:t>详见</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w:t>
      </w:r>
    </w:p>
    <w:p w14:paraId="2DE57756">
      <w:pPr>
        <w:pStyle w:val="8"/>
        <w:spacing w:before="147" w:line="188" w:lineRule="auto"/>
        <w:ind w:left="476"/>
        <w:rPr>
          <w:color w:val="auto"/>
          <w:sz w:val="24"/>
          <w:szCs w:val="24"/>
          <w:highlight w:val="none"/>
        </w:rPr>
      </w:pPr>
      <w:r>
        <w:rPr>
          <w:b/>
          <w:bCs/>
          <w:color w:val="auto"/>
          <w:spacing w:val="-3"/>
          <w:sz w:val="24"/>
          <w:szCs w:val="24"/>
          <w:highlight w:val="none"/>
        </w:rPr>
        <w:t>2.7</w:t>
      </w:r>
      <w:r>
        <w:rPr>
          <w:b/>
          <w:bCs/>
          <w:color w:val="auto"/>
          <w:spacing w:val="69"/>
          <w:sz w:val="24"/>
          <w:szCs w:val="24"/>
          <w:highlight w:val="none"/>
        </w:rPr>
        <w:t xml:space="preserve"> </w:t>
      </w:r>
      <w:r>
        <w:rPr>
          <w:b/>
          <w:bCs/>
          <w:color w:val="auto"/>
          <w:spacing w:val="-3"/>
          <w:sz w:val="24"/>
          <w:szCs w:val="24"/>
          <w:highlight w:val="none"/>
        </w:rPr>
        <w:t>技术资料和保密义务</w:t>
      </w:r>
    </w:p>
    <w:p w14:paraId="7EFB9E6E">
      <w:pPr>
        <w:spacing w:before="143" w:line="292" w:lineRule="auto"/>
        <w:ind w:right="111"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乙方有权依据合同约定和项目需要，向甲方了解有关情况，调阅有关资</w:t>
      </w:r>
      <w:r>
        <w:rPr>
          <w:rFonts w:ascii="新宋体" w:hAnsi="新宋体" w:eastAsia="新宋体" w:cs="新宋体"/>
          <w:color w:val="auto"/>
          <w:spacing w:val="-3"/>
          <w:sz w:val="24"/>
          <w:szCs w:val="24"/>
          <w:highlight w:val="none"/>
        </w:rPr>
        <w:t>料等，甲方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应予积极配合；</w:t>
      </w:r>
    </w:p>
    <w:p w14:paraId="091E73C0">
      <w:pPr>
        <w:spacing w:before="17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2.7.2</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乙方有义务妥善保管和保护由甲方提供的前款信息和资料等；</w:t>
      </w:r>
    </w:p>
    <w:p w14:paraId="00896F14">
      <w:pPr>
        <w:spacing w:before="179" w:line="325"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2.7.3 除非依照法律规定或者对方当事人的书面同意，任何一</w:t>
      </w:r>
      <w:r>
        <w:rPr>
          <w:rFonts w:ascii="新宋体" w:hAnsi="新宋体" w:eastAsia="新宋体" w:cs="新宋体"/>
          <w:color w:val="auto"/>
          <w:spacing w:val="-2"/>
          <w:sz w:val="24"/>
          <w:szCs w:val="24"/>
          <w:highlight w:val="none"/>
        </w:rPr>
        <w:t>方均应保证不向任何第三方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提供或披露有关合同的或者履行合同过程中知悉的对方当事人任何未公开的信息和资料，包括</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但不限于技术情报、技术资料、商业秘密和商业信息等，并采取一切合理和必要措施和方式防</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2"/>
          <w:sz w:val="24"/>
          <w:szCs w:val="24"/>
          <w:highlight w:val="none"/>
        </w:rPr>
        <w:t>止任何第三方接触到对方当事人的上述保密信息和资料。</w:t>
      </w:r>
    </w:p>
    <w:p w14:paraId="3598B653">
      <w:pPr>
        <w:pStyle w:val="8"/>
        <w:spacing w:before="175" w:line="189" w:lineRule="auto"/>
        <w:ind w:left="476"/>
        <w:rPr>
          <w:color w:val="auto"/>
          <w:sz w:val="24"/>
          <w:szCs w:val="24"/>
          <w:highlight w:val="none"/>
        </w:rPr>
      </w:pPr>
      <w:r>
        <w:rPr>
          <w:b/>
          <w:bCs/>
          <w:color w:val="auto"/>
          <w:spacing w:val="-4"/>
          <w:sz w:val="24"/>
          <w:szCs w:val="24"/>
          <w:highlight w:val="none"/>
        </w:rPr>
        <w:t>2.8  质量保证</w:t>
      </w:r>
    </w:p>
    <w:p w14:paraId="11D072FA">
      <w:pPr>
        <w:spacing w:before="144" w:line="291" w:lineRule="auto"/>
        <w:ind w:left="25" w:firstLine="45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2.8.1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乙方应建立和完善履行合同的内部质量保证体系，并提供相关内部规章制</w:t>
      </w:r>
      <w:r>
        <w:rPr>
          <w:rFonts w:ascii="新宋体" w:hAnsi="新宋体" w:eastAsia="新宋体" w:cs="新宋体"/>
          <w:color w:val="auto"/>
          <w:spacing w:val="-6"/>
          <w:sz w:val="24"/>
          <w:szCs w:val="24"/>
          <w:highlight w:val="none"/>
        </w:rPr>
        <w:t>度给甲方，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以便甲方进行监督检查；</w:t>
      </w:r>
    </w:p>
    <w:p w14:paraId="322E8A7D">
      <w:pPr>
        <w:spacing w:before="177" w:line="291"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乙方应保证履行合同的人员数量和素质、软件和硬件设备的配置、场地</w:t>
      </w:r>
      <w:r>
        <w:rPr>
          <w:rFonts w:ascii="新宋体" w:hAnsi="新宋体" w:eastAsia="新宋体" w:cs="新宋体"/>
          <w:color w:val="auto"/>
          <w:spacing w:val="-3"/>
          <w:sz w:val="24"/>
          <w:szCs w:val="24"/>
          <w:highlight w:val="none"/>
        </w:rPr>
        <w:t>、环境和设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施等满足全面履行合同的要求，并应接受甲方的监督检查。</w:t>
      </w:r>
    </w:p>
    <w:p w14:paraId="1520E923">
      <w:pPr>
        <w:pStyle w:val="8"/>
        <w:spacing w:before="176" w:line="187" w:lineRule="auto"/>
        <w:ind w:left="476"/>
        <w:rPr>
          <w:color w:val="auto"/>
          <w:sz w:val="24"/>
          <w:szCs w:val="24"/>
          <w:highlight w:val="none"/>
        </w:rPr>
      </w:pPr>
      <w:r>
        <w:rPr>
          <w:b/>
          <w:bCs/>
          <w:color w:val="auto"/>
          <w:spacing w:val="-3"/>
          <w:sz w:val="24"/>
          <w:szCs w:val="24"/>
          <w:highlight w:val="none"/>
        </w:rPr>
        <w:t>2.9  货物的风险负担</w:t>
      </w:r>
    </w:p>
    <w:p w14:paraId="27FA46A3">
      <w:pPr>
        <w:pStyle w:val="8"/>
        <w:spacing w:before="145" w:line="271" w:lineRule="auto"/>
        <w:ind w:right="171" w:firstLine="48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货物或者在途货物或者交付给第一承运人后的货物毁损、灭失的风险负担详</w:t>
      </w:r>
      <w:r>
        <w:rPr>
          <w:rFonts w:ascii="新宋体" w:hAnsi="新宋体" w:eastAsia="新宋体" w:cs="新宋体"/>
          <w:color w:val="auto"/>
          <w:spacing w:val="-4"/>
          <w:sz w:val="24"/>
          <w:szCs w:val="24"/>
          <w:highlight w:val="none"/>
        </w:rPr>
        <w:t>见</w:t>
      </w:r>
      <w:r>
        <w:rPr>
          <w:b/>
          <w:bCs/>
          <w:color w:val="auto"/>
          <w:spacing w:val="-4"/>
          <w:sz w:val="24"/>
          <w:szCs w:val="24"/>
          <w:highlight w:val="none"/>
          <w:u w:val="single" w:color="auto"/>
        </w:rPr>
        <w:t>合同专用条</w:t>
      </w:r>
      <w:r>
        <w:rPr>
          <w:b/>
          <w:bCs/>
          <w:color w:val="auto"/>
          <w:sz w:val="24"/>
          <w:szCs w:val="24"/>
          <w:highlight w:val="none"/>
        </w:rPr>
        <w:t xml:space="preserve"> </w:t>
      </w:r>
      <w:r>
        <w:rPr>
          <w:b/>
          <w:bCs/>
          <w:color w:val="auto"/>
          <w:spacing w:val="-8"/>
          <w:sz w:val="24"/>
          <w:szCs w:val="24"/>
          <w:highlight w:val="none"/>
          <w:u w:val="single" w:color="auto"/>
        </w:rPr>
        <w:t>款</w:t>
      </w:r>
      <w:r>
        <w:rPr>
          <w:rFonts w:ascii="新宋体" w:hAnsi="新宋体" w:eastAsia="新宋体" w:cs="新宋体"/>
          <w:color w:val="auto"/>
          <w:spacing w:val="-8"/>
          <w:sz w:val="24"/>
          <w:szCs w:val="24"/>
          <w:highlight w:val="none"/>
        </w:rPr>
        <w:t>。</w:t>
      </w:r>
    </w:p>
    <w:p w14:paraId="7AA5C233">
      <w:pPr>
        <w:pStyle w:val="8"/>
        <w:spacing w:before="6" w:line="188" w:lineRule="auto"/>
        <w:ind w:left="476"/>
        <w:rPr>
          <w:color w:val="auto"/>
          <w:sz w:val="24"/>
          <w:szCs w:val="24"/>
          <w:highlight w:val="none"/>
        </w:rPr>
      </w:pPr>
      <w:r>
        <w:rPr>
          <w:b/>
          <w:bCs/>
          <w:color w:val="auto"/>
          <w:spacing w:val="-7"/>
          <w:sz w:val="24"/>
          <w:szCs w:val="24"/>
          <w:highlight w:val="none"/>
        </w:rPr>
        <w:t>2.10</w:t>
      </w:r>
      <w:r>
        <w:rPr>
          <w:b/>
          <w:bCs/>
          <w:color w:val="auto"/>
          <w:spacing w:val="64"/>
          <w:sz w:val="24"/>
          <w:szCs w:val="24"/>
          <w:highlight w:val="none"/>
        </w:rPr>
        <w:t xml:space="preserve"> </w:t>
      </w:r>
      <w:r>
        <w:rPr>
          <w:b/>
          <w:bCs/>
          <w:color w:val="auto"/>
          <w:spacing w:val="-7"/>
          <w:sz w:val="24"/>
          <w:szCs w:val="24"/>
          <w:highlight w:val="none"/>
        </w:rPr>
        <w:t>延迟交货</w:t>
      </w:r>
    </w:p>
    <w:p w14:paraId="54A9ACD2">
      <w:pPr>
        <w:spacing w:line="188" w:lineRule="auto"/>
        <w:rPr>
          <w:color w:val="auto"/>
          <w:sz w:val="24"/>
          <w:szCs w:val="24"/>
          <w:highlight w:val="none"/>
        </w:rPr>
        <w:sectPr>
          <w:footerReference r:id="rId22" w:type="default"/>
          <w:pgSz w:w="11905" w:h="16839"/>
          <w:pgMar w:top="400" w:right="911" w:bottom="1250" w:left="1098" w:header="0" w:footer="1090" w:gutter="0"/>
          <w:pgNumType w:fmt="numberInDash"/>
          <w:cols w:space="720" w:num="1"/>
        </w:sectPr>
      </w:pPr>
    </w:p>
    <w:p w14:paraId="25D85079">
      <w:pPr>
        <w:spacing w:line="247" w:lineRule="auto"/>
        <w:rPr>
          <w:rFonts w:ascii="Arial"/>
          <w:color w:val="auto"/>
          <w:sz w:val="21"/>
          <w:highlight w:val="none"/>
        </w:rPr>
      </w:pPr>
    </w:p>
    <w:p w14:paraId="3D15E55F">
      <w:pPr>
        <w:spacing w:line="248" w:lineRule="auto"/>
        <w:rPr>
          <w:rFonts w:ascii="Arial"/>
          <w:color w:val="auto"/>
          <w:sz w:val="21"/>
          <w:highlight w:val="none"/>
        </w:rPr>
      </w:pPr>
    </w:p>
    <w:p w14:paraId="78C7F890">
      <w:pPr>
        <w:spacing w:line="248" w:lineRule="auto"/>
        <w:rPr>
          <w:rFonts w:ascii="Arial"/>
          <w:color w:val="auto"/>
          <w:sz w:val="21"/>
          <w:highlight w:val="none"/>
        </w:rPr>
      </w:pPr>
    </w:p>
    <w:p w14:paraId="79C3E9F0">
      <w:pPr>
        <w:spacing w:line="248" w:lineRule="auto"/>
        <w:rPr>
          <w:rFonts w:ascii="Arial"/>
          <w:color w:val="auto"/>
          <w:sz w:val="21"/>
          <w:highlight w:val="none"/>
        </w:rPr>
      </w:pPr>
    </w:p>
    <w:p w14:paraId="3F691ACE">
      <w:pPr>
        <w:spacing w:before="78" w:line="350" w:lineRule="auto"/>
        <w:ind w:left="11" w:right="66" w:firstLine="470"/>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在合同履行过程中，如果乙方遇到不能按时交付货物的情况，应及时以书面形式将</w:t>
      </w:r>
      <w:r>
        <w:rPr>
          <w:rFonts w:ascii="新宋体" w:hAnsi="新宋体" w:eastAsia="新宋体" w:cs="新宋体"/>
          <w:color w:val="auto"/>
          <w:spacing w:val="-4"/>
          <w:sz w:val="24"/>
          <w:szCs w:val="24"/>
          <w:highlight w:val="none"/>
        </w:rPr>
        <w:t>不能按</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时交付货物的理由、预期延误时间通知甲方；甲方收到乙方通知后，认为其理</w:t>
      </w:r>
      <w:r>
        <w:rPr>
          <w:rFonts w:ascii="新宋体" w:hAnsi="新宋体" w:eastAsia="新宋体" w:cs="新宋体"/>
          <w:color w:val="auto"/>
          <w:spacing w:val="-4"/>
          <w:sz w:val="24"/>
          <w:szCs w:val="24"/>
          <w:highlight w:val="none"/>
        </w:rPr>
        <w:t>由正当的，可以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书面形式酌情同意乙方可以延长交货的具体时间。</w:t>
      </w:r>
    </w:p>
    <w:p w14:paraId="33BD392B">
      <w:pPr>
        <w:pStyle w:val="8"/>
        <w:spacing w:before="37" w:line="188" w:lineRule="auto"/>
        <w:ind w:left="475"/>
        <w:rPr>
          <w:color w:val="auto"/>
          <w:sz w:val="24"/>
          <w:szCs w:val="24"/>
          <w:highlight w:val="none"/>
        </w:rPr>
      </w:pPr>
      <w:r>
        <w:rPr>
          <w:b/>
          <w:bCs/>
          <w:color w:val="auto"/>
          <w:spacing w:val="-7"/>
          <w:sz w:val="24"/>
          <w:szCs w:val="24"/>
          <w:highlight w:val="none"/>
        </w:rPr>
        <w:t>2.11  合同变更</w:t>
      </w:r>
    </w:p>
    <w:p w14:paraId="43104394">
      <w:pPr>
        <w:spacing w:before="142" w:line="314"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双方当事人协商一致，可以签订书面补充合同的形式变更合同，但不得违背采购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文件确定的事项，且如果系追加与合同标的相同的货物的，那么所有补充合同的采购金额不得</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超过原合同价的</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6"/>
          <w:sz w:val="24"/>
          <w:szCs w:val="24"/>
          <w:highlight w:val="none"/>
        </w:rPr>
        <w:t>10%；</w:t>
      </w:r>
    </w:p>
    <w:p w14:paraId="4F6DC3FB">
      <w:pPr>
        <w:spacing w:before="178" w:line="291" w:lineRule="auto"/>
        <w:ind w:left="2" w:right="66" w:firstLine="47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2.11.2 合同继续履行将损害国家利益和社会公共利益的，双方当事人应当以书面形式变</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1"/>
          <w:sz w:val="24"/>
          <w:szCs w:val="24"/>
          <w:highlight w:val="none"/>
        </w:rPr>
        <w:t>更合同。有过错的一方应当承担赔偿责任，双方当事人都有过错的</w:t>
      </w:r>
      <w:r>
        <w:rPr>
          <w:rFonts w:ascii="新宋体" w:hAnsi="新宋体" w:eastAsia="新宋体" w:cs="新宋体"/>
          <w:color w:val="auto"/>
          <w:spacing w:val="-2"/>
          <w:sz w:val="24"/>
          <w:szCs w:val="24"/>
          <w:highlight w:val="none"/>
        </w:rPr>
        <w:t>，各自承担相应的责任。</w:t>
      </w:r>
    </w:p>
    <w:p w14:paraId="6A048018">
      <w:pPr>
        <w:pStyle w:val="8"/>
        <w:spacing w:before="176" w:line="188" w:lineRule="auto"/>
        <w:ind w:left="475"/>
        <w:rPr>
          <w:color w:val="auto"/>
          <w:sz w:val="24"/>
          <w:szCs w:val="24"/>
          <w:highlight w:val="none"/>
        </w:rPr>
      </w:pPr>
      <w:r>
        <w:rPr>
          <w:b/>
          <w:bCs/>
          <w:color w:val="auto"/>
          <w:spacing w:val="-5"/>
          <w:sz w:val="24"/>
          <w:szCs w:val="24"/>
          <w:highlight w:val="none"/>
        </w:rPr>
        <w:t>2.12  合同转让和分包</w:t>
      </w:r>
    </w:p>
    <w:p w14:paraId="522693B6">
      <w:pPr>
        <w:spacing w:before="145" w:line="352" w:lineRule="auto"/>
        <w:ind w:firstLine="486"/>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合同的权利义务依法不得转让，但经甲方同意，</w:t>
      </w:r>
      <w:r>
        <w:rPr>
          <w:rFonts w:ascii="新宋体" w:hAnsi="新宋体" w:eastAsia="新宋体" w:cs="新宋体"/>
          <w:color w:val="auto"/>
          <w:spacing w:val="-8"/>
          <w:sz w:val="24"/>
          <w:szCs w:val="24"/>
          <w:highlight w:val="none"/>
        </w:rPr>
        <w:t>乙方可以依法采取分包方式履行合同，即：</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依法可以将合同项下的部分非主体、非关键性工作分包给他人完成，</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接受分包的人应当具备相</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应的资格条件，并不得再次分包，且乙方应就分包项目向甲方负责，并与分包供应商就分包项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4"/>
          <w:sz w:val="24"/>
          <w:szCs w:val="24"/>
          <w:highlight w:val="none"/>
        </w:rPr>
        <w:t>目向甲方承担连带责任。</w:t>
      </w:r>
    </w:p>
    <w:p w14:paraId="5B8DD05E">
      <w:pPr>
        <w:pStyle w:val="8"/>
        <w:spacing w:before="36" w:line="188" w:lineRule="auto"/>
        <w:ind w:left="475"/>
        <w:rPr>
          <w:color w:val="auto"/>
          <w:sz w:val="24"/>
          <w:szCs w:val="24"/>
          <w:highlight w:val="none"/>
        </w:rPr>
      </w:pPr>
      <w:r>
        <w:rPr>
          <w:b/>
          <w:bCs/>
          <w:color w:val="auto"/>
          <w:spacing w:val="-7"/>
          <w:sz w:val="24"/>
          <w:szCs w:val="24"/>
          <w:highlight w:val="none"/>
        </w:rPr>
        <w:t>2.13  不可抗力</w:t>
      </w:r>
    </w:p>
    <w:p w14:paraId="757EA306">
      <w:pPr>
        <w:spacing w:before="146" w:line="291"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如果任何一方遭遇法律规定的不可抗力，致使合同履行受阻时，履行合同的期限</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应予延长，延长的期限应相当于不可抗力所影响的时间；</w:t>
      </w:r>
    </w:p>
    <w:p w14:paraId="7A5BCF46">
      <w:pPr>
        <w:spacing w:before="175" w:line="224" w:lineRule="auto"/>
        <w:ind w:left="47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2.13.2</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因不可抗力致使不能实现合同目的的，当事人可以解除</w:t>
      </w:r>
      <w:r>
        <w:rPr>
          <w:rFonts w:ascii="新宋体" w:hAnsi="新宋体" w:eastAsia="新宋体" w:cs="新宋体"/>
          <w:color w:val="auto"/>
          <w:spacing w:val="-4"/>
          <w:sz w:val="24"/>
          <w:szCs w:val="24"/>
          <w:highlight w:val="none"/>
        </w:rPr>
        <w:t>合同；</w:t>
      </w:r>
    </w:p>
    <w:p w14:paraId="0D6AEA66">
      <w:pPr>
        <w:pStyle w:val="8"/>
        <w:spacing w:before="176" w:line="251" w:lineRule="auto"/>
        <w:ind w:left="11" w:right="66" w:firstLine="46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2.13.3</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1"/>
          <w:sz w:val="24"/>
          <w:szCs w:val="24"/>
          <w:highlight w:val="none"/>
        </w:rPr>
        <w:t>因不可抗力致使合同有变更必要的，双方当事人应在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约定时间内以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书面形式变更合同；</w:t>
      </w:r>
    </w:p>
    <w:p w14:paraId="33F50458">
      <w:pPr>
        <w:pStyle w:val="8"/>
        <w:spacing w:before="177" w:line="259"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2.13.4</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1"/>
          <w:sz w:val="24"/>
          <w:szCs w:val="24"/>
          <w:highlight w:val="none"/>
        </w:rPr>
        <w:t>受不可抗力影响的一方在不可抗力发生后，应在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w:t>
      </w:r>
      <w:r>
        <w:rPr>
          <w:rFonts w:ascii="新宋体" w:hAnsi="新宋体" w:eastAsia="新宋体" w:cs="新宋体"/>
          <w:color w:val="auto"/>
          <w:sz w:val="24"/>
          <w:szCs w:val="24"/>
          <w:highlight w:val="none"/>
        </w:rPr>
        <w:t xml:space="preserve">间内以书面 </w:t>
      </w:r>
      <w:r>
        <w:rPr>
          <w:rFonts w:ascii="新宋体" w:hAnsi="新宋体" w:eastAsia="新宋体" w:cs="新宋体"/>
          <w:color w:val="auto"/>
          <w:spacing w:val="-3"/>
          <w:sz w:val="24"/>
          <w:szCs w:val="24"/>
          <w:highlight w:val="none"/>
        </w:rPr>
        <w:t>形式通知对方当事人，并在</w:t>
      </w:r>
      <w:r>
        <w:rPr>
          <w:b/>
          <w:bCs/>
          <w:color w:val="auto"/>
          <w:spacing w:val="-3"/>
          <w:sz w:val="24"/>
          <w:szCs w:val="24"/>
          <w:highlight w:val="none"/>
          <w:u w:val="single" w:color="auto"/>
        </w:rPr>
        <w:t>合同专用条款</w:t>
      </w:r>
      <w:r>
        <w:rPr>
          <w:rFonts w:ascii="新宋体" w:hAnsi="新宋体" w:eastAsia="新宋体" w:cs="新宋体"/>
          <w:color w:val="auto"/>
          <w:spacing w:val="-3"/>
          <w:sz w:val="24"/>
          <w:szCs w:val="24"/>
          <w:highlight w:val="none"/>
        </w:rPr>
        <w:t>约定时间内，将有关部门出具的证明文件送达对方当</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1"/>
          <w:sz w:val="24"/>
          <w:szCs w:val="24"/>
          <w:highlight w:val="none"/>
        </w:rPr>
        <w:t>事人。</w:t>
      </w:r>
    </w:p>
    <w:p w14:paraId="0B262607">
      <w:pPr>
        <w:pStyle w:val="8"/>
        <w:spacing w:before="176" w:line="187" w:lineRule="auto"/>
        <w:ind w:left="475"/>
        <w:rPr>
          <w:color w:val="auto"/>
          <w:sz w:val="24"/>
          <w:szCs w:val="24"/>
          <w:highlight w:val="none"/>
        </w:rPr>
      </w:pPr>
      <w:r>
        <w:rPr>
          <w:b/>
          <w:bCs/>
          <w:color w:val="auto"/>
          <w:spacing w:val="-8"/>
          <w:sz w:val="24"/>
          <w:szCs w:val="24"/>
          <w:highlight w:val="none"/>
        </w:rPr>
        <w:t>2.14  税费</w:t>
      </w:r>
    </w:p>
    <w:p w14:paraId="1FFED1B3">
      <w:pPr>
        <w:spacing w:before="145" w:line="224" w:lineRule="auto"/>
        <w:ind w:left="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与合同有关的一切税费，均按照中华人民共和国法律的相关规定。</w:t>
      </w:r>
    </w:p>
    <w:p w14:paraId="329155E5">
      <w:pPr>
        <w:pStyle w:val="8"/>
        <w:spacing w:before="176" w:line="188" w:lineRule="auto"/>
        <w:ind w:left="475"/>
        <w:rPr>
          <w:color w:val="auto"/>
          <w:sz w:val="24"/>
          <w:szCs w:val="24"/>
          <w:highlight w:val="none"/>
        </w:rPr>
      </w:pPr>
      <w:r>
        <w:rPr>
          <w:b/>
          <w:bCs/>
          <w:color w:val="auto"/>
          <w:spacing w:val="-9"/>
          <w:sz w:val="24"/>
          <w:szCs w:val="24"/>
          <w:highlight w:val="none"/>
        </w:rPr>
        <w:t>2.15</w:t>
      </w:r>
      <w:r>
        <w:rPr>
          <w:b/>
          <w:bCs/>
          <w:color w:val="auto"/>
          <w:spacing w:val="6"/>
          <w:sz w:val="24"/>
          <w:szCs w:val="24"/>
          <w:highlight w:val="none"/>
        </w:rPr>
        <w:t xml:space="preserve">  </w:t>
      </w:r>
      <w:r>
        <w:rPr>
          <w:b/>
          <w:bCs/>
          <w:color w:val="auto"/>
          <w:spacing w:val="-9"/>
          <w:sz w:val="24"/>
          <w:szCs w:val="24"/>
          <w:highlight w:val="none"/>
        </w:rPr>
        <w:t>乙方破产</w:t>
      </w:r>
    </w:p>
    <w:p w14:paraId="3756089A">
      <w:pPr>
        <w:spacing w:before="143" w:line="350" w:lineRule="auto"/>
        <w:ind w:right="66"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如果乙方破产导致合同无法履行时，甲方可以书面形式通知乙方终止合同且不给予</w:t>
      </w:r>
      <w:r>
        <w:rPr>
          <w:rFonts w:ascii="新宋体" w:hAnsi="新宋体" w:eastAsia="新宋体" w:cs="新宋体"/>
          <w:color w:val="auto"/>
          <w:spacing w:val="-4"/>
          <w:sz w:val="24"/>
          <w:szCs w:val="24"/>
          <w:highlight w:val="none"/>
        </w:rPr>
        <w:t>乙方任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何补偿和赔偿，但合同的终止不损害或不影响甲方已经采取或将要采取的任何要求乙方支付违</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约金、赔偿损失等的行动或补救措施的权利。</w:t>
      </w:r>
    </w:p>
    <w:p w14:paraId="57BBC6ED">
      <w:pPr>
        <w:pStyle w:val="8"/>
        <w:spacing w:before="37" w:line="188" w:lineRule="auto"/>
        <w:ind w:left="475"/>
        <w:rPr>
          <w:color w:val="auto"/>
          <w:sz w:val="24"/>
          <w:szCs w:val="24"/>
          <w:highlight w:val="none"/>
        </w:rPr>
      </w:pPr>
      <w:r>
        <w:rPr>
          <w:b/>
          <w:bCs/>
          <w:color w:val="auto"/>
          <w:spacing w:val="-5"/>
          <w:sz w:val="24"/>
          <w:szCs w:val="24"/>
          <w:highlight w:val="none"/>
        </w:rPr>
        <w:t>2.16  合同中止、终止</w:t>
      </w:r>
    </w:p>
    <w:p w14:paraId="2F93C1BB">
      <w:pPr>
        <w:spacing w:line="188" w:lineRule="auto"/>
        <w:rPr>
          <w:color w:val="auto"/>
          <w:sz w:val="24"/>
          <w:szCs w:val="24"/>
          <w:highlight w:val="none"/>
        </w:rPr>
        <w:sectPr>
          <w:footerReference r:id="rId23" w:type="default"/>
          <w:pgSz w:w="11905" w:h="16839"/>
          <w:pgMar w:top="400" w:right="1016" w:bottom="1250" w:left="1098" w:header="0" w:footer="1090" w:gutter="0"/>
          <w:pgNumType w:fmt="numberInDash"/>
          <w:cols w:space="720" w:num="1"/>
        </w:sectPr>
      </w:pPr>
    </w:p>
    <w:p w14:paraId="7224D7A4">
      <w:pPr>
        <w:spacing w:line="248" w:lineRule="auto"/>
        <w:rPr>
          <w:rFonts w:ascii="Arial"/>
          <w:color w:val="auto"/>
          <w:sz w:val="21"/>
          <w:highlight w:val="none"/>
        </w:rPr>
      </w:pPr>
    </w:p>
    <w:p w14:paraId="3FF993CA">
      <w:pPr>
        <w:spacing w:line="248" w:lineRule="auto"/>
        <w:rPr>
          <w:rFonts w:ascii="Arial"/>
          <w:color w:val="auto"/>
          <w:sz w:val="21"/>
          <w:highlight w:val="none"/>
        </w:rPr>
      </w:pPr>
    </w:p>
    <w:p w14:paraId="34003AA5">
      <w:pPr>
        <w:spacing w:line="248" w:lineRule="auto"/>
        <w:rPr>
          <w:rFonts w:ascii="Arial"/>
          <w:color w:val="auto"/>
          <w:sz w:val="21"/>
          <w:highlight w:val="none"/>
        </w:rPr>
      </w:pPr>
    </w:p>
    <w:p w14:paraId="4187DB79">
      <w:pPr>
        <w:spacing w:line="249" w:lineRule="auto"/>
        <w:rPr>
          <w:rFonts w:ascii="Arial"/>
          <w:color w:val="auto"/>
          <w:sz w:val="21"/>
          <w:highlight w:val="none"/>
        </w:rPr>
      </w:pPr>
    </w:p>
    <w:p w14:paraId="5197F1F6">
      <w:pPr>
        <w:spacing w:before="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2.16.1 双方当事人不得擅自中止或者终止合同；</w:t>
      </w:r>
    </w:p>
    <w:p w14:paraId="60CBB718">
      <w:pPr>
        <w:spacing w:before="177" w:line="291" w:lineRule="auto"/>
        <w:ind w:left="7" w:right="183" w:firstLine="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2.16.2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合同继续履行将损害国家利益和社会公共利益的，双方当事人应当中止或者终止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合同。有过错的一方应当承担赔偿责任，双方当事人</w:t>
      </w:r>
      <w:r>
        <w:rPr>
          <w:rFonts w:ascii="新宋体" w:hAnsi="新宋体" w:eastAsia="新宋体" w:cs="新宋体"/>
          <w:color w:val="auto"/>
          <w:spacing w:val="-2"/>
          <w:sz w:val="24"/>
          <w:szCs w:val="24"/>
          <w:highlight w:val="none"/>
        </w:rPr>
        <w:t>都有过错的，各自承担相应的责任。</w:t>
      </w:r>
    </w:p>
    <w:p w14:paraId="6D7752D5">
      <w:pPr>
        <w:pStyle w:val="8"/>
        <w:spacing w:before="176" w:line="188" w:lineRule="auto"/>
        <w:ind w:left="476"/>
        <w:rPr>
          <w:color w:val="auto"/>
          <w:sz w:val="24"/>
          <w:szCs w:val="24"/>
          <w:highlight w:val="none"/>
        </w:rPr>
      </w:pPr>
      <w:r>
        <w:rPr>
          <w:b/>
          <w:bCs/>
          <w:color w:val="auto"/>
          <w:spacing w:val="-7"/>
          <w:sz w:val="24"/>
          <w:szCs w:val="24"/>
          <w:highlight w:val="none"/>
        </w:rPr>
        <w:t>2.17</w:t>
      </w:r>
      <w:r>
        <w:rPr>
          <w:b/>
          <w:bCs/>
          <w:color w:val="auto"/>
          <w:spacing w:val="70"/>
          <w:sz w:val="24"/>
          <w:szCs w:val="24"/>
          <w:highlight w:val="none"/>
        </w:rPr>
        <w:t xml:space="preserve"> </w:t>
      </w:r>
      <w:r>
        <w:rPr>
          <w:b/>
          <w:bCs/>
          <w:color w:val="auto"/>
          <w:spacing w:val="-7"/>
          <w:sz w:val="24"/>
          <w:szCs w:val="24"/>
          <w:highlight w:val="none"/>
        </w:rPr>
        <w:t>检验和验收</w:t>
      </w:r>
    </w:p>
    <w:p w14:paraId="2675C471">
      <w:pPr>
        <w:pStyle w:val="8"/>
        <w:spacing w:before="141" w:line="284" w:lineRule="auto"/>
        <w:ind w:left="3" w:right="112" w:firstLine="47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货物交付前，乙方应对货物的质量、数量等方面进行详细、全面的检验，并向甲</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方出具证明货物符合合同约定的文件；货物交付时，乙方在</w:t>
      </w:r>
      <w:r>
        <w:rPr>
          <w:b/>
          <w:bCs/>
          <w:color w:val="auto"/>
          <w:spacing w:val="-7"/>
          <w:sz w:val="24"/>
          <w:szCs w:val="24"/>
          <w:highlight w:val="none"/>
          <w:u w:val="single" w:color="auto"/>
        </w:rPr>
        <w:t>合同专用条款</w:t>
      </w:r>
      <w:r>
        <w:rPr>
          <w:rFonts w:ascii="新宋体" w:hAnsi="新宋体" w:eastAsia="新宋体" w:cs="新宋体"/>
          <w:color w:val="auto"/>
          <w:spacing w:val="-7"/>
          <w:sz w:val="24"/>
          <w:szCs w:val="24"/>
          <w:highlight w:val="none"/>
        </w:rPr>
        <w:t>约定时间内组织验收，</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并可依法邀请相关方参加，验收应出具验收书。</w:t>
      </w:r>
    </w:p>
    <w:p w14:paraId="021D8D63">
      <w:pPr>
        <w:spacing w:before="175" w:line="314" w:lineRule="auto"/>
        <w:ind w:right="101" w:firstLine="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z w:val="24"/>
          <w:szCs w:val="24"/>
          <w:highlight w:val="none"/>
        </w:rPr>
        <w:t>合同期满或者履行完毕后，</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甲方有权组织（包括依法邀</w:t>
      </w:r>
      <w:r>
        <w:rPr>
          <w:rFonts w:ascii="新宋体" w:hAnsi="新宋体" w:eastAsia="新宋体" w:cs="新宋体"/>
          <w:color w:val="auto"/>
          <w:spacing w:val="-1"/>
          <w:sz w:val="24"/>
          <w:szCs w:val="24"/>
          <w:highlight w:val="none"/>
        </w:rPr>
        <w:t>请国家认可的质量检测机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构参加）对乙方履约的验收，即：按照合同约定的技术、服务、安全标准，</w:t>
      </w:r>
      <w:r>
        <w:rPr>
          <w:rFonts w:ascii="新宋体" w:hAnsi="新宋体" w:eastAsia="新宋体" w:cs="新宋体"/>
          <w:color w:val="auto"/>
          <w:spacing w:val="66"/>
          <w:sz w:val="24"/>
          <w:szCs w:val="24"/>
          <w:highlight w:val="none"/>
        </w:rPr>
        <w:t xml:space="preserve"> </w:t>
      </w:r>
      <w:r>
        <w:rPr>
          <w:rFonts w:ascii="新宋体" w:hAnsi="新宋体" w:eastAsia="新宋体" w:cs="新宋体"/>
          <w:color w:val="auto"/>
          <w:spacing w:val="-11"/>
          <w:sz w:val="24"/>
          <w:szCs w:val="24"/>
          <w:highlight w:val="none"/>
        </w:rPr>
        <w:t>组织对每一项技术、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服务、安全标准的履约情况的验收，并出具验收书。</w:t>
      </w:r>
    </w:p>
    <w:p w14:paraId="2B65350D">
      <w:pPr>
        <w:pStyle w:val="8"/>
        <w:spacing w:before="177"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2.17.3 检验和验收标准、程序等具体内容以及前述验收</w:t>
      </w:r>
      <w:r>
        <w:rPr>
          <w:rFonts w:ascii="新宋体" w:hAnsi="新宋体" w:eastAsia="新宋体" w:cs="新宋体"/>
          <w:color w:val="auto"/>
          <w:spacing w:val="-1"/>
          <w:sz w:val="24"/>
          <w:szCs w:val="24"/>
          <w:highlight w:val="none"/>
        </w:rPr>
        <w:t>书的效力详见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5645AC87">
      <w:pPr>
        <w:pStyle w:val="8"/>
        <w:spacing w:before="146" w:line="188" w:lineRule="auto"/>
        <w:ind w:left="476"/>
        <w:rPr>
          <w:color w:val="auto"/>
          <w:sz w:val="24"/>
          <w:szCs w:val="24"/>
          <w:highlight w:val="none"/>
        </w:rPr>
      </w:pPr>
      <w:r>
        <w:rPr>
          <w:b/>
          <w:bCs/>
          <w:color w:val="auto"/>
          <w:spacing w:val="-6"/>
          <w:sz w:val="24"/>
          <w:szCs w:val="24"/>
          <w:highlight w:val="none"/>
        </w:rPr>
        <w:t>2.18  通知和送达</w:t>
      </w:r>
    </w:p>
    <w:p w14:paraId="6EF9EAFB">
      <w:pPr>
        <w:spacing w:before="146" w:line="325" w:lineRule="auto"/>
        <w:ind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2.18.1 任何一方因履行合同而以合同第一</w:t>
      </w:r>
      <w:r>
        <w:rPr>
          <w:rFonts w:ascii="新宋体" w:hAnsi="新宋体" w:eastAsia="新宋体" w:cs="新宋体"/>
          <w:color w:val="auto"/>
          <w:spacing w:val="-2"/>
          <w:sz w:val="24"/>
          <w:szCs w:val="24"/>
          <w:highlight w:val="none"/>
        </w:rPr>
        <w:t>部分尾部所列明的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7"/>
          <w:sz w:val="24"/>
          <w:szCs w:val="24"/>
          <w:highlight w:val="none"/>
        </w:rPr>
        <w:t xml:space="preserve"> </w:t>
      </w:r>
      <w:r>
        <w:rPr>
          <w:rFonts w:ascii="新宋体" w:hAnsi="新宋体" w:eastAsia="新宋体" w:cs="新宋体"/>
          <w:color w:val="auto"/>
          <w:spacing w:val="-2"/>
          <w:sz w:val="24"/>
          <w:szCs w:val="24"/>
          <w:highlight w:val="none"/>
        </w:rPr>
        <w:t>发出的所有通知、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文件、材料，均视为已向对方当事人送达；任何一方变更上述送达方式或者地址的，应于</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个工作日内书面通知对方当事人，在对方当事人收到有关变更通知之前，变更前的约定送达方</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4"/>
          <w:sz w:val="24"/>
          <w:szCs w:val="24"/>
          <w:highlight w:val="none"/>
        </w:rPr>
        <w:t>式或者地址仍视为有效。</w:t>
      </w:r>
    </w:p>
    <w:p w14:paraId="0B6D254F">
      <w:pPr>
        <w:spacing w:before="176" w:line="314" w:lineRule="auto"/>
        <w:ind w:left="6" w:right="182" w:firstLine="469"/>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2.18.2 以当面交付方式送达的，交付之时视为送达；以电子邮件方式送达的，发出电子</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邮件之时视为送达；以传真方式送达的，发出传真之时视为送达；以邮寄方式送达的，邮件挂</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号寄出或者交邮之日之次日视为送达。</w:t>
      </w:r>
    </w:p>
    <w:p w14:paraId="5C208794">
      <w:pPr>
        <w:pStyle w:val="8"/>
        <w:spacing w:before="176" w:line="188" w:lineRule="auto"/>
        <w:ind w:left="476"/>
        <w:rPr>
          <w:color w:val="auto"/>
          <w:sz w:val="24"/>
          <w:szCs w:val="24"/>
          <w:highlight w:val="none"/>
        </w:rPr>
      </w:pPr>
      <w:r>
        <w:rPr>
          <w:b/>
          <w:bCs/>
          <w:color w:val="auto"/>
          <w:spacing w:val="-7"/>
          <w:sz w:val="24"/>
          <w:szCs w:val="24"/>
          <w:highlight w:val="none"/>
        </w:rPr>
        <w:t>2.19</w:t>
      </w:r>
      <w:r>
        <w:rPr>
          <w:b/>
          <w:bCs/>
          <w:color w:val="auto"/>
          <w:spacing w:val="64"/>
          <w:sz w:val="24"/>
          <w:szCs w:val="24"/>
          <w:highlight w:val="none"/>
        </w:rPr>
        <w:t xml:space="preserve"> </w:t>
      </w:r>
      <w:r>
        <w:rPr>
          <w:b/>
          <w:bCs/>
          <w:color w:val="auto"/>
          <w:spacing w:val="-7"/>
          <w:sz w:val="24"/>
          <w:szCs w:val="24"/>
          <w:highlight w:val="none"/>
        </w:rPr>
        <w:t>计量单位</w:t>
      </w:r>
    </w:p>
    <w:p w14:paraId="730C3960">
      <w:pPr>
        <w:spacing w:before="144" w:line="221" w:lineRule="auto"/>
        <w:ind w:left="49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除技术规范中另有规定外,合同的计量单位均使用国家法定计量单位。</w:t>
      </w:r>
    </w:p>
    <w:p w14:paraId="4CBB35A9">
      <w:pPr>
        <w:pStyle w:val="8"/>
        <w:spacing w:before="179" w:line="188" w:lineRule="auto"/>
        <w:ind w:left="476"/>
        <w:rPr>
          <w:color w:val="auto"/>
          <w:sz w:val="24"/>
          <w:szCs w:val="24"/>
          <w:highlight w:val="none"/>
        </w:rPr>
      </w:pPr>
      <w:r>
        <w:rPr>
          <w:b/>
          <w:bCs/>
          <w:color w:val="auto"/>
          <w:spacing w:val="-4"/>
          <w:sz w:val="24"/>
          <w:szCs w:val="24"/>
          <w:highlight w:val="none"/>
        </w:rPr>
        <w:t>2.20  合同使用的文字和适用的法律</w:t>
      </w:r>
    </w:p>
    <w:p w14:paraId="5BD30868">
      <w:pPr>
        <w:spacing w:before="14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2.20.1 合同使用汉语书就、变更和解释；</w:t>
      </w:r>
    </w:p>
    <w:p w14:paraId="61CF4841">
      <w:pPr>
        <w:spacing w:before="176"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2.20.2 合同适用中华人民共和国法律。</w:t>
      </w:r>
    </w:p>
    <w:p w14:paraId="2000EB39">
      <w:pPr>
        <w:pStyle w:val="8"/>
        <w:spacing w:before="177" w:line="187" w:lineRule="auto"/>
        <w:ind w:left="476"/>
        <w:rPr>
          <w:color w:val="auto"/>
          <w:sz w:val="24"/>
          <w:szCs w:val="24"/>
          <w:highlight w:val="none"/>
        </w:rPr>
      </w:pPr>
      <w:r>
        <w:rPr>
          <w:b/>
          <w:bCs/>
          <w:color w:val="auto"/>
          <w:spacing w:val="-6"/>
          <w:sz w:val="24"/>
          <w:szCs w:val="24"/>
          <w:highlight w:val="none"/>
        </w:rPr>
        <w:t>2.21  履约保证金</w:t>
      </w:r>
    </w:p>
    <w:p w14:paraId="640D6A4B">
      <w:pPr>
        <w:pStyle w:val="8"/>
        <w:spacing w:before="147" w:line="316" w:lineRule="auto"/>
        <w:ind w:left="4" w:right="182" w:firstLine="471"/>
        <w:jc w:val="both"/>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2.21.1 采购文件要求乙方提交履约保证金的，乙方应按</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约定的方式，以支</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6"/>
          <w:sz w:val="24"/>
          <w:szCs w:val="24"/>
          <w:highlight w:val="none"/>
        </w:rPr>
        <w:t>票、汇票、本票或者金融机构、担保机构出具的保函等非现金形</w:t>
      </w:r>
      <w:r>
        <w:rPr>
          <w:rFonts w:ascii="新宋体" w:hAnsi="新宋体" w:eastAsia="新宋体" w:cs="新宋体"/>
          <w:color w:val="auto"/>
          <w:spacing w:val="-7"/>
          <w:sz w:val="24"/>
          <w:szCs w:val="24"/>
          <w:highlight w:val="none"/>
        </w:rPr>
        <w:t>式，</w:t>
      </w:r>
      <w:r>
        <w:rPr>
          <w:rFonts w:ascii="新宋体" w:hAnsi="新宋体" w:eastAsia="新宋体" w:cs="新宋体"/>
          <w:color w:val="auto"/>
          <w:spacing w:val="58"/>
          <w:sz w:val="24"/>
          <w:szCs w:val="24"/>
          <w:highlight w:val="none"/>
        </w:rPr>
        <w:t xml:space="preserve"> </w:t>
      </w:r>
      <w:r>
        <w:rPr>
          <w:rFonts w:ascii="新宋体" w:hAnsi="新宋体" w:eastAsia="新宋体" w:cs="新宋体"/>
          <w:color w:val="auto"/>
          <w:spacing w:val="-7"/>
          <w:sz w:val="24"/>
          <w:szCs w:val="24"/>
          <w:highlight w:val="none"/>
        </w:rPr>
        <w:t>提交不超过合同价</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7"/>
          <w:sz w:val="24"/>
          <w:szCs w:val="24"/>
          <w:highlight w:val="none"/>
        </w:rPr>
        <w:t>10%的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履约保证金；</w:t>
      </w:r>
    </w:p>
    <w:p w14:paraId="319A907B">
      <w:pPr>
        <w:spacing w:line="316" w:lineRule="auto"/>
        <w:rPr>
          <w:rFonts w:ascii="新宋体" w:hAnsi="新宋体" w:eastAsia="新宋体" w:cs="新宋体"/>
          <w:color w:val="auto"/>
          <w:sz w:val="24"/>
          <w:szCs w:val="24"/>
          <w:highlight w:val="none"/>
        </w:rPr>
        <w:sectPr>
          <w:footerReference r:id="rId24" w:type="default"/>
          <w:pgSz w:w="11905" w:h="16839"/>
          <w:pgMar w:top="400" w:right="900" w:bottom="1250" w:left="1098" w:header="0" w:footer="1090" w:gutter="0"/>
          <w:pgNumType w:fmt="numberInDash"/>
          <w:cols w:space="720" w:num="1"/>
        </w:sectPr>
      </w:pPr>
    </w:p>
    <w:p w14:paraId="2A0B2572">
      <w:pPr>
        <w:spacing w:line="242" w:lineRule="auto"/>
        <w:rPr>
          <w:rFonts w:ascii="Arial"/>
          <w:color w:val="auto"/>
          <w:sz w:val="21"/>
          <w:highlight w:val="none"/>
        </w:rPr>
      </w:pPr>
    </w:p>
    <w:p w14:paraId="28966FA9">
      <w:pPr>
        <w:spacing w:line="242" w:lineRule="auto"/>
        <w:rPr>
          <w:rFonts w:ascii="Arial"/>
          <w:color w:val="auto"/>
          <w:sz w:val="21"/>
          <w:highlight w:val="none"/>
        </w:rPr>
      </w:pPr>
    </w:p>
    <w:p w14:paraId="6E415179">
      <w:pPr>
        <w:spacing w:line="242" w:lineRule="auto"/>
        <w:rPr>
          <w:rFonts w:ascii="Arial"/>
          <w:color w:val="auto"/>
          <w:sz w:val="21"/>
          <w:highlight w:val="none"/>
        </w:rPr>
      </w:pPr>
    </w:p>
    <w:p w14:paraId="7868B4BB">
      <w:pPr>
        <w:spacing w:line="243" w:lineRule="auto"/>
        <w:rPr>
          <w:rFonts w:ascii="Arial"/>
          <w:color w:val="auto"/>
          <w:sz w:val="21"/>
          <w:highlight w:val="none"/>
        </w:rPr>
      </w:pPr>
    </w:p>
    <w:p w14:paraId="4575C97C">
      <w:pPr>
        <w:pStyle w:val="8"/>
        <w:spacing w:before="103" w:line="284" w:lineRule="auto"/>
        <w:ind w:firstLine="475"/>
        <w:rPr>
          <w:rFonts w:ascii="新宋体" w:hAnsi="新宋体" w:eastAsia="新宋体" w:cs="新宋体"/>
          <w:color w:val="auto"/>
          <w:sz w:val="24"/>
          <w:szCs w:val="24"/>
          <w:highlight w:val="none"/>
        </w:rPr>
      </w:pPr>
      <w:bookmarkStart w:id="15" w:name="bookmark13"/>
      <w:bookmarkEnd w:id="15"/>
      <w:r>
        <w:rPr>
          <w:rFonts w:ascii="新宋体" w:hAnsi="新宋体" w:eastAsia="新宋体" w:cs="新宋体"/>
          <w:color w:val="auto"/>
          <w:sz w:val="24"/>
          <w:szCs w:val="24"/>
          <w:highlight w:val="none"/>
        </w:rPr>
        <w:t>2.21.2  履约保证金在</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约定期间内或者货物质</w:t>
      </w:r>
      <w:r>
        <w:rPr>
          <w:rFonts w:ascii="新宋体" w:hAnsi="新宋体" w:eastAsia="新宋体" w:cs="新宋体"/>
          <w:color w:val="auto"/>
          <w:spacing w:val="-1"/>
          <w:sz w:val="24"/>
          <w:szCs w:val="24"/>
          <w:highlight w:val="none"/>
        </w:rPr>
        <w:t>量保证期内不予退还或者应完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全有效，前述约定期间届满或者货物质量保证期届满之日起</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5"/>
          <w:sz w:val="24"/>
          <w:szCs w:val="24"/>
          <w:highlight w:val="none"/>
        </w:rPr>
        <w:t xml:space="preserve"> </w:t>
      </w:r>
      <w:r>
        <w:rPr>
          <w:rFonts w:ascii="新宋体" w:hAnsi="新宋体" w:eastAsia="新宋体" w:cs="新宋体"/>
          <w:color w:val="auto"/>
          <w:spacing w:val="-1"/>
          <w:sz w:val="24"/>
          <w:szCs w:val="24"/>
          <w:highlight w:val="none"/>
        </w:rPr>
        <w:t>个工作日内，甲方应将履约保证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金退还乙方；</w:t>
      </w:r>
    </w:p>
    <w:p w14:paraId="76E5F183">
      <w:pPr>
        <w:spacing w:before="174" w:line="314" w:lineRule="auto"/>
        <w:ind w:right="101"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2.21.3 如果乙方不履行合同，履约保证金不予退还；如果乙方未能按合同约定全面履行</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义务，那么甲方有权从履约保证金中取得补偿或赔偿，同时不影响甲方要求乙方承担合同约定</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的超过履约保证金的违约责任的权利。</w:t>
      </w:r>
    </w:p>
    <w:p w14:paraId="5EBFA454">
      <w:pPr>
        <w:pStyle w:val="8"/>
        <w:spacing w:before="176" w:line="188" w:lineRule="auto"/>
        <w:ind w:left="475"/>
        <w:rPr>
          <w:color w:val="auto"/>
          <w:sz w:val="24"/>
          <w:szCs w:val="24"/>
          <w:highlight w:val="none"/>
        </w:rPr>
      </w:pPr>
      <w:r>
        <w:rPr>
          <w:b/>
          <w:bCs/>
          <w:color w:val="auto"/>
          <w:spacing w:val="-7"/>
          <w:sz w:val="24"/>
          <w:szCs w:val="24"/>
          <w:highlight w:val="none"/>
        </w:rPr>
        <w:t>2.22  合同份数</w:t>
      </w:r>
    </w:p>
    <w:p w14:paraId="4FF035DC">
      <w:pPr>
        <w:pStyle w:val="8"/>
        <w:spacing w:before="143" w:line="187" w:lineRule="auto"/>
        <w:ind w:left="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合同份数按</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规定，每份均具有同等法律效力。</w:t>
      </w:r>
    </w:p>
    <w:p w14:paraId="0ED087DD">
      <w:pPr>
        <w:spacing w:line="187" w:lineRule="auto"/>
        <w:rPr>
          <w:rFonts w:ascii="新宋体" w:hAnsi="新宋体" w:eastAsia="新宋体" w:cs="新宋体"/>
          <w:color w:val="auto"/>
          <w:sz w:val="24"/>
          <w:szCs w:val="24"/>
          <w:highlight w:val="none"/>
        </w:rPr>
        <w:sectPr>
          <w:footerReference r:id="rId25" w:type="default"/>
          <w:pgSz w:w="11905" w:h="16839"/>
          <w:pgMar w:top="400" w:right="981" w:bottom="1250" w:left="1098" w:header="0" w:footer="1090" w:gutter="0"/>
          <w:pgNumType w:fmt="numberInDash"/>
          <w:cols w:space="720" w:num="1"/>
        </w:sectPr>
      </w:pPr>
    </w:p>
    <w:p w14:paraId="7BF5FF7E">
      <w:pPr>
        <w:spacing w:line="319" w:lineRule="auto"/>
        <w:rPr>
          <w:rFonts w:ascii="Arial"/>
          <w:color w:val="auto"/>
          <w:sz w:val="21"/>
          <w:highlight w:val="none"/>
        </w:rPr>
      </w:pPr>
    </w:p>
    <w:p w14:paraId="51D7B3DB">
      <w:pPr>
        <w:spacing w:line="319" w:lineRule="auto"/>
        <w:rPr>
          <w:rFonts w:ascii="Arial"/>
          <w:color w:val="auto"/>
          <w:sz w:val="21"/>
          <w:highlight w:val="none"/>
        </w:rPr>
      </w:pPr>
    </w:p>
    <w:p w14:paraId="57AB2FDE">
      <w:pPr>
        <w:spacing w:line="319" w:lineRule="auto"/>
        <w:rPr>
          <w:rFonts w:ascii="Arial"/>
          <w:color w:val="auto"/>
          <w:sz w:val="21"/>
          <w:highlight w:val="none"/>
        </w:rPr>
      </w:pPr>
    </w:p>
    <w:p w14:paraId="7E76555C">
      <w:pPr>
        <w:pStyle w:val="8"/>
        <w:spacing w:before="120" w:line="187" w:lineRule="auto"/>
        <w:ind w:left="3552"/>
        <w:rPr>
          <w:color w:val="auto"/>
          <w:sz w:val="28"/>
          <w:szCs w:val="28"/>
          <w:highlight w:val="none"/>
        </w:rPr>
      </w:pPr>
      <w:bookmarkStart w:id="16" w:name="bookmark9"/>
      <w:bookmarkEnd w:id="16"/>
      <w:r>
        <w:rPr>
          <w:b/>
          <w:bCs/>
          <w:color w:val="auto"/>
          <w:spacing w:val="-6"/>
          <w:sz w:val="28"/>
          <w:szCs w:val="28"/>
          <w:highlight w:val="none"/>
        </w:rPr>
        <w:t>第三部分</w:t>
      </w:r>
      <w:r>
        <w:rPr>
          <w:b/>
          <w:bCs/>
          <w:color w:val="auto"/>
          <w:spacing w:val="20"/>
          <w:w w:val="101"/>
          <w:sz w:val="28"/>
          <w:szCs w:val="28"/>
          <w:highlight w:val="none"/>
        </w:rPr>
        <w:t xml:space="preserve">   </w:t>
      </w:r>
      <w:r>
        <w:rPr>
          <w:b/>
          <w:bCs/>
          <w:color w:val="auto"/>
          <w:spacing w:val="-6"/>
          <w:sz w:val="28"/>
          <w:szCs w:val="28"/>
          <w:highlight w:val="none"/>
        </w:rPr>
        <w:t>合同专用条款</w:t>
      </w:r>
    </w:p>
    <w:p w14:paraId="53A2366B">
      <w:pPr>
        <w:spacing w:before="166" w:line="349" w:lineRule="auto"/>
        <w:ind w:firstLine="479"/>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本部分是对前两部分的补充和修改，如果前两部分和本部分的约定不一致，应以本部</w:t>
      </w:r>
      <w:r>
        <w:rPr>
          <w:rFonts w:ascii="新宋体" w:hAnsi="新宋体" w:eastAsia="新宋体" w:cs="新宋体"/>
          <w:color w:val="auto"/>
          <w:spacing w:val="-4"/>
          <w:sz w:val="24"/>
          <w:szCs w:val="24"/>
          <w:highlight w:val="none"/>
        </w:rPr>
        <w:t>分的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约定为准。本部分的条款号应与前两部分的条款号保持对应；与前两部分无对应关系的内容可</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6"/>
          <w:sz w:val="24"/>
          <w:szCs w:val="24"/>
          <w:highlight w:val="none"/>
        </w:rPr>
        <w:t>另行编制条款号。</w:t>
      </w:r>
    </w:p>
    <w:tbl>
      <w:tblPr>
        <w:tblStyle w:val="15"/>
        <w:tblW w:w="8433" w:type="dxa"/>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6E2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804" w:type="dxa"/>
            <w:tcBorders>
              <w:left w:val="single" w:color="000000" w:sz="4" w:space="0"/>
            </w:tcBorders>
            <w:vAlign w:val="top"/>
          </w:tcPr>
          <w:p w14:paraId="5E29688B">
            <w:pPr>
              <w:spacing w:before="78" w:line="180" w:lineRule="auto"/>
              <w:ind w:left="5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条款号</w:t>
            </w:r>
          </w:p>
        </w:tc>
        <w:tc>
          <w:tcPr>
            <w:tcW w:w="7629" w:type="dxa"/>
            <w:vAlign w:val="top"/>
          </w:tcPr>
          <w:p w14:paraId="07B9764A">
            <w:pPr>
              <w:spacing w:before="78" w:line="180" w:lineRule="auto"/>
              <w:ind w:left="334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约定内容</w:t>
            </w:r>
          </w:p>
        </w:tc>
      </w:tr>
      <w:tr w14:paraId="251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5F8E301">
            <w:pPr>
              <w:rPr>
                <w:rFonts w:ascii="Arial"/>
                <w:color w:val="auto"/>
                <w:sz w:val="21"/>
                <w:highlight w:val="none"/>
              </w:rPr>
            </w:pPr>
          </w:p>
        </w:tc>
        <w:tc>
          <w:tcPr>
            <w:tcW w:w="7629" w:type="dxa"/>
            <w:vAlign w:val="top"/>
          </w:tcPr>
          <w:p w14:paraId="2A59CE53">
            <w:pPr>
              <w:rPr>
                <w:rFonts w:ascii="Arial"/>
                <w:color w:val="auto"/>
                <w:sz w:val="21"/>
                <w:highlight w:val="none"/>
              </w:rPr>
            </w:pPr>
          </w:p>
        </w:tc>
      </w:tr>
      <w:tr w14:paraId="7E8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52AF6536">
            <w:pPr>
              <w:rPr>
                <w:rFonts w:ascii="Arial"/>
                <w:color w:val="auto"/>
                <w:sz w:val="21"/>
                <w:highlight w:val="none"/>
              </w:rPr>
            </w:pPr>
          </w:p>
        </w:tc>
        <w:tc>
          <w:tcPr>
            <w:tcW w:w="7629" w:type="dxa"/>
            <w:vAlign w:val="top"/>
          </w:tcPr>
          <w:p w14:paraId="12A8BC48">
            <w:pPr>
              <w:rPr>
                <w:rFonts w:ascii="Arial"/>
                <w:color w:val="auto"/>
                <w:sz w:val="21"/>
                <w:highlight w:val="none"/>
              </w:rPr>
            </w:pPr>
          </w:p>
        </w:tc>
      </w:tr>
      <w:tr w14:paraId="5AD1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308F24D3">
            <w:pPr>
              <w:rPr>
                <w:rFonts w:ascii="Arial"/>
                <w:color w:val="auto"/>
                <w:sz w:val="21"/>
                <w:highlight w:val="none"/>
              </w:rPr>
            </w:pPr>
          </w:p>
        </w:tc>
        <w:tc>
          <w:tcPr>
            <w:tcW w:w="7629" w:type="dxa"/>
            <w:vAlign w:val="top"/>
          </w:tcPr>
          <w:p w14:paraId="1DA2EDFF">
            <w:pPr>
              <w:rPr>
                <w:rFonts w:ascii="Arial"/>
                <w:color w:val="auto"/>
                <w:sz w:val="21"/>
                <w:highlight w:val="none"/>
              </w:rPr>
            </w:pPr>
          </w:p>
        </w:tc>
      </w:tr>
      <w:tr w14:paraId="40D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E3B51BE">
            <w:pPr>
              <w:rPr>
                <w:rFonts w:ascii="Arial"/>
                <w:color w:val="auto"/>
                <w:sz w:val="21"/>
                <w:highlight w:val="none"/>
              </w:rPr>
            </w:pPr>
          </w:p>
        </w:tc>
        <w:tc>
          <w:tcPr>
            <w:tcW w:w="7629" w:type="dxa"/>
            <w:vAlign w:val="top"/>
          </w:tcPr>
          <w:p w14:paraId="10D9C38B">
            <w:pPr>
              <w:rPr>
                <w:rFonts w:ascii="Arial"/>
                <w:color w:val="auto"/>
                <w:sz w:val="21"/>
                <w:highlight w:val="none"/>
              </w:rPr>
            </w:pPr>
          </w:p>
        </w:tc>
      </w:tr>
      <w:tr w14:paraId="050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05E5FA5C">
            <w:pPr>
              <w:rPr>
                <w:rFonts w:ascii="Arial"/>
                <w:color w:val="auto"/>
                <w:sz w:val="21"/>
                <w:highlight w:val="none"/>
              </w:rPr>
            </w:pPr>
          </w:p>
        </w:tc>
        <w:tc>
          <w:tcPr>
            <w:tcW w:w="7629" w:type="dxa"/>
            <w:vAlign w:val="top"/>
          </w:tcPr>
          <w:p w14:paraId="5E460F9A">
            <w:pPr>
              <w:rPr>
                <w:rFonts w:ascii="Arial"/>
                <w:color w:val="auto"/>
                <w:sz w:val="21"/>
                <w:highlight w:val="none"/>
              </w:rPr>
            </w:pPr>
          </w:p>
        </w:tc>
      </w:tr>
      <w:tr w14:paraId="2F5E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40D5BCAA">
            <w:pPr>
              <w:rPr>
                <w:rFonts w:ascii="Arial"/>
                <w:color w:val="auto"/>
                <w:sz w:val="21"/>
                <w:highlight w:val="none"/>
              </w:rPr>
            </w:pPr>
          </w:p>
        </w:tc>
        <w:tc>
          <w:tcPr>
            <w:tcW w:w="7629" w:type="dxa"/>
            <w:vAlign w:val="top"/>
          </w:tcPr>
          <w:p w14:paraId="2C86478D">
            <w:pPr>
              <w:rPr>
                <w:rFonts w:ascii="Arial"/>
                <w:color w:val="auto"/>
                <w:sz w:val="21"/>
                <w:highlight w:val="none"/>
              </w:rPr>
            </w:pPr>
          </w:p>
        </w:tc>
      </w:tr>
      <w:tr w14:paraId="572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DA0FE7F">
            <w:pPr>
              <w:rPr>
                <w:rFonts w:ascii="Arial"/>
                <w:color w:val="auto"/>
                <w:sz w:val="21"/>
                <w:highlight w:val="none"/>
              </w:rPr>
            </w:pPr>
          </w:p>
        </w:tc>
        <w:tc>
          <w:tcPr>
            <w:tcW w:w="7629" w:type="dxa"/>
            <w:vAlign w:val="top"/>
          </w:tcPr>
          <w:p w14:paraId="7D82853C">
            <w:pPr>
              <w:rPr>
                <w:rFonts w:ascii="Arial"/>
                <w:color w:val="auto"/>
                <w:sz w:val="21"/>
                <w:highlight w:val="none"/>
              </w:rPr>
            </w:pPr>
          </w:p>
        </w:tc>
      </w:tr>
      <w:tr w14:paraId="2505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67DB557">
            <w:pPr>
              <w:rPr>
                <w:rFonts w:ascii="Arial"/>
                <w:color w:val="auto"/>
                <w:sz w:val="21"/>
                <w:highlight w:val="none"/>
              </w:rPr>
            </w:pPr>
          </w:p>
        </w:tc>
        <w:tc>
          <w:tcPr>
            <w:tcW w:w="7629" w:type="dxa"/>
            <w:vAlign w:val="top"/>
          </w:tcPr>
          <w:p w14:paraId="2D36D8DB">
            <w:pPr>
              <w:rPr>
                <w:rFonts w:ascii="Arial"/>
                <w:color w:val="auto"/>
                <w:sz w:val="21"/>
                <w:highlight w:val="none"/>
              </w:rPr>
            </w:pPr>
          </w:p>
        </w:tc>
      </w:tr>
      <w:tr w14:paraId="5F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3B73262C">
            <w:pPr>
              <w:rPr>
                <w:rFonts w:ascii="Arial"/>
                <w:color w:val="auto"/>
                <w:sz w:val="21"/>
                <w:highlight w:val="none"/>
              </w:rPr>
            </w:pPr>
          </w:p>
        </w:tc>
        <w:tc>
          <w:tcPr>
            <w:tcW w:w="7629" w:type="dxa"/>
            <w:vAlign w:val="top"/>
          </w:tcPr>
          <w:p w14:paraId="474905BC">
            <w:pPr>
              <w:rPr>
                <w:rFonts w:ascii="Arial"/>
                <w:color w:val="auto"/>
                <w:sz w:val="21"/>
                <w:highlight w:val="none"/>
              </w:rPr>
            </w:pPr>
          </w:p>
        </w:tc>
      </w:tr>
      <w:tr w14:paraId="4538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19985B1D">
            <w:pPr>
              <w:rPr>
                <w:rFonts w:ascii="Arial"/>
                <w:color w:val="auto"/>
                <w:sz w:val="21"/>
                <w:highlight w:val="none"/>
              </w:rPr>
            </w:pPr>
          </w:p>
        </w:tc>
        <w:tc>
          <w:tcPr>
            <w:tcW w:w="7629" w:type="dxa"/>
            <w:vAlign w:val="top"/>
          </w:tcPr>
          <w:p w14:paraId="39694235">
            <w:pPr>
              <w:rPr>
                <w:rFonts w:ascii="Arial"/>
                <w:color w:val="auto"/>
                <w:sz w:val="21"/>
                <w:highlight w:val="none"/>
              </w:rPr>
            </w:pPr>
          </w:p>
        </w:tc>
      </w:tr>
      <w:tr w14:paraId="013B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7FBC2826">
            <w:pPr>
              <w:rPr>
                <w:rFonts w:ascii="Arial"/>
                <w:color w:val="auto"/>
                <w:sz w:val="21"/>
                <w:highlight w:val="none"/>
              </w:rPr>
            </w:pPr>
          </w:p>
        </w:tc>
        <w:tc>
          <w:tcPr>
            <w:tcW w:w="7629" w:type="dxa"/>
            <w:vAlign w:val="top"/>
          </w:tcPr>
          <w:p w14:paraId="175802D8">
            <w:pPr>
              <w:rPr>
                <w:rFonts w:ascii="Arial"/>
                <w:color w:val="auto"/>
                <w:sz w:val="21"/>
                <w:highlight w:val="none"/>
              </w:rPr>
            </w:pPr>
          </w:p>
        </w:tc>
      </w:tr>
      <w:tr w14:paraId="3934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04" w:type="dxa"/>
            <w:tcBorders>
              <w:left w:val="single" w:color="000000" w:sz="4" w:space="0"/>
            </w:tcBorders>
            <w:vAlign w:val="top"/>
          </w:tcPr>
          <w:p w14:paraId="27E20DB6">
            <w:pPr>
              <w:rPr>
                <w:rFonts w:ascii="Arial"/>
                <w:color w:val="auto"/>
                <w:sz w:val="21"/>
                <w:highlight w:val="none"/>
              </w:rPr>
            </w:pPr>
          </w:p>
        </w:tc>
        <w:tc>
          <w:tcPr>
            <w:tcW w:w="7629" w:type="dxa"/>
            <w:vAlign w:val="top"/>
          </w:tcPr>
          <w:p w14:paraId="0076C218">
            <w:pPr>
              <w:rPr>
                <w:rFonts w:ascii="Arial"/>
                <w:color w:val="auto"/>
                <w:sz w:val="21"/>
                <w:highlight w:val="none"/>
              </w:rPr>
            </w:pPr>
          </w:p>
        </w:tc>
      </w:tr>
    </w:tbl>
    <w:p w14:paraId="6CEA6557">
      <w:pPr>
        <w:rPr>
          <w:rFonts w:ascii="Arial"/>
          <w:color w:val="auto"/>
          <w:sz w:val="21"/>
          <w:highlight w:val="none"/>
        </w:rPr>
      </w:pPr>
    </w:p>
    <w:p w14:paraId="1BF7A9F0">
      <w:pPr>
        <w:rPr>
          <w:rFonts w:ascii="Arial" w:hAnsi="Arial" w:eastAsia="Arial" w:cs="Arial"/>
          <w:color w:val="auto"/>
          <w:sz w:val="21"/>
          <w:szCs w:val="21"/>
          <w:highlight w:val="none"/>
        </w:rPr>
        <w:sectPr>
          <w:footerReference r:id="rId26" w:type="default"/>
          <w:pgSz w:w="11905" w:h="16839"/>
          <w:pgMar w:top="400" w:right="1083" w:bottom="1250" w:left="1100" w:header="0" w:footer="1090" w:gutter="0"/>
          <w:pgNumType w:fmt="numberInDash"/>
          <w:cols w:space="720" w:num="1"/>
        </w:sectPr>
      </w:pPr>
    </w:p>
    <w:p w14:paraId="6F89B7B7">
      <w:pPr>
        <w:spacing w:line="255" w:lineRule="auto"/>
        <w:rPr>
          <w:rFonts w:ascii="Arial"/>
          <w:color w:val="auto"/>
          <w:sz w:val="21"/>
          <w:highlight w:val="none"/>
        </w:rPr>
      </w:pPr>
    </w:p>
    <w:p w14:paraId="56CF3329">
      <w:pPr>
        <w:spacing w:line="255" w:lineRule="auto"/>
        <w:rPr>
          <w:rFonts w:ascii="Arial"/>
          <w:color w:val="auto"/>
          <w:sz w:val="21"/>
          <w:highlight w:val="none"/>
        </w:rPr>
      </w:pPr>
    </w:p>
    <w:p w14:paraId="401F60D9">
      <w:pPr>
        <w:spacing w:line="255" w:lineRule="auto"/>
        <w:rPr>
          <w:rFonts w:ascii="Arial"/>
          <w:color w:val="auto"/>
          <w:sz w:val="21"/>
          <w:highlight w:val="none"/>
        </w:rPr>
      </w:pPr>
    </w:p>
    <w:p w14:paraId="44099895">
      <w:pPr>
        <w:spacing w:line="256" w:lineRule="auto"/>
        <w:rPr>
          <w:rFonts w:ascii="Arial"/>
          <w:color w:val="auto"/>
          <w:sz w:val="21"/>
          <w:highlight w:val="none"/>
        </w:rPr>
      </w:pPr>
    </w:p>
    <w:p w14:paraId="66421D0E">
      <w:pPr>
        <w:spacing w:line="256" w:lineRule="auto"/>
        <w:rPr>
          <w:rFonts w:ascii="Arial"/>
          <w:color w:val="auto"/>
          <w:sz w:val="21"/>
          <w:highlight w:val="none"/>
        </w:rPr>
      </w:pPr>
    </w:p>
    <w:p w14:paraId="3AAF6D30">
      <w:pPr>
        <w:spacing w:line="256" w:lineRule="auto"/>
        <w:rPr>
          <w:rFonts w:ascii="Arial"/>
          <w:color w:val="auto"/>
          <w:sz w:val="21"/>
          <w:highlight w:val="none"/>
        </w:rPr>
      </w:pPr>
    </w:p>
    <w:p w14:paraId="29C45427">
      <w:pPr>
        <w:pStyle w:val="8"/>
        <w:spacing w:before="129" w:line="188" w:lineRule="auto"/>
        <w:ind w:left="2824"/>
        <w:outlineLvl w:val="0"/>
        <w:rPr>
          <w:color w:val="auto"/>
          <w:sz w:val="30"/>
          <w:szCs w:val="30"/>
          <w:highlight w:val="none"/>
        </w:rPr>
      </w:pPr>
      <w:bookmarkStart w:id="17" w:name="bookmark8"/>
      <w:bookmarkEnd w:id="17"/>
      <w:r>
        <w:rPr>
          <w:b/>
          <w:bCs/>
          <w:color w:val="auto"/>
          <w:spacing w:val="-6"/>
          <w:sz w:val="30"/>
          <w:szCs w:val="30"/>
          <w:highlight w:val="none"/>
        </w:rPr>
        <w:t>第六章</w:t>
      </w:r>
      <w:r>
        <w:rPr>
          <w:b/>
          <w:bCs/>
          <w:color w:val="auto"/>
          <w:spacing w:val="18"/>
          <w:sz w:val="30"/>
          <w:szCs w:val="30"/>
          <w:highlight w:val="none"/>
        </w:rPr>
        <w:t xml:space="preserve">   </w:t>
      </w:r>
      <w:r>
        <w:rPr>
          <w:b/>
          <w:bCs/>
          <w:color w:val="auto"/>
          <w:spacing w:val="-6"/>
          <w:sz w:val="30"/>
          <w:szCs w:val="30"/>
          <w:highlight w:val="none"/>
        </w:rPr>
        <w:t>投标文件格式</w:t>
      </w:r>
    </w:p>
    <w:p w14:paraId="67BE60E6">
      <w:pPr>
        <w:spacing w:line="312" w:lineRule="auto"/>
        <w:rPr>
          <w:rFonts w:ascii="Arial"/>
          <w:color w:val="auto"/>
          <w:sz w:val="21"/>
          <w:highlight w:val="none"/>
        </w:rPr>
      </w:pPr>
    </w:p>
    <w:p w14:paraId="706C998C">
      <w:pPr>
        <w:spacing w:line="313" w:lineRule="auto"/>
        <w:rPr>
          <w:rFonts w:ascii="Arial"/>
          <w:color w:val="auto"/>
          <w:sz w:val="21"/>
          <w:highlight w:val="none"/>
        </w:rPr>
      </w:pPr>
    </w:p>
    <w:p w14:paraId="3D9F0C3C">
      <w:pPr>
        <w:spacing w:line="313" w:lineRule="auto"/>
        <w:rPr>
          <w:rFonts w:ascii="Arial"/>
          <w:color w:val="auto"/>
          <w:sz w:val="21"/>
          <w:highlight w:val="none"/>
        </w:rPr>
      </w:pPr>
    </w:p>
    <w:p w14:paraId="58CA3BA7">
      <w:pPr>
        <w:pStyle w:val="8"/>
        <w:spacing w:before="205" w:line="267" w:lineRule="auto"/>
        <w:ind w:left="3514" w:right="3432" w:hanging="321"/>
        <w:rPr>
          <w:color w:val="auto"/>
          <w:highlight w:val="none"/>
        </w:rPr>
      </w:pPr>
      <w:r>
        <w:rPr>
          <w:color w:val="auto"/>
          <w:spacing w:val="9"/>
          <w:sz w:val="48"/>
          <w:szCs w:val="48"/>
          <w:highlight w:val="none"/>
        </w:rPr>
        <w:t>(项目名称)</w:t>
      </w:r>
      <w:r>
        <w:rPr>
          <w:color w:val="auto"/>
          <w:spacing w:val="3"/>
          <w:sz w:val="48"/>
          <w:szCs w:val="48"/>
          <w:highlight w:val="none"/>
        </w:rPr>
        <w:t xml:space="preserve"> </w:t>
      </w:r>
      <w:r>
        <w:rPr>
          <w:color w:val="auto"/>
          <w:spacing w:val="-16"/>
          <w:highlight w:val="none"/>
        </w:rPr>
        <w:t>项目编码：</w:t>
      </w:r>
    </w:p>
    <w:p w14:paraId="19823EAF">
      <w:pPr>
        <w:spacing w:line="242" w:lineRule="auto"/>
        <w:rPr>
          <w:rFonts w:ascii="Arial"/>
          <w:color w:val="auto"/>
          <w:sz w:val="21"/>
          <w:highlight w:val="none"/>
        </w:rPr>
      </w:pPr>
    </w:p>
    <w:p w14:paraId="32332EC3">
      <w:pPr>
        <w:spacing w:line="242" w:lineRule="auto"/>
        <w:rPr>
          <w:rFonts w:ascii="Arial"/>
          <w:color w:val="auto"/>
          <w:sz w:val="21"/>
          <w:highlight w:val="none"/>
        </w:rPr>
      </w:pPr>
    </w:p>
    <w:p w14:paraId="5DCB7921">
      <w:pPr>
        <w:spacing w:line="242" w:lineRule="auto"/>
        <w:rPr>
          <w:rFonts w:ascii="Arial"/>
          <w:color w:val="auto"/>
          <w:sz w:val="21"/>
          <w:highlight w:val="none"/>
        </w:rPr>
      </w:pPr>
    </w:p>
    <w:p w14:paraId="405B157F">
      <w:pPr>
        <w:spacing w:line="242" w:lineRule="auto"/>
        <w:rPr>
          <w:rFonts w:ascii="Arial"/>
          <w:color w:val="auto"/>
          <w:sz w:val="21"/>
          <w:highlight w:val="none"/>
        </w:rPr>
      </w:pPr>
    </w:p>
    <w:p w14:paraId="6B3E4FE7">
      <w:pPr>
        <w:spacing w:line="243" w:lineRule="auto"/>
        <w:rPr>
          <w:rFonts w:ascii="Arial"/>
          <w:color w:val="auto"/>
          <w:sz w:val="21"/>
          <w:highlight w:val="none"/>
        </w:rPr>
      </w:pPr>
      <w:r>
        <w:rPr>
          <w:color w:val="auto"/>
          <w:highlight w:val="none"/>
        </w:rPr>
        <w:pict>
          <v:shape id="_x0000_s1026" o:spid="_x0000_s1026" o:spt="202" type="#_x0000_t202" style="position:absolute;left:0pt;margin-left:185.55pt;margin-top:1.3pt;height:248.95pt;width:48.05pt;z-index:251659264;mso-width-relative:page;mso-height-relative:page;" filled="f" stroked="f" coordsize="21600,21600">
            <v:path/>
            <v:fill on="f" focussize="0,0"/>
            <v:stroke on="f"/>
            <v:imagedata o:title=""/>
            <o:lock v:ext="edit" aspectratio="f"/>
            <v:textbox inset="0mm,0mm,0mm,0mm" style="layout-flow:vertical-ideographic;">
              <w:txbxContent>
                <w:p w14:paraId="34D4F1F6">
                  <w:pPr>
                    <w:pStyle w:val="8"/>
                    <w:spacing w:before="18" w:line="174" w:lineRule="auto"/>
                    <w:ind w:left="20"/>
                    <w:rPr>
                      <w:sz w:val="72"/>
                      <w:szCs w:val="72"/>
                    </w:rPr>
                  </w:pPr>
                  <w:r>
                    <w:rPr>
                      <w:spacing w:val="10"/>
                      <w:sz w:val="72"/>
                      <w:szCs w:val="72"/>
                    </w:rPr>
                    <w:t>投   标   文   件</w:t>
                  </w:r>
                </w:p>
              </w:txbxContent>
            </v:textbox>
          </v:shape>
        </w:pict>
      </w:r>
    </w:p>
    <w:p w14:paraId="26C7C950">
      <w:pPr>
        <w:spacing w:line="243" w:lineRule="auto"/>
        <w:rPr>
          <w:rFonts w:ascii="Arial"/>
          <w:color w:val="auto"/>
          <w:sz w:val="21"/>
          <w:highlight w:val="none"/>
        </w:rPr>
      </w:pPr>
    </w:p>
    <w:p w14:paraId="233698CA">
      <w:pPr>
        <w:spacing w:line="243" w:lineRule="auto"/>
        <w:rPr>
          <w:rFonts w:ascii="Arial"/>
          <w:color w:val="auto"/>
          <w:sz w:val="21"/>
          <w:highlight w:val="none"/>
        </w:rPr>
      </w:pPr>
    </w:p>
    <w:p w14:paraId="1224AE41">
      <w:pPr>
        <w:spacing w:line="243" w:lineRule="auto"/>
        <w:rPr>
          <w:rFonts w:ascii="Arial"/>
          <w:color w:val="auto"/>
          <w:sz w:val="21"/>
          <w:highlight w:val="none"/>
        </w:rPr>
      </w:pPr>
    </w:p>
    <w:p w14:paraId="35B0AA21">
      <w:pPr>
        <w:spacing w:line="243" w:lineRule="auto"/>
        <w:rPr>
          <w:rFonts w:ascii="Arial"/>
          <w:color w:val="auto"/>
          <w:sz w:val="21"/>
          <w:highlight w:val="none"/>
        </w:rPr>
      </w:pPr>
    </w:p>
    <w:p w14:paraId="42798300">
      <w:pPr>
        <w:spacing w:line="243" w:lineRule="auto"/>
        <w:rPr>
          <w:rFonts w:ascii="Arial"/>
          <w:color w:val="auto"/>
          <w:sz w:val="21"/>
          <w:highlight w:val="none"/>
        </w:rPr>
      </w:pPr>
    </w:p>
    <w:p w14:paraId="7CB18917">
      <w:pPr>
        <w:spacing w:line="243" w:lineRule="auto"/>
        <w:rPr>
          <w:rFonts w:ascii="Arial"/>
          <w:color w:val="auto"/>
          <w:sz w:val="21"/>
          <w:highlight w:val="none"/>
        </w:rPr>
      </w:pPr>
    </w:p>
    <w:p w14:paraId="473F569C">
      <w:pPr>
        <w:spacing w:line="243" w:lineRule="auto"/>
        <w:rPr>
          <w:rFonts w:ascii="Arial"/>
          <w:color w:val="auto"/>
          <w:sz w:val="21"/>
          <w:highlight w:val="none"/>
        </w:rPr>
      </w:pPr>
    </w:p>
    <w:p w14:paraId="1A4B33AF">
      <w:pPr>
        <w:spacing w:line="243" w:lineRule="auto"/>
        <w:rPr>
          <w:rFonts w:ascii="Arial"/>
          <w:color w:val="auto"/>
          <w:sz w:val="21"/>
          <w:highlight w:val="none"/>
        </w:rPr>
      </w:pPr>
    </w:p>
    <w:p w14:paraId="25DBBA34">
      <w:pPr>
        <w:spacing w:line="243" w:lineRule="auto"/>
        <w:rPr>
          <w:rFonts w:ascii="Arial"/>
          <w:color w:val="auto"/>
          <w:sz w:val="21"/>
          <w:highlight w:val="none"/>
        </w:rPr>
      </w:pPr>
    </w:p>
    <w:p w14:paraId="1275A044">
      <w:pPr>
        <w:spacing w:line="243" w:lineRule="auto"/>
        <w:rPr>
          <w:rFonts w:ascii="Arial"/>
          <w:color w:val="auto"/>
          <w:sz w:val="21"/>
          <w:highlight w:val="none"/>
        </w:rPr>
      </w:pPr>
    </w:p>
    <w:p w14:paraId="2D8F5E07">
      <w:pPr>
        <w:spacing w:line="243" w:lineRule="auto"/>
        <w:rPr>
          <w:rFonts w:ascii="Arial"/>
          <w:color w:val="auto"/>
          <w:sz w:val="21"/>
          <w:highlight w:val="none"/>
        </w:rPr>
      </w:pPr>
    </w:p>
    <w:p w14:paraId="711FFF84">
      <w:pPr>
        <w:spacing w:line="243" w:lineRule="auto"/>
        <w:rPr>
          <w:rFonts w:ascii="Arial"/>
          <w:color w:val="auto"/>
          <w:sz w:val="21"/>
          <w:highlight w:val="none"/>
        </w:rPr>
      </w:pPr>
    </w:p>
    <w:p w14:paraId="6B719041">
      <w:pPr>
        <w:spacing w:line="243" w:lineRule="auto"/>
        <w:rPr>
          <w:rFonts w:ascii="Arial"/>
          <w:color w:val="auto"/>
          <w:sz w:val="21"/>
          <w:highlight w:val="none"/>
        </w:rPr>
      </w:pPr>
    </w:p>
    <w:p w14:paraId="2E1E151C">
      <w:pPr>
        <w:spacing w:line="243" w:lineRule="auto"/>
        <w:rPr>
          <w:rFonts w:ascii="Arial"/>
          <w:color w:val="auto"/>
          <w:sz w:val="21"/>
          <w:highlight w:val="none"/>
        </w:rPr>
      </w:pPr>
    </w:p>
    <w:p w14:paraId="5AAC6FE2">
      <w:pPr>
        <w:spacing w:line="243" w:lineRule="auto"/>
        <w:rPr>
          <w:rFonts w:ascii="Arial"/>
          <w:color w:val="auto"/>
          <w:sz w:val="21"/>
          <w:highlight w:val="none"/>
        </w:rPr>
      </w:pPr>
    </w:p>
    <w:p w14:paraId="55295C28">
      <w:pPr>
        <w:spacing w:line="243" w:lineRule="auto"/>
        <w:rPr>
          <w:rFonts w:ascii="Arial"/>
          <w:color w:val="auto"/>
          <w:sz w:val="21"/>
          <w:highlight w:val="none"/>
        </w:rPr>
      </w:pPr>
    </w:p>
    <w:p w14:paraId="2E8107DE">
      <w:pPr>
        <w:spacing w:line="243" w:lineRule="auto"/>
        <w:rPr>
          <w:rFonts w:ascii="Arial"/>
          <w:color w:val="auto"/>
          <w:sz w:val="21"/>
          <w:highlight w:val="none"/>
        </w:rPr>
      </w:pPr>
    </w:p>
    <w:p w14:paraId="49B4BE45">
      <w:pPr>
        <w:spacing w:line="243" w:lineRule="auto"/>
        <w:rPr>
          <w:rFonts w:ascii="Arial"/>
          <w:color w:val="auto"/>
          <w:sz w:val="21"/>
          <w:highlight w:val="none"/>
        </w:rPr>
      </w:pPr>
    </w:p>
    <w:p w14:paraId="5F981609">
      <w:pPr>
        <w:spacing w:line="243" w:lineRule="auto"/>
        <w:rPr>
          <w:rFonts w:ascii="Arial"/>
          <w:color w:val="auto"/>
          <w:sz w:val="21"/>
          <w:highlight w:val="none"/>
        </w:rPr>
      </w:pPr>
    </w:p>
    <w:p w14:paraId="52EFB03B">
      <w:pPr>
        <w:spacing w:line="243" w:lineRule="auto"/>
        <w:rPr>
          <w:rFonts w:ascii="Arial"/>
          <w:color w:val="auto"/>
          <w:sz w:val="21"/>
          <w:highlight w:val="none"/>
        </w:rPr>
      </w:pPr>
    </w:p>
    <w:p w14:paraId="56796889">
      <w:pPr>
        <w:spacing w:line="243" w:lineRule="auto"/>
        <w:rPr>
          <w:rFonts w:ascii="Arial"/>
          <w:color w:val="auto"/>
          <w:sz w:val="21"/>
          <w:highlight w:val="none"/>
        </w:rPr>
      </w:pPr>
    </w:p>
    <w:p w14:paraId="4A8531A8">
      <w:pPr>
        <w:spacing w:line="243" w:lineRule="auto"/>
        <w:rPr>
          <w:rFonts w:ascii="Arial"/>
          <w:color w:val="auto"/>
          <w:sz w:val="21"/>
          <w:highlight w:val="none"/>
        </w:rPr>
      </w:pPr>
    </w:p>
    <w:p w14:paraId="6B33B42F">
      <w:pPr>
        <w:pStyle w:val="8"/>
        <w:spacing w:before="120" w:line="279" w:lineRule="auto"/>
        <w:rPr>
          <w:color w:val="auto"/>
          <w:sz w:val="28"/>
          <w:szCs w:val="28"/>
          <w:highlight w:val="none"/>
        </w:rPr>
      </w:pPr>
      <w:r>
        <w:rPr>
          <w:color w:val="auto"/>
          <w:spacing w:val="-3"/>
          <w:sz w:val="28"/>
          <w:szCs w:val="28"/>
          <w:highlight w:val="none"/>
        </w:rPr>
        <w:t>投标单位名称</w:t>
      </w:r>
      <w:r>
        <w:rPr>
          <w:color w:val="auto"/>
          <w:sz w:val="28"/>
          <w:szCs w:val="28"/>
          <w:highlight w:val="none"/>
        </w:rPr>
        <w:t>：</w:t>
      </w:r>
      <w:r>
        <w:rPr>
          <w:color w:val="auto"/>
          <w:spacing w:val="1"/>
          <w:sz w:val="28"/>
          <w:szCs w:val="28"/>
          <w:highlight w:val="none"/>
          <w:u w:val="single" w:color="auto"/>
        </w:rPr>
        <w:t xml:space="preserve">                                      </w:t>
      </w:r>
      <w:r>
        <w:rPr>
          <w:color w:val="auto"/>
          <w:sz w:val="28"/>
          <w:szCs w:val="28"/>
          <w:highlight w:val="none"/>
          <w:u w:val="single" w:color="auto"/>
        </w:rPr>
        <w:t xml:space="preserve">                   </w:t>
      </w:r>
      <w:r>
        <w:rPr>
          <w:color w:val="auto"/>
          <w:sz w:val="28"/>
          <w:szCs w:val="28"/>
          <w:highlight w:val="none"/>
        </w:rPr>
        <w:t>（</w:t>
      </w:r>
      <w:r>
        <w:rPr>
          <w:color w:val="auto"/>
          <w:spacing w:val="-3"/>
          <w:sz w:val="28"/>
          <w:szCs w:val="28"/>
          <w:highlight w:val="none"/>
        </w:rPr>
        <w:t>加盖单位公章）</w:t>
      </w:r>
      <w:r>
        <w:rPr>
          <w:color w:val="auto"/>
          <w:spacing w:val="1"/>
          <w:sz w:val="28"/>
          <w:szCs w:val="28"/>
          <w:highlight w:val="none"/>
        </w:rPr>
        <w:t xml:space="preserve"> </w:t>
      </w:r>
      <w:r>
        <w:rPr>
          <w:color w:val="auto"/>
          <w:spacing w:val="-1"/>
          <w:sz w:val="28"/>
          <w:szCs w:val="28"/>
          <w:highlight w:val="none"/>
        </w:rPr>
        <w:t>投标单位地址：</w:t>
      </w:r>
      <w:r>
        <w:rPr>
          <w:color w:val="auto"/>
          <w:spacing w:val="-1"/>
          <w:sz w:val="28"/>
          <w:szCs w:val="28"/>
          <w:highlight w:val="none"/>
          <w:u w:val="single" w:color="auto"/>
        </w:rPr>
        <w:t xml:space="preserve">                                                          </w:t>
      </w:r>
    </w:p>
    <w:p w14:paraId="5C867D5D">
      <w:pPr>
        <w:pStyle w:val="8"/>
        <w:spacing w:before="3" w:line="279" w:lineRule="auto"/>
        <w:ind w:right="2221" w:firstLine="9"/>
        <w:rPr>
          <w:color w:val="auto"/>
          <w:sz w:val="28"/>
          <w:szCs w:val="28"/>
          <w:highlight w:val="none"/>
        </w:rPr>
      </w:pPr>
      <w:r>
        <w:rPr>
          <w:color w:val="auto"/>
          <w:spacing w:val="-2"/>
          <w:sz w:val="28"/>
          <w:szCs w:val="28"/>
          <w:highlight w:val="none"/>
        </w:rPr>
        <w:t>法人或法人授权代表（签字或盖章</w:t>
      </w:r>
      <w:r>
        <w:rPr>
          <w:color w:val="auto"/>
          <w:sz w:val="28"/>
          <w:szCs w:val="28"/>
          <w:highlight w:val="none"/>
        </w:rPr>
        <w:t>）：</w:t>
      </w:r>
      <w:r>
        <w:rPr>
          <w:color w:val="auto"/>
          <w:spacing w:val="2"/>
          <w:sz w:val="28"/>
          <w:szCs w:val="28"/>
          <w:highlight w:val="none"/>
          <w:u w:val="single" w:color="auto"/>
        </w:rPr>
        <w:t xml:space="preserve">                       </w:t>
      </w:r>
      <w:r>
        <w:rPr>
          <w:color w:val="auto"/>
          <w:spacing w:val="9"/>
          <w:sz w:val="28"/>
          <w:szCs w:val="28"/>
          <w:highlight w:val="none"/>
        </w:rPr>
        <w:t xml:space="preserve"> </w:t>
      </w:r>
      <w:r>
        <w:rPr>
          <w:color w:val="auto"/>
          <w:spacing w:val="-2"/>
          <w:sz w:val="28"/>
          <w:szCs w:val="28"/>
          <w:highlight w:val="none"/>
        </w:rPr>
        <w:t>投标单位联系电话：</w:t>
      </w:r>
      <w:r>
        <w:rPr>
          <w:color w:val="auto"/>
          <w:sz w:val="28"/>
          <w:szCs w:val="28"/>
          <w:highlight w:val="none"/>
          <w:u w:val="single" w:color="auto"/>
        </w:rPr>
        <w:t xml:space="preserve">                                                   </w:t>
      </w:r>
    </w:p>
    <w:p w14:paraId="2A649ED8">
      <w:pPr>
        <w:spacing w:line="441" w:lineRule="auto"/>
        <w:rPr>
          <w:rFonts w:ascii="Arial"/>
          <w:color w:val="auto"/>
          <w:sz w:val="21"/>
          <w:highlight w:val="none"/>
        </w:rPr>
      </w:pPr>
    </w:p>
    <w:p w14:paraId="248408A9">
      <w:pPr>
        <w:pStyle w:val="8"/>
        <w:tabs>
          <w:tab w:val="left" w:pos="4011"/>
        </w:tabs>
        <w:spacing w:before="120" w:line="188" w:lineRule="auto"/>
        <w:ind w:left="3451"/>
        <w:rPr>
          <w:color w:val="auto"/>
          <w:sz w:val="28"/>
          <w:szCs w:val="28"/>
          <w:highlight w:val="none"/>
        </w:rPr>
      </w:pPr>
      <w:r>
        <w:rPr>
          <w:color w:val="auto"/>
          <w:sz w:val="28"/>
          <w:szCs w:val="28"/>
          <w:highlight w:val="none"/>
          <w:u w:val="single" w:color="auto"/>
        </w:rPr>
        <w:tab/>
      </w:r>
      <w:r>
        <w:rPr>
          <w:color w:val="auto"/>
          <w:spacing w:val="-56"/>
          <w:sz w:val="28"/>
          <w:szCs w:val="28"/>
          <w:highlight w:val="none"/>
        </w:rPr>
        <w:t xml:space="preserve"> </w:t>
      </w:r>
      <w:r>
        <w:rPr>
          <w:color w:val="auto"/>
          <w:spacing w:val="-16"/>
          <w:sz w:val="28"/>
          <w:szCs w:val="28"/>
          <w:highlight w:val="none"/>
        </w:rPr>
        <w:t>年</w:t>
      </w:r>
      <w:r>
        <w:rPr>
          <w:color w:val="auto"/>
          <w:spacing w:val="1"/>
          <w:sz w:val="28"/>
          <w:szCs w:val="28"/>
          <w:highlight w:val="none"/>
          <w:u w:val="single" w:color="auto"/>
        </w:rPr>
        <w:t xml:space="preserve">     </w:t>
      </w:r>
      <w:r>
        <w:rPr>
          <w:color w:val="auto"/>
          <w:spacing w:val="-51"/>
          <w:sz w:val="28"/>
          <w:szCs w:val="28"/>
          <w:highlight w:val="none"/>
        </w:rPr>
        <w:t xml:space="preserve"> </w:t>
      </w:r>
      <w:r>
        <w:rPr>
          <w:color w:val="auto"/>
          <w:spacing w:val="-16"/>
          <w:sz w:val="28"/>
          <w:szCs w:val="28"/>
          <w:highlight w:val="none"/>
        </w:rPr>
        <w:t>月</w:t>
      </w:r>
      <w:r>
        <w:rPr>
          <w:color w:val="auto"/>
          <w:spacing w:val="1"/>
          <w:sz w:val="28"/>
          <w:szCs w:val="28"/>
          <w:highlight w:val="none"/>
          <w:u w:val="single" w:color="auto"/>
        </w:rPr>
        <w:t xml:space="preserve">     </w:t>
      </w:r>
      <w:r>
        <w:rPr>
          <w:color w:val="auto"/>
          <w:spacing w:val="-16"/>
          <w:sz w:val="28"/>
          <w:szCs w:val="28"/>
          <w:highlight w:val="none"/>
        </w:rPr>
        <w:t xml:space="preserve"> 日</w:t>
      </w:r>
    </w:p>
    <w:p w14:paraId="45B6A648">
      <w:pPr>
        <w:spacing w:line="188" w:lineRule="auto"/>
        <w:rPr>
          <w:color w:val="auto"/>
          <w:sz w:val="28"/>
          <w:szCs w:val="28"/>
          <w:highlight w:val="none"/>
        </w:rPr>
        <w:sectPr>
          <w:footerReference r:id="rId27" w:type="default"/>
          <w:pgSz w:w="11905" w:h="16839"/>
          <w:pgMar w:top="400" w:right="1320" w:bottom="1250" w:left="1660" w:header="0" w:footer="1090" w:gutter="0"/>
          <w:pgNumType w:fmt="numberInDash"/>
          <w:cols w:space="720" w:num="1"/>
        </w:sectPr>
      </w:pPr>
    </w:p>
    <w:p w14:paraId="32121882">
      <w:pPr>
        <w:spacing w:line="319" w:lineRule="auto"/>
        <w:rPr>
          <w:rFonts w:ascii="Arial"/>
          <w:color w:val="auto"/>
          <w:sz w:val="21"/>
          <w:highlight w:val="none"/>
        </w:rPr>
      </w:pPr>
    </w:p>
    <w:p w14:paraId="36A22A82">
      <w:pPr>
        <w:spacing w:line="320" w:lineRule="auto"/>
        <w:rPr>
          <w:rFonts w:ascii="Arial"/>
          <w:color w:val="auto"/>
          <w:sz w:val="21"/>
          <w:highlight w:val="none"/>
        </w:rPr>
      </w:pPr>
    </w:p>
    <w:p w14:paraId="7EA2DA22">
      <w:pPr>
        <w:spacing w:line="320" w:lineRule="auto"/>
        <w:rPr>
          <w:rFonts w:ascii="Arial"/>
          <w:color w:val="auto"/>
          <w:sz w:val="21"/>
          <w:highlight w:val="none"/>
        </w:rPr>
      </w:pPr>
    </w:p>
    <w:p w14:paraId="0E97B879">
      <w:pPr>
        <w:spacing w:before="143" w:line="224" w:lineRule="auto"/>
        <w:ind w:left="2922"/>
        <w:rPr>
          <w:rFonts w:ascii="新宋体" w:hAnsi="新宋体" w:eastAsia="新宋体" w:cs="新宋体"/>
          <w:color w:val="auto"/>
          <w:sz w:val="44"/>
          <w:szCs w:val="44"/>
          <w:highlight w:val="none"/>
        </w:rPr>
      </w:pPr>
      <w:r>
        <w:rPr>
          <w:rFonts w:ascii="新宋体" w:hAnsi="新宋体" w:eastAsia="新宋体" w:cs="新宋体"/>
          <w:color w:val="auto"/>
          <w:spacing w:val="-6"/>
          <w:sz w:val="44"/>
          <w:szCs w:val="44"/>
          <w:highlight w:val="none"/>
        </w:rPr>
        <w:t>第一部分：商务部分</w:t>
      </w:r>
    </w:p>
    <w:p w14:paraId="1F962B9A">
      <w:pPr>
        <w:pStyle w:val="8"/>
        <w:spacing w:before="297" w:line="187" w:lineRule="auto"/>
        <w:ind w:left="2574"/>
        <w:rPr>
          <w:color w:val="auto"/>
          <w:sz w:val="28"/>
          <w:szCs w:val="28"/>
          <w:highlight w:val="none"/>
        </w:rPr>
      </w:pPr>
      <w:r>
        <w:rPr>
          <w:b/>
          <w:bCs/>
          <w:color w:val="auto"/>
          <w:spacing w:val="-4"/>
          <w:sz w:val="28"/>
          <w:szCs w:val="28"/>
          <w:highlight w:val="none"/>
        </w:rPr>
        <w:t>1、法定代表人身份证明或授权委托书</w:t>
      </w:r>
    </w:p>
    <w:p w14:paraId="6D69C4F9">
      <w:pPr>
        <w:pStyle w:val="8"/>
        <w:spacing w:before="169" w:line="184" w:lineRule="auto"/>
        <w:ind w:left="3442"/>
        <w:rPr>
          <w:color w:val="auto"/>
          <w:sz w:val="24"/>
          <w:szCs w:val="24"/>
          <w:highlight w:val="none"/>
        </w:rPr>
      </w:pPr>
      <w:r>
        <w:rPr>
          <w:b/>
          <w:bCs/>
          <w:color w:val="auto"/>
          <w:spacing w:val="-5"/>
          <w:sz w:val="28"/>
          <w:szCs w:val="28"/>
          <w:highlight w:val="none"/>
        </w:rPr>
        <w:t>（1）</w:t>
      </w:r>
      <w:r>
        <w:rPr>
          <w:b/>
          <w:bCs/>
          <w:color w:val="auto"/>
          <w:spacing w:val="-5"/>
          <w:sz w:val="24"/>
          <w:szCs w:val="24"/>
          <w:highlight w:val="none"/>
        </w:rPr>
        <w:t>法定代表人身份证明</w:t>
      </w:r>
    </w:p>
    <w:p w14:paraId="13913A46">
      <w:pPr>
        <w:spacing w:line="374" w:lineRule="auto"/>
        <w:rPr>
          <w:rFonts w:ascii="Arial"/>
          <w:color w:val="auto"/>
          <w:sz w:val="21"/>
          <w:highlight w:val="none"/>
        </w:rPr>
      </w:pPr>
    </w:p>
    <w:p w14:paraId="297B510C">
      <w:pPr>
        <w:tabs>
          <w:tab w:val="left" w:pos="8024"/>
        </w:tabs>
        <w:spacing w:before="78" w:line="350" w:lineRule="auto"/>
        <w:ind w:left="364" w:right="996"/>
        <w:jc w:val="both"/>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单位名称：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单位性质：</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成立时间：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9"/>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9"/>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9"/>
          <w:sz w:val="24"/>
          <w:szCs w:val="24"/>
          <w:highlight w:val="none"/>
        </w:rPr>
        <w:t>日</w:t>
      </w:r>
    </w:p>
    <w:p w14:paraId="2D515374">
      <w:pPr>
        <w:tabs>
          <w:tab w:val="left" w:pos="8144"/>
        </w:tabs>
        <w:spacing w:before="36" w:line="350" w:lineRule="auto"/>
        <w:ind w:left="360" w:right="876"/>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经营期限：</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姓名：</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85"/>
          <w:sz w:val="24"/>
          <w:szCs w:val="24"/>
          <w:highlight w:val="none"/>
        </w:rPr>
        <w:t xml:space="preserve"> </w:t>
      </w:r>
      <w:r>
        <w:rPr>
          <w:rFonts w:ascii="新宋体" w:hAnsi="新宋体" w:eastAsia="新宋体" w:cs="新宋体"/>
          <w:color w:val="auto"/>
          <w:spacing w:val="-4"/>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4"/>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4"/>
          <w:sz w:val="24"/>
          <w:szCs w:val="24"/>
          <w:highlight w:val="none"/>
        </w:rPr>
        <w:t>职务：</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系</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8"/>
          <w:sz w:val="24"/>
          <w:szCs w:val="24"/>
          <w:highlight w:val="none"/>
        </w:rPr>
        <w:t xml:space="preserve"> </w:t>
      </w:r>
      <w:r>
        <w:rPr>
          <w:rFonts w:ascii="新宋体" w:hAnsi="新宋体" w:eastAsia="新宋体" w:cs="新宋体"/>
          <w:color w:val="auto"/>
          <w:spacing w:val="-9"/>
          <w:sz w:val="24"/>
          <w:szCs w:val="24"/>
          <w:highlight w:val="none"/>
        </w:rPr>
        <w:t>的法定代表人。</w:t>
      </w:r>
    </w:p>
    <w:p w14:paraId="77DB473A">
      <w:pPr>
        <w:spacing w:before="36" w:line="224" w:lineRule="auto"/>
        <w:ind w:left="959"/>
        <w:rPr>
          <w:rFonts w:ascii="新宋体" w:hAnsi="新宋体" w:eastAsia="新宋体" w:cs="新宋体"/>
          <w:color w:val="auto"/>
          <w:sz w:val="24"/>
          <w:szCs w:val="24"/>
          <w:highlight w:val="none"/>
        </w:rPr>
      </w:pPr>
      <w:r>
        <w:rPr>
          <w:color w:val="auto"/>
          <w:highlight w:val="none"/>
        </w:rPr>
        <w:pict>
          <v:shape id="_x0000_s1027" o:spid="_x0000_s1027" o:spt="202" type="#_x0000_t202" style="position:absolute;left:0pt;margin-left:253.6pt;margin-top:33.3pt;height:141.95pt;width:197.5pt;z-index:251660288;mso-width-relative:page;mso-height-relative:page;" filled="f" stroked="f" coordsize="21600,21600">
            <v:path/>
            <v:fill on="f" focussize="0,0"/>
            <v:stroke on="f"/>
            <v:imagedata o:title=""/>
            <o:lock v:ext="edit" aspectratio="f"/>
            <v:textbox inset="0mm,0mm,0mm,0mm">
              <w:txbxContent>
                <w:p w14:paraId="4FCD8400">
                  <w:pPr>
                    <w:spacing w:line="20" w:lineRule="exact"/>
                  </w:pPr>
                </w:p>
                <w:tbl>
                  <w:tblPr>
                    <w:tblStyle w:val="15"/>
                    <w:tblW w:w="3894" w:type="dxa"/>
                    <w:tblInd w:w="27"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527C0BB8">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68" w:hRule="atLeast"/>
                    </w:trPr>
                    <w:tc>
                      <w:tcPr>
                        <w:tcW w:w="3894" w:type="dxa"/>
                        <w:vAlign w:val="top"/>
                      </w:tcPr>
                      <w:p w14:paraId="02FFF005">
                        <w:pPr>
                          <w:spacing w:before="115" w:line="220" w:lineRule="auto"/>
                          <w:ind w:left="551"/>
                          <w:rPr>
                            <w:rFonts w:ascii="宋体" w:hAnsi="宋体" w:eastAsia="宋体" w:cs="宋体"/>
                            <w:sz w:val="28"/>
                            <w:szCs w:val="28"/>
                          </w:rPr>
                        </w:pPr>
                        <w:r>
                          <w:rPr>
                            <w:rFonts w:ascii="宋体" w:hAnsi="宋体" w:eastAsia="宋体" w:cs="宋体"/>
                            <w:spacing w:val="-2"/>
                            <w:sz w:val="28"/>
                            <w:szCs w:val="28"/>
                          </w:rPr>
                          <w:t>法人身份证复印件背面</w:t>
                        </w:r>
                      </w:p>
                    </w:tc>
                  </w:tr>
                </w:tbl>
                <w:p w14:paraId="079DB15C">
                  <w:pPr>
                    <w:rPr>
                      <w:rFonts w:ascii="Arial"/>
                      <w:sz w:val="21"/>
                    </w:rPr>
                  </w:pPr>
                </w:p>
              </w:txbxContent>
            </v:textbox>
          </v:shape>
        </w:pict>
      </w:r>
      <w:r>
        <w:rPr>
          <w:rFonts w:ascii="新宋体" w:hAnsi="新宋体" w:eastAsia="新宋体" w:cs="新宋体"/>
          <w:color w:val="auto"/>
          <w:spacing w:val="-8"/>
          <w:sz w:val="24"/>
          <w:szCs w:val="24"/>
          <w:highlight w:val="none"/>
        </w:rPr>
        <w:t>特此证明。</w:t>
      </w:r>
    </w:p>
    <w:p w14:paraId="1714230F">
      <w:pPr>
        <w:spacing w:before="135"/>
        <w:rPr>
          <w:color w:val="auto"/>
          <w:highlight w:val="none"/>
        </w:rPr>
      </w:pPr>
    </w:p>
    <w:tbl>
      <w:tblPr>
        <w:tblStyle w:val="15"/>
        <w:tblW w:w="3894" w:type="dxa"/>
        <w:tblInd w:w="929"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3BD03996">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53" w:hRule="atLeast"/>
        </w:trPr>
        <w:tc>
          <w:tcPr>
            <w:tcW w:w="3894" w:type="dxa"/>
            <w:vAlign w:val="top"/>
          </w:tcPr>
          <w:p w14:paraId="3944CF91">
            <w:pPr>
              <w:spacing w:before="115" w:line="220" w:lineRule="auto"/>
              <w:ind w:left="55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法人身份证复印件正面</w:t>
            </w:r>
          </w:p>
        </w:tc>
      </w:tr>
    </w:tbl>
    <w:p w14:paraId="3C7E7153">
      <w:pPr>
        <w:spacing w:line="246" w:lineRule="auto"/>
        <w:rPr>
          <w:rFonts w:ascii="Arial"/>
          <w:color w:val="auto"/>
          <w:sz w:val="21"/>
          <w:highlight w:val="none"/>
        </w:rPr>
      </w:pPr>
    </w:p>
    <w:p w14:paraId="087293B3">
      <w:pPr>
        <w:spacing w:line="247" w:lineRule="auto"/>
        <w:rPr>
          <w:rFonts w:ascii="Arial"/>
          <w:color w:val="auto"/>
          <w:sz w:val="21"/>
          <w:highlight w:val="none"/>
        </w:rPr>
      </w:pPr>
    </w:p>
    <w:p w14:paraId="206B4762">
      <w:pPr>
        <w:spacing w:line="247" w:lineRule="auto"/>
        <w:rPr>
          <w:rFonts w:ascii="Arial"/>
          <w:color w:val="auto"/>
          <w:sz w:val="21"/>
          <w:highlight w:val="none"/>
        </w:rPr>
      </w:pPr>
    </w:p>
    <w:p w14:paraId="39882D12">
      <w:pPr>
        <w:spacing w:line="247" w:lineRule="auto"/>
        <w:rPr>
          <w:rFonts w:ascii="Arial"/>
          <w:color w:val="auto"/>
          <w:sz w:val="21"/>
          <w:highlight w:val="none"/>
        </w:rPr>
      </w:pPr>
    </w:p>
    <w:p w14:paraId="552C311C">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46309AE1">
      <w:pPr>
        <w:spacing w:before="177" w:line="345" w:lineRule="auto"/>
        <w:ind w:left="50" w:right="1356"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67EBF9D">
      <w:pPr>
        <w:spacing w:line="345" w:lineRule="auto"/>
        <w:rPr>
          <w:rFonts w:ascii="新宋体" w:hAnsi="新宋体" w:eastAsia="新宋体" w:cs="新宋体"/>
          <w:color w:val="auto"/>
          <w:sz w:val="24"/>
          <w:szCs w:val="24"/>
          <w:highlight w:val="none"/>
        </w:rPr>
        <w:sectPr>
          <w:footerReference r:id="rId28" w:type="default"/>
          <w:pgSz w:w="11905" w:h="16839"/>
          <w:pgMar w:top="400" w:right="1785" w:bottom="1250" w:left="1098" w:header="0" w:footer="1090" w:gutter="0"/>
          <w:pgNumType w:fmt="numberInDash"/>
          <w:cols w:space="720" w:num="1"/>
        </w:sectPr>
      </w:pPr>
    </w:p>
    <w:p w14:paraId="3748365C">
      <w:pPr>
        <w:spacing w:line="319" w:lineRule="auto"/>
        <w:rPr>
          <w:rFonts w:ascii="Arial"/>
          <w:color w:val="auto"/>
          <w:sz w:val="21"/>
          <w:highlight w:val="none"/>
        </w:rPr>
      </w:pPr>
    </w:p>
    <w:p w14:paraId="1DE81732">
      <w:pPr>
        <w:spacing w:line="319" w:lineRule="auto"/>
        <w:rPr>
          <w:rFonts w:ascii="Arial"/>
          <w:color w:val="auto"/>
          <w:sz w:val="21"/>
          <w:highlight w:val="none"/>
        </w:rPr>
      </w:pPr>
    </w:p>
    <w:p w14:paraId="4C645E6D">
      <w:pPr>
        <w:spacing w:line="319" w:lineRule="auto"/>
        <w:rPr>
          <w:rFonts w:ascii="Arial"/>
          <w:color w:val="auto"/>
          <w:sz w:val="21"/>
          <w:highlight w:val="none"/>
        </w:rPr>
      </w:pPr>
    </w:p>
    <w:p w14:paraId="2F3618D8">
      <w:pPr>
        <w:pStyle w:val="8"/>
        <w:spacing w:before="120" w:line="184" w:lineRule="auto"/>
        <w:ind w:left="4006"/>
        <w:rPr>
          <w:color w:val="auto"/>
          <w:sz w:val="28"/>
          <w:szCs w:val="28"/>
          <w:highlight w:val="none"/>
        </w:rPr>
      </w:pPr>
      <w:r>
        <w:rPr>
          <w:b/>
          <w:bCs/>
          <w:color w:val="auto"/>
          <w:spacing w:val="-11"/>
          <w:sz w:val="28"/>
          <w:szCs w:val="28"/>
          <w:highlight w:val="none"/>
        </w:rPr>
        <w:t>（2）授权委托书</w:t>
      </w:r>
    </w:p>
    <w:p w14:paraId="0D0378E1">
      <w:pPr>
        <w:spacing w:before="171" w:line="352" w:lineRule="auto"/>
        <w:ind w:left="183" w:firstLine="455"/>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本授权委托书声明：我</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系</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的法定代表人，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现授权委托</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1"/>
          <w:sz w:val="24"/>
          <w:szCs w:val="24"/>
          <w:highlight w:val="none"/>
        </w:rPr>
        <w:t>的</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1"/>
          <w:sz w:val="24"/>
          <w:szCs w:val="24"/>
          <w:highlight w:val="none"/>
        </w:rPr>
        <w:t>为我的代理</w:t>
      </w:r>
      <w:r>
        <w:rPr>
          <w:rFonts w:ascii="新宋体" w:hAnsi="新宋体" w:eastAsia="新宋体" w:cs="新宋体"/>
          <w:color w:val="auto"/>
          <w:spacing w:val="-2"/>
          <w:sz w:val="24"/>
          <w:szCs w:val="24"/>
          <w:highlight w:val="none"/>
        </w:rPr>
        <w:t>人，以本单位的名义参</w:t>
      </w:r>
      <w:r>
        <w:rPr>
          <w:rFonts w:ascii="新宋体" w:hAnsi="新宋体" w:eastAsia="新宋体" w:cs="新宋体"/>
          <w:color w:val="auto"/>
          <w:sz w:val="24"/>
          <w:szCs w:val="24"/>
          <w:highlight w:val="none"/>
        </w:rPr>
        <w:t xml:space="preserve"> 加</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1"/>
          <w:sz w:val="24"/>
          <w:szCs w:val="24"/>
          <w:highlight w:val="none"/>
        </w:rPr>
        <w:t>投标活动。代理人在参加整个招标投标活动、合同签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订过程中所签署的一切文件和处理与之相关的一切事物，我均予承认。</w:t>
      </w:r>
    </w:p>
    <w:p w14:paraId="24A01AD5">
      <w:pPr>
        <w:spacing w:before="36" w:line="345" w:lineRule="auto"/>
        <w:ind w:left="638" w:right="1243" w:firstLine="30"/>
        <w:rPr>
          <w:rFonts w:ascii="新宋体" w:hAnsi="新宋体" w:eastAsia="新宋体" w:cs="新宋体"/>
          <w:color w:val="auto"/>
          <w:sz w:val="24"/>
          <w:szCs w:val="24"/>
          <w:highlight w:val="none"/>
        </w:rPr>
      </w:pPr>
      <w:r>
        <w:rPr>
          <w:color w:val="auto"/>
          <w:highlight w:val="none"/>
        </w:rPr>
        <w:pict>
          <v:shape id="_x0000_s1028" o:spid="_x0000_s1028" o:spt="202" type="#_x0000_t202" style="position:absolute;left:0pt;margin-left:-0.25pt;margin-top:54.9pt;height:152pt;width:236.75pt;z-index:251662336;mso-width-relative:page;mso-height-relative:page;" filled="f" stroked="f" coordsize="21600,21600">
            <v:path/>
            <v:fill on="f" focussize="0,0"/>
            <v:stroke on="f"/>
            <v:imagedata o:title=""/>
            <o:lock v:ext="edit" aspectratio="f"/>
            <v:textbox inset="0mm,0mm,0mm,0mm">
              <w:txbxContent>
                <w:p w14:paraId="6B3F3A0F">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1A515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C389A46">
                        <w:pPr>
                          <w:spacing w:line="312" w:lineRule="auto"/>
                          <w:rPr>
                            <w:rFonts w:ascii="Arial"/>
                            <w:sz w:val="21"/>
                          </w:rPr>
                        </w:pPr>
                      </w:p>
                      <w:p w14:paraId="287F2940">
                        <w:pPr>
                          <w:spacing w:line="313" w:lineRule="auto"/>
                          <w:rPr>
                            <w:rFonts w:ascii="Arial"/>
                            <w:sz w:val="21"/>
                          </w:rPr>
                        </w:pPr>
                      </w:p>
                      <w:p w14:paraId="0474F1CB">
                        <w:pPr>
                          <w:spacing w:line="313" w:lineRule="auto"/>
                          <w:rPr>
                            <w:rFonts w:ascii="Arial"/>
                            <w:sz w:val="21"/>
                          </w:rPr>
                        </w:pPr>
                      </w:p>
                      <w:p w14:paraId="345B32F8">
                        <w:pPr>
                          <w:pStyle w:val="16"/>
                          <w:spacing w:before="117" w:line="224" w:lineRule="auto"/>
                          <w:ind w:left="927"/>
                          <w:rPr>
                            <w:sz w:val="36"/>
                            <w:szCs w:val="36"/>
                          </w:rPr>
                        </w:pPr>
                        <w:r>
                          <w:rPr>
                            <w:spacing w:val="-4"/>
                            <w:sz w:val="36"/>
                            <w:szCs w:val="36"/>
                          </w:rPr>
                          <w:t>法定代表人身份证</w:t>
                        </w:r>
                      </w:p>
                      <w:p w14:paraId="33CBCE27">
                        <w:pPr>
                          <w:pStyle w:val="16"/>
                          <w:spacing w:before="30" w:line="225" w:lineRule="auto"/>
                          <w:ind w:left="1636"/>
                          <w:rPr>
                            <w:sz w:val="36"/>
                            <w:szCs w:val="36"/>
                          </w:rPr>
                        </w:pPr>
                        <w:r>
                          <w:rPr>
                            <w:spacing w:val="-9"/>
                            <w:sz w:val="36"/>
                            <w:szCs w:val="36"/>
                          </w:rPr>
                          <w:t>（正面）</w:t>
                        </w:r>
                      </w:p>
                    </w:tc>
                  </w:tr>
                </w:tbl>
                <w:p w14:paraId="7D5B8DC6">
                  <w:pPr>
                    <w:rPr>
                      <w:rFonts w:ascii="Arial"/>
                      <w:sz w:val="21"/>
                    </w:rPr>
                  </w:pPr>
                </w:p>
              </w:txbxContent>
            </v:textbox>
          </v:shape>
        </w:pict>
      </w:r>
      <w:r>
        <w:rPr>
          <w:color w:val="auto"/>
          <w:highlight w:val="none"/>
        </w:rPr>
        <w:pict>
          <v:shape id="_x0000_s1029" o:spid="_x0000_s1029" o:spt="202" type="#_x0000_t202" style="position:absolute;left:0pt;margin-left:-1pt;margin-top:213.1pt;height:152pt;width:236.75pt;z-index:251661312;mso-width-relative:page;mso-height-relative:page;" filled="f" stroked="f" coordsize="21600,21600">
            <v:path/>
            <v:fill on="f" focussize="0,0"/>
            <v:stroke on="f"/>
            <v:imagedata o:title=""/>
            <o:lock v:ext="edit" aspectratio="f"/>
            <v:textbox inset="0mm,0mm,0mm,0mm">
              <w:txbxContent>
                <w:p w14:paraId="0904E7E6">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F294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1BFAAD65">
                        <w:pPr>
                          <w:spacing w:line="312" w:lineRule="auto"/>
                          <w:rPr>
                            <w:rFonts w:ascii="Arial"/>
                            <w:sz w:val="21"/>
                          </w:rPr>
                        </w:pPr>
                      </w:p>
                      <w:p w14:paraId="6E06DA01">
                        <w:pPr>
                          <w:spacing w:line="313" w:lineRule="auto"/>
                          <w:rPr>
                            <w:rFonts w:ascii="Arial"/>
                            <w:sz w:val="21"/>
                          </w:rPr>
                        </w:pPr>
                      </w:p>
                      <w:p w14:paraId="282D968C">
                        <w:pPr>
                          <w:spacing w:line="313" w:lineRule="auto"/>
                          <w:rPr>
                            <w:rFonts w:ascii="Arial"/>
                            <w:sz w:val="21"/>
                          </w:rPr>
                        </w:pPr>
                      </w:p>
                      <w:p w14:paraId="552E712F">
                        <w:pPr>
                          <w:pStyle w:val="16"/>
                          <w:spacing w:before="117" w:line="224" w:lineRule="auto"/>
                          <w:ind w:left="927"/>
                          <w:rPr>
                            <w:sz w:val="36"/>
                            <w:szCs w:val="36"/>
                          </w:rPr>
                        </w:pPr>
                        <w:r>
                          <w:rPr>
                            <w:spacing w:val="-4"/>
                            <w:sz w:val="36"/>
                            <w:szCs w:val="36"/>
                          </w:rPr>
                          <w:t>法定代表人身份证</w:t>
                        </w:r>
                      </w:p>
                      <w:p w14:paraId="2073BC3C">
                        <w:pPr>
                          <w:pStyle w:val="16"/>
                          <w:spacing w:before="30" w:line="225" w:lineRule="auto"/>
                          <w:ind w:left="1636"/>
                          <w:rPr>
                            <w:sz w:val="36"/>
                            <w:szCs w:val="36"/>
                          </w:rPr>
                        </w:pPr>
                        <w:r>
                          <w:rPr>
                            <w:spacing w:val="-9"/>
                            <w:sz w:val="36"/>
                            <w:szCs w:val="36"/>
                          </w:rPr>
                          <w:t>（反面）</w:t>
                        </w:r>
                      </w:p>
                    </w:tc>
                  </w:tr>
                </w:tbl>
                <w:p w14:paraId="3B2A231A">
                  <w:pPr>
                    <w:rPr>
                      <w:rFonts w:ascii="Arial"/>
                      <w:sz w:val="21"/>
                    </w:rPr>
                  </w:pPr>
                </w:p>
              </w:txbxContent>
            </v:textbox>
          </v:shape>
        </w:pict>
      </w:r>
      <w:r>
        <w:rPr>
          <w:rFonts w:ascii="新宋体" w:hAnsi="新宋体" w:eastAsia="新宋体" w:cs="新宋体"/>
          <w:color w:val="auto"/>
          <w:spacing w:val="-7"/>
          <w:sz w:val="24"/>
          <w:szCs w:val="24"/>
          <w:highlight w:val="none"/>
        </w:rPr>
        <w:t>代理人：</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7"/>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7"/>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部</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6"/>
          <w:sz w:val="24"/>
          <w:szCs w:val="24"/>
          <w:highlight w:val="none"/>
        </w:rPr>
        <w:t>门：</w:t>
      </w:r>
      <w:r>
        <w:rPr>
          <w:rFonts w:ascii="新宋体" w:hAnsi="新宋体" w:eastAsia="新宋体" w:cs="新宋体"/>
          <w:color w:val="auto"/>
          <w:spacing w:val="-6"/>
          <w:sz w:val="24"/>
          <w:szCs w:val="24"/>
          <w:highlight w:val="none"/>
          <w:u w:val="single" w:color="auto"/>
        </w:rPr>
        <w:t xml:space="preserve">                    </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7"/>
          <w:sz w:val="24"/>
          <w:szCs w:val="24"/>
          <w:highlight w:val="none"/>
        </w:rPr>
        <w:t xml:space="preserve">  职务：</w:t>
      </w:r>
      <w:r>
        <w:rPr>
          <w:rFonts w:ascii="新宋体" w:hAnsi="新宋体" w:eastAsia="新宋体" w:cs="新宋体"/>
          <w:color w:val="auto"/>
          <w:spacing w:val="-7"/>
          <w:sz w:val="24"/>
          <w:szCs w:val="24"/>
          <w:highlight w:val="none"/>
          <w:u w:val="single" w:color="auto"/>
        </w:rPr>
        <w:t xml:space="preserve">              </w:t>
      </w:r>
    </w:p>
    <w:p w14:paraId="18B5B706">
      <w:pPr>
        <w:spacing w:line="184" w:lineRule="exact"/>
        <w:rPr>
          <w:color w:val="auto"/>
          <w:highlight w:val="none"/>
        </w:rPr>
      </w:pPr>
    </w:p>
    <w:tbl>
      <w:tblPr>
        <w:tblStyle w:val="15"/>
        <w:tblW w:w="4680" w:type="dxa"/>
        <w:tblInd w:w="50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01828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72D7838">
            <w:pPr>
              <w:spacing w:line="312" w:lineRule="auto"/>
              <w:rPr>
                <w:rFonts w:ascii="Arial"/>
                <w:color w:val="auto"/>
                <w:sz w:val="21"/>
                <w:highlight w:val="none"/>
              </w:rPr>
            </w:pPr>
          </w:p>
          <w:p w14:paraId="03AAE205">
            <w:pPr>
              <w:spacing w:line="313" w:lineRule="auto"/>
              <w:rPr>
                <w:rFonts w:ascii="Arial"/>
                <w:color w:val="auto"/>
                <w:sz w:val="21"/>
                <w:highlight w:val="none"/>
              </w:rPr>
            </w:pPr>
          </w:p>
          <w:p w14:paraId="57D96AC0">
            <w:pPr>
              <w:spacing w:line="313" w:lineRule="auto"/>
              <w:rPr>
                <w:rFonts w:ascii="Arial"/>
                <w:color w:val="auto"/>
                <w:sz w:val="21"/>
                <w:highlight w:val="none"/>
              </w:rPr>
            </w:pPr>
          </w:p>
          <w:p w14:paraId="721F771A">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51FD0F8D">
            <w:pPr>
              <w:pStyle w:val="16"/>
              <w:spacing w:before="30" w:line="225" w:lineRule="auto"/>
              <w:ind w:left="1636"/>
              <w:rPr>
                <w:color w:val="auto"/>
                <w:sz w:val="36"/>
                <w:szCs w:val="36"/>
                <w:highlight w:val="none"/>
              </w:rPr>
            </w:pPr>
            <w:r>
              <w:rPr>
                <w:color w:val="auto"/>
                <w:spacing w:val="-9"/>
                <w:sz w:val="36"/>
                <w:szCs w:val="36"/>
                <w:highlight w:val="none"/>
              </w:rPr>
              <w:t>（正面）</w:t>
            </w:r>
          </w:p>
        </w:tc>
      </w:tr>
    </w:tbl>
    <w:p w14:paraId="432F9E16">
      <w:pPr>
        <w:spacing w:line="164" w:lineRule="exact"/>
        <w:rPr>
          <w:color w:val="auto"/>
          <w:highlight w:val="none"/>
        </w:rPr>
      </w:pPr>
    </w:p>
    <w:tbl>
      <w:tblPr>
        <w:tblStyle w:val="15"/>
        <w:tblW w:w="4679" w:type="dxa"/>
        <w:tblInd w:w="504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6F2170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7E65E9DE">
            <w:pPr>
              <w:spacing w:line="312" w:lineRule="auto"/>
              <w:rPr>
                <w:rFonts w:ascii="Arial"/>
                <w:color w:val="auto"/>
                <w:sz w:val="21"/>
                <w:highlight w:val="none"/>
              </w:rPr>
            </w:pPr>
          </w:p>
          <w:p w14:paraId="15A76DE2">
            <w:pPr>
              <w:spacing w:line="313" w:lineRule="auto"/>
              <w:rPr>
                <w:rFonts w:ascii="Arial"/>
                <w:color w:val="auto"/>
                <w:sz w:val="21"/>
                <w:highlight w:val="none"/>
              </w:rPr>
            </w:pPr>
          </w:p>
          <w:p w14:paraId="4B312D02">
            <w:pPr>
              <w:spacing w:line="313" w:lineRule="auto"/>
              <w:rPr>
                <w:rFonts w:ascii="Arial"/>
                <w:color w:val="auto"/>
                <w:sz w:val="21"/>
                <w:highlight w:val="none"/>
              </w:rPr>
            </w:pPr>
          </w:p>
          <w:p w14:paraId="2EEF765C">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3C9DD1C0">
            <w:pPr>
              <w:pStyle w:val="16"/>
              <w:spacing w:before="30" w:line="225" w:lineRule="auto"/>
              <w:ind w:left="1636"/>
              <w:rPr>
                <w:color w:val="auto"/>
                <w:sz w:val="36"/>
                <w:szCs w:val="36"/>
                <w:highlight w:val="none"/>
              </w:rPr>
            </w:pPr>
            <w:r>
              <w:rPr>
                <w:color w:val="auto"/>
                <w:spacing w:val="-9"/>
                <w:sz w:val="36"/>
                <w:szCs w:val="36"/>
                <w:highlight w:val="none"/>
              </w:rPr>
              <w:t>（反面）</w:t>
            </w:r>
          </w:p>
        </w:tc>
      </w:tr>
    </w:tbl>
    <w:p w14:paraId="64C352F3">
      <w:pPr>
        <w:spacing w:line="304" w:lineRule="auto"/>
        <w:rPr>
          <w:rFonts w:ascii="Arial"/>
          <w:color w:val="auto"/>
          <w:sz w:val="21"/>
          <w:highlight w:val="none"/>
        </w:rPr>
      </w:pPr>
    </w:p>
    <w:p w14:paraId="241E679A">
      <w:pPr>
        <w:spacing w:line="305" w:lineRule="auto"/>
        <w:rPr>
          <w:rFonts w:ascii="Arial"/>
          <w:color w:val="auto"/>
          <w:sz w:val="21"/>
          <w:highlight w:val="none"/>
        </w:rPr>
      </w:pPr>
    </w:p>
    <w:p w14:paraId="071A99BA">
      <w:pPr>
        <w:spacing w:before="78" w:line="223" w:lineRule="auto"/>
        <w:ind w:left="1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129E5C0">
      <w:pPr>
        <w:spacing w:before="177" w:line="345" w:lineRule="auto"/>
        <w:ind w:left="234" w:right="2203"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6428CD2">
      <w:pPr>
        <w:spacing w:line="345" w:lineRule="auto"/>
        <w:rPr>
          <w:rFonts w:ascii="新宋体" w:hAnsi="新宋体" w:eastAsia="新宋体" w:cs="新宋体"/>
          <w:color w:val="auto"/>
          <w:sz w:val="24"/>
          <w:szCs w:val="24"/>
          <w:highlight w:val="none"/>
        </w:rPr>
      </w:pPr>
    </w:p>
    <w:p w14:paraId="437D1078">
      <w:pPr>
        <w:pStyle w:val="7"/>
        <w:rPr>
          <w:rFonts w:hint="eastAsia" w:ascii="新宋体" w:hAnsi="新宋体" w:eastAsia="新宋体" w:cs="新宋体"/>
          <w:color w:val="auto"/>
          <w:sz w:val="24"/>
          <w:szCs w:val="24"/>
          <w:highlight w:val="none"/>
          <w:lang w:val="en-US" w:eastAsia="zh-CN"/>
        </w:rPr>
        <w:sectPr>
          <w:footerReference r:id="rId29" w:type="default"/>
          <w:pgSz w:w="11905" w:h="16839"/>
          <w:pgMar w:top="400" w:right="938" w:bottom="1250" w:left="914" w:header="0" w:footer="1090" w:gutter="0"/>
          <w:pgNumType w:fmt="numberInDash"/>
          <w:cols w:space="720" w:num="1"/>
        </w:sectPr>
      </w:pPr>
      <w:r>
        <w:rPr>
          <w:rFonts w:hint="eastAsia" w:ascii="新宋体" w:hAnsi="新宋体" w:eastAsia="新宋体" w:cs="新宋体"/>
          <w:color w:val="auto"/>
          <w:sz w:val="24"/>
          <w:szCs w:val="24"/>
          <w:highlight w:val="none"/>
          <w:lang w:val="en-US" w:eastAsia="zh-CN"/>
        </w:rPr>
        <w:t>注：法定代表人和授权代表均须签字或加盖个人名章，并加盖单位公章，否则按无效标处理。</w:t>
      </w:r>
    </w:p>
    <w:p w14:paraId="638B78A9">
      <w:pPr>
        <w:spacing w:line="319" w:lineRule="auto"/>
        <w:rPr>
          <w:rFonts w:ascii="Arial"/>
          <w:color w:val="auto"/>
          <w:sz w:val="21"/>
          <w:highlight w:val="none"/>
        </w:rPr>
      </w:pPr>
    </w:p>
    <w:p w14:paraId="51A61463">
      <w:pPr>
        <w:spacing w:line="319" w:lineRule="auto"/>
        <w:rPr>
          <w:rFonts w:ascii="Arial"/>
          <w:color w:val="auto"/>
          <w:sz w:val="21"/>
          <w:highlight w:val="none"/>
        </w:rPr>
      </w:pPr>
    </w:p>
    <w:p w14:paraId="0258CB59">
      <w:pPr>
        <w:spacing w:line="320" w:lineRule="auto"/>
        <w:rPr>
          <w:rFonts w:ascii="Arial"/>
          <w:color w:val="auto"/>
          <w:sz w:val="21"/>
          <w:highlight w:val="none"/>
        </w:rPr>
      </w:pPr>
    </w:p>
    <w:p w14:paraId="0192DD17">
      <w:pPr>
        <w:pStyle w:val="8"/>
        <w:spacing w:before="120" w:line="188" w:lineRule="auto"/>
        <w:ind w:left="3529"/>
        <w:rPr>
          <w:color w:val="auto"/>
          <w:sz w:val="28"/>
          <w:szCs w:val="28"/>
          <w:highlight w:val="none"/>
        </w:rPr>
      </w:pPr>
      <w:r>
        <w:rPr>
          <w:b/>
          <w:bCs/>
          <w:color w:val="auto"/>
          <w:spacing w:val="-5"/>
          <w:sz w:val="28"/>
          <w:szCs w:val="28"/>
          <w:highlight w:val="none"/>
        </w:rPr>
        <w:t>2、投标单位基本情况</w:t>
      </w:r>
    </w:p>
    <w:p w14:paraId="15895EEB">
      <w:pPr>
        <w:pStyle w:val="8"/>
        <w:spacing w:before="161" w:line="188" w:lineRule="auto"/>
        <w:ind w:left="4022"/>
        <w:rPr>
          <w:color w:val="auto"/>
          <w:sz w:val="24"/>
          <w:szCs w:val="24"/>
          <w:highlight w:val="none"/>
        </w:rPr>
      </w:pPr>
      <w:r>
        <w:rPr>
          <w:b/>
          <w:bCs/>
          <w:color w:val="auto"/>
          <w:spacing w:val="-3"/>
          <w:sz w:val="24"/>
          <w:szCs w:val="24"/>
          <w:highlight w:val="none"/>
        </w:rPr>
        <w:t>企业信息一览表</w:t>
      </w:r>
    </w:p>
    <w:p w14:paraId="131E11C5">
      <w:pPr>
        <w:spacing w:line="106" w:lineRule="exact"/>
        <w:rPr>
          <w:color w:val="auto"/>
          <w:highlight w:val="none"/>
        </w:rPr>
      </w:pPr>
    </w:p>
    <w:tbl>
      <w:tblPr>
        <w:tblStyle w:val="15"/>
        <w:tblW w:w="96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1216"/>
        <w:gridCol w:w="1216"/>
        <w:gridCol w:w="1216"/>
        <w:gridCol w:w="1216"/>
        <w:gridCol w:w="1216"/>
        <w:gridCol w:w="1862"/>
      </w:tblGrid>
      <w:tr w14:paraId="7D8A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39" w:type="dxa"/>
            <w:vAlign w:val="top"/>
          </w:tcPr>
          <w:p w14:paraId="21DEAF40">
            <w:pPr>
              <w:spacing w:line="244" w:lineRule="auto"/>
              <w:rPr>
                <w:rFonts w:ascii="Arial"/>
                <w:color w:val="auto"/>
                <w:sz w:val="21"/>
                <w:highlight w:val="none"/>
              </w:rPr>
            </w:pPr>
          </w:p>
          <w:p w14:paraId="5371EE95">
            <w:pPr>
              <w:pStyle w:val="16"/>
              <w:spacing w:before="78" w:line="224" w:lineRule="auto"/>
              <w:ind w:left="158"/>
              <w:rPr>
                <w:color w:val="auto"/>
                <w:highlight w:val="none"/>
              </w:rPr>
            </w:pPr>
            <w:r>
              <w:rPr>
                <w:color w:val="auto"/>
                <w:spacing w:val="-3"/>
                <w:highlight w:val="none"/>
              </w:rPr>
              <w:t>投标单位名称</w:t>
            </w:r>
          </w:p>
        </w:tc>
        <w:tc>
          <w:tcPr>
            <w:tcW w:w="7942" w:type="dxa"/>
            <w:gridSpan w:val="6"/>
            <w:vAlign w:val="top"/>
          </w:tcPr>
          <w:p w14:paraId="1FAF8891">
            <w:pPr>
              <w:rPr>
                <w:rFonts w:ascii="Arial"/>
                <w:color w:val="auto"/>
                <w:sz w:val="21"/>
                <w:highlight w:val="none"/>
              </w:rPr>
            </w:pPr>
          </w:p>
        </w:tc>
      </w:tr>
      <w:tr w14:paraId="099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739" w:type="dxa"/>
            <w:vAlign w:val="top"/>
          </w:tcPr>
          <w:p w14:paraId="550523B1">
            <w:pPr>
              <w:spacing w:line="245" w:lineRule="auto"/>
              <w:rPr>
                <w:rFonts w:ascii="Arial"/>
                <w:color w:val="auto"/>
                <w:sz w:val="21"/>
                <w:highlight w:val="none"/>
              </w:rPr>
            </w:pPr>
          </w:p>
          <w:p w14:paraId="3EAB50E1">
            <w:pPr>
              <w:pStyle w:val="16"/>
              <w:spacing w:before="78" w:line="225" w:lineRule="auto"/>
              <w:ind w:left="405"/>
              <w:rPr>
                <w:color w:val="auto"/>
                <w:highlight w:val="none"/>
              </w:rPr>
            </w:pPr>
            <w:r>
              <w:rPr>
                <w:color w:val="auto"/>
                <w:spacing w:val="-5"/>
                <w:highlight w:val="none"/>
              </w:rPr>
              <w:t>注册地址</w:t>
            </w:r>
          </w:p>
        </w:tc>
        <w:tc>
          <w:tcPr>
            <w:tcW w:w="3648" w:type="dxa"/>
            <w:gridSpan w:val="3"/>
            <w:vAlign w:val="top"/>
          </w:tcPr>
          <w:p w14:paraId="5112606A">
            <w:pPr>
              <w:rPr>
                <w:rFonts w:ascii="Arial"/>
                <w:color w:val="auto"/>
                <w:sz w:val="21"/>
                <w:highlight w:val="none"/>
              </w:rPr>
            </w:pPr>
          </w:p>
        </w:tc>
        <w:tc>
          <w:tcPr>
            <w:tcW w:w="1216" w:type="dxa"/>
            <w:vAlign w:val="top"/>
          </w:tcPr>
          <w:p w14:paraId="2125CF92">
            <w:pPr>
              <w:spacing w:line="245" w:lineRule="auto"/>
              <w:rPr>
                <w:rFonts w:ascii="Arial"/>
                <w:color w:val="auto"/>
                <w:sz w:val="21"/>
                <w:highlight w:val="none"/>
              </w:rPr>
            </w:pPr>
          </w:p>
          <w:p w14:paraId="589E4337">
            <w:pPr>
              <w:pStyle w:val="16"/>
              <w:spacing w:before="78" w:line="224" w:lineRule="auto"/>
              <w:ind w:left="157"/>
              <w:rPr>
                <w:color w:val="auto"/>
                <w:highlight w:val="none"/>
              </w:rPr>
            </w:pPr>
            <w:r>
              <w:rPr>
                <w:color w:val="auto"/>
                <w:spacing w:val="-7"/>
                <w:highlight w:val="none"/>
              </w:rPr>
              <w:t>邮政编码</w:t>
            </w:r>
          </w:p>
        </w:tc>
        <w:tc>
          <w:tcPr>
            <w:tcW w:w="3078" w:type="dxa"/>
            <w:gridSpan w:val="2"/>
            <w:vAlign w:val="top"/>
          </w:tcPr>
          <w:p w14:paraId="24B78352">
            <w:pPr>
              <w:rPr>
                <w:rFonts w:ascii="Arial"/>
                <w:color w:val="auto"/>
                <w:sz w:val="21"/>
                <w:highlight w:val="none"/>
              </w:rPr>
            </w:pPr>
          </w:p>
        </w:tc>
      </w:tr>
      <w:tr w14:paraId="49E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39" w:type="dxa"/>
            <w:vMerge w:val="restart"/>
            <w:tcBorders>
              <w:bottom w:val="nil"/>
            </w:tcBorders>
            <w:vAlign w:val="top"/>
          </w:tcPr>
          <w:p w14:paraId="3880B62E">
            <w:pPr>
              <w:spacing w:line="431" w:lineRule="auto"/>
              <w:rPr>
                <w:rFonts w:ascii="Arial"/>
                <w:color w:val="auto"/>
                <w:sz w:val="21"/>
                <w:highlight w:val="none"/>
              </w:rPr>
            </w:pPr>
          </w:p>
          <w:p w14:paraId="2D994B96">
            <w:pPr>
              <w:pStyle w:val="16"/>
              <w:spacing w:before="78" w:line="225" w:lineRule="auto"/>
              <w:ind w:left="396"/>
              <w:rPr>
                <w:color w:val="auto"/>
                <w:highlight w:val="none"/>
              </w:rPr>
            </w:pPr>
            <w:r>
              <w:rPr>
                <w:color w:val="auto"/>
                <w:spacing w:val="-3"/>
                <w:highlight w:val="none"/>
              </w:rPr>
              <w:t>联系方式</w:t>
            </w:r>
          </w:p>
        </w:tc>
        <w:tc>
          <w:tcPr>
            <w:tcW w:w="1216" w:type="dxa"/>
            <w:vAlign w:val="top"/>
          </w:tcPr>
          <w:p w14:paraId="53035D76">
            <w:pPr>
              <w:pStyle w:val="16"/>
              <w:spacing w:before="186" w:line="226" w:lineRule="auto"/>
              <w:ind w:left="253"/>
              <w:rPr>
                <w:color w:val="auto"/>
                <w:highlight w:val="none"/>
              </w:rPr>
            </w:pPr>
            <w:r>
              <w:rPr>
                <w:color w:val="auto"/>
                <w:spacing w:val="-3"/>
                <w:highlight w:val="none"/>
              </w:rPr>
              <w:t>联系人</w:t>
            </w:r>
          </w:p>
        </w:tc>
        <w:tc>
          <w:tcPr>
            <w:tcW w:w="2432" w:type="dxa"/>
            <w:gridSpan w:val="2"/>
            <w:vAlign w:val="top"/>
          </w:tcPr>
          <w:p w14:paraId="24EAC4CE">
            <w:pPr>
              <w:rPr>
                <w:rFonts w:ascii="Arial"/>
                <w:color w:val="auto"/>
                <w:sz w:val="21"/>
                <w:highlight w:val="none"/>
              </w:rPr>
            </w:pPr>
          </w:p>
        </w:tc>
        <w:tc>
          <w:tcPr>
            <w:tcW w:w="1216" w:type="dxa"/>
            <w:vAlign w:val="top"/>
          </w:tcPr>
          <w:p w14:paraId="067DE417">
            <w:pPr>
              <w:pStyle w:val="16"/>
              <w:spacing w:before="186" w:line="226" w:lineRule="auto"/>
              <w:ind w:left="137"/>
              <w:rPr>
                <w:color w:val="auto"/>
                <w:highlight w:val="none"/>
              </w:rPr>
            </w:pPr>
            <w:r>
              <w:rPr>
                <w:color w:val="auto"/>
                <w:spacing w:val="-3"/>
                <w:highlight w:val="none"/>
              </w:rPr>
              <w:t>联系电话</w:t>
            </w:r>
          </w:p>
        </w:tc>
        <w:tc>
          <w:tcPr>
            <w:tcW w:w="3078" w:type="dxa"/>
            <w:gridSpan w:val="2"/>
            <w:vAlign w:val="top"/>
          </w:tcPr>
          <w:p w14:paraId="37C7C48A">
            <w:pPr>
              <w:rPr>
                <w:rFonts w:ascii="Arial"/>
                <w:color w:val="auto"/>
                <w:sz w:val="21"/>
                <w:highlight w:val="none"/>
              </w:rPr>
            </w:pPr>
          </w:p>
        </w:tc>
      </w:tr>
      <w:tr w14:paraId="60F1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39" w:type="dxa"/>
            <w:vMerge w:val="continue"/>
            <w:tcBorders>
              <w:top w:val="nil"/>
            </w:tcBorders>
            <w:vAlign w:val="top"/>
          </w:tcPr>
          <w:p w14:paraId="7811F2B0">
            <w:pPr>
              <w:rPr>
                <w:rFonts w:ascii="Arial"/>
                <w:color w:val="auto"/>
                <w:sz w:val="21"/>
                <w:highlight w:val="none"/>
              </w:rPr>
            </w:pPr>
          </w:p>
        </w:tc>
        <w:tc>
          <w:tcPr>
            <w:tcW w:w="1216" w:type="dxa"/>
            <w:vAlign w:val="top"/>
          </w:tcPr>
          <w:p w14:paraId="4BDDAA20">
            <w:pPr>
              <w:pStyle w:val="16"/>
              <w:spacing w:before="199" w:line="223" w:lineRule="auto"/>
              <w:ind w:left="379"/>
              <w:rPr>
                <w:color w:val="auto"/>
                <w:highlight w:val="none"/>
              </w:rPr>
            </w:pPr>
            <w:r>
              <w:rPr>
                <w:color w:val="auto"/>
                <w:spacing w:val="-5"/>
                <w:highlight w:val="none"/>
              </w:rPr>
              <w:t>传真</w:t>
            </w:r>
          </w:p>
        </w:tc>
        <w:tc>
          <w:tcPr>
            <w:tcW w:w="2432" w:type="dxa"/>
            <w:gridSpan w:val="2"/>
            <w:vAlign w:val="top"/>
          </w:tcPr>
          <w:p w14:paraId="279B307A">
            <w:pPr>
              <w:rPr>
                <w:rFonts w:ascii="Arial"/>
                <w:color w:val="auto"/>
                <w:sz w:val="21"/>
                <w:highlight w:val="none"/>
              </w:rPr>
            </w:pPr>
          </w:p>
        </w:tc>
        <w:tc>
          <w:tcPr>
            <w:tcW w:w="1216" w:type="dxa"/>
            <w:vAlign w:val="top"/>
          </w:tcPr>
          <w:p w14:paraId="02AA24B7">
            <w:pPr>
              <w:pStyle w:val="16"/>
              <w:spacing w:before="199" w:line="224" w:lineRule="auto"/>
              <w:ind w:left="397"/>
              <w:rPr>
                <w:color w:val="auto"/>
                <w:highlight w:val="none"/>
              </w:rPr>
            </w:pPr>
            <w:r>
              <w:rPr>
                <w:color w:val="auto"/>
                <w:spacing w:val="-9"/>
                <w:highlight w:val="none"/>
              </w:rPr>
              <w:t>邮箱</w:t>
            </w:r>
          </w:p>
        </w:tc>
        <w:tc>
          <w:tcPr>
            <w:tcW w:w="3078" w:type="dxa"/>
            <w:gridSpan w:val="2"/>
            <w:vAlign w:val="top"/>
          </w:tcPr>
          <w:p w14:paraId="3C3D2326">
            <w:pPr>
              <w:rPr>
                <w:rFonts w:ascii="Arial"/>
                <w:color w:val="auto"/>
                <w:sz w:val="21"/>
                <w:highlight w:val="none"/>
              </w:rPr>
            </w:pPr>
          </w:p>
        </w:tc>
      </w:tr>
      <w:tr w14:paraId="7C03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39" w:type="dxa"/>
            <w:vAlign w:val="top"/>
          </w:tcPr>
          <w:p w14:paraId="1883874B">
            <w:pPr>
              <w:pStyle w:val="16"/>
              <w:spacing w:before="223" w:line="224" w:lineRule="auto"/>
              <w:ind w:left="399"/>
              <w:rPr>
                <w:color w:val="auto"/>
                <w:highlight w:val="none"/>
              </w:rPr>
            </w:pPr>
            <w:r>
              <w:rPr>
                <w:color w:val="auto"/>
                <w:spacing w:val="-4"/>
                <w:highlight w:val="none"/>
              </w:rPr>
              <w:t>企业性质</w:t>
            </w:r>
          </w:p>
        </w:tc>
        <w:tc>
          <w:tcPr>
            <w:tcW w:w="7942" w:type="dxa"/>
            <w:gridSpan w:val="6"/>
            <w:vAlign w:val="top"/>
          </w:tcPr>
          <w:p w14:paraId="556E7191">
            <w:pPr>
              <w:rPr>
                <w:rFonts w:ascii="Arial"/>
                <w:color w:val="auto"/>
                <w:sz w:val="21"/>
                <w:highlight w:val="none"/>
              </w:rPr>
            </w:pPr>
          </w:p>
        </w:tc>
      </w:tr>
      <w:tr w14:paraId="0872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39" w:type="dxa"/>
            <w:vAlign w:val="top"/>
          </w:tcPr>
          <w:p w14:paraId="080E317C">
            <w:pPr>
              <w:pStyle w:val="16"/>
              <w:spacing w:before="160" w:line="224" w:lineRule="auto"/>
              <w:ind w:left="286"/>
              <w:rPr>
                <w:color w:val="auto"/>
                <w:highlight w:val="none"/>
              </w:rPr>
            </w:pPr>
            <w:r>
              <w:rPr>
                <w:color w:val="auto"/>
                <w:spacing w:val="-4"/>
                <w:highlight w:val="none"/>
              </w:rPr>
              <w:t>法定代表人</w:t>
            </w:r>
          </w:p>
        </w:tc>
        <w:tc>
          <w:tcPr>
            <w:tcW w:w="1216" w:type="dxa"/>
            <w:vAlign w:val="top"/>
          </w:tcPr>
          <w:p w14:paraId="142E3B44">
            <w:pPr>
              <w:pStyle w:val="16"/>
              <w:spacing w:before="160" w:line="224" w:lineRule="auto"/>
              <w:ind w:left="376"/>
              <w:rPr>
                <w:color w:val="auto"/>
                <w:highlight w:val="none"/>
              </w:rPr>
            </w:pPr>
            <w:r>
              <w:rPr>
                <w:color w:val="auto"/>
                <w:spacing w:val="-4"/>
                <w:highlight w:val="none"/>
              </w:rPr>
              <w:t>姓名</w:t>
            </w:r>
          </w:p>
        </w:tc>
        <w:tc>
          <w:tcPr>
            <w:tcW w:w="1216" w:type="dxa"/>
            <w:vAlign w:val="top"/>
          </w:tcPr>
          <w:p w14:paraId="4C4C59EE">
            <w:pPr>
              <w:rPr>
                <w:rFonts w:ascii="Arial"/>
                <w:color w:val="auto"/>
                <w:sz w:val="21"/>
                <w:highlight w:val="none"/>
              </w:rPr>
            </w:pPr>
          </w:p>
        </w:tc>
        <w:tc>
          <w:tcPr>
            <w:tcW w:w="1216" w:type="dxa"/>
            <w:vAlign w:val="top"/>
          </w:tcPr>
          <w:p w14:paraId="5B2E02FE">
            <w:pPr>
              <w:pStyle w:val="16"/>
              <w:spacing w:before="160" w:line="224" w:lineRule="auto"/>
              <w:ind w:left="139"/>
              <w:rPr>
                <w:color w:val="auto"/>
                <w:highlight w:val="none"/>
              </w:rPr>
            </w:pPr>
            <w:r>
              <w:rPr>
                <w:color w:val="auto"/>
                <w:spacing w:val="-4"/>
                <w:highlight w:val="none"/>
              </w:rPr>
              <w:t>技术职称</w:t>
            </w:r>
          </w:p>
        </w:tc>
        <w:tc>
          <w:tcPr>
            <w:tcW w:w="1216" w:type="dxa"/>
            <w:vAlign w:val="top"/>
          </w:tcPr>
          <w:p w14:paraId="00C49BCE">
            <w:pPr>
              <w:rPr>
                <w:rFonts w:ascii="Arial"/>
                <w:color w:val="auto"/>
                <w:sz w:val="21"/>
                <w:highlight w:val="none"/>
              </w:rPr>
            </w:pPr>
          </w:p>
        </w:tc>
        <w:tc>
          <w:tcPr>
            <w:tcW w:w="1216" w:type="dxa"/>
            <w:vAlign w:val="top"/>
          </w:tcPr>
          <w:p w14:paraId="771625B1">
            <w:pPr>
              <w:pStyle w:val="16"/>
              <w:spacing w:before="160" w:line="226" w:lineRule="auto"/>
              <w:ind w:left="408"/>
              <w:rPr>
                <w:color w:val="auto"/>
                <w:highlight w:val="none"/>
              </w:rPr>
            </w:pPr>
            <w:r>
              <w:rPr>
                <w:color w:val="auto"/>
                <w:spacing w:val="-11"/>
                <w:highlight w:val="none"/>
              </w:rPr>
              <w:t>电话</w:t>
            </w:r>
          </w:p>
        </w:tc>
        <w:tc>
          <w:tcPr>
            <w:tcW w:w="1862" w:type="dxa"/>
            <w:vAlign w:val="top"/>
          </w:tcPr>
          <w:p w14:paraId="468CCAD1">
            <w:pPr>
              <w:rPr>
                <w:rFonts w:ascii="Arial"/>
                <w:color w:val="auto"/>
                <w:sz w:val="21"/>
                <w:highlight w:val="none"/>
              </w:rPr>
            </w:pPr>
          </w:p>
        </w:tc>
      </w:tr>
      <w:tr w14:paraId="5340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39" w:type="dxa"/>
            <w:vAlign w:val="top"/>
          </w:tcPr>
          <w:p w14:paraId="5F1263F0">
            <w:pPr>
              <w:pStyle w:val="16"/>
              <w:spacing w:before="183" w:line="224" w:lineRule="auto"/>
              <w:ind w:left="279"/>
              <w:rPr>
                <w:color w:val="auto"/>
                <w:highlight w:val="none"/>
              </w:rPr>
            </w:pPr>
            <w:r>
              <w:rPr>
                <w:color w:val="auto"/>
                <w:spacing w:val="-3"/>
                <w:highlight w:val="none"/>
              </w:rPr>
              <w:t>技术负责人</w:t>
            </w:r>
          </w:p>
        </w:tc>
        <w:tc>
          <w:tcPr>
            <w:tcW w:w="1216" w:type="dxa"/>
            <w:vAlign w:val="top"/>
          </w:tcPr>
          <w:p w14:paraId="6AFB2614">
            <w:pPr>
              <w:pStyle w:val="16"/>
              <w:spacing w:before="183" w:line="224" w:lineRule="auto"/>
              <w:ind w:left="376"/>
              <w:rPr>
                <w:color w:val="auto"/>
                <w:highlight w:val="none"/>
              </w:rPr>
            </w:pPr>
            <w:r>
              <w:rPr>
                <w:color w:val="auto"/>
                <w:spacing w:val="-4"/>
                <w:highlight w:val="none"/>
              </w:rPr>
              <w:t>姓名</w:t>
            </w:r>
          </w:p>
        </w:tc>
        <w:tc>
          <w:tcPr>
            <w:tcW w:w="1216" w:type="dxa"/>
            <w:vAlign w:val="top"/>
          </w:tcPr>
          <w:p w14:paraId="2FBE7809">
            <w:pPr>
              <w:rPr>
                <w:rFonts w:ascii="Arial"/>
                <w:color w:val="auto"/>
                <w:sz w:val="21"/>
                <w:highlight w:val="none"/>
              </w:rPr>
            </w:pPr>
          </w:p>
        </w:tc>
        <w:tc>
          <w:tcPr>
            <w:tcW w:w="1216" w:type="dxa"/>
            <w:vAlign w:val="top"/>
          </w:tcPr>
          <w:p w14:paraId="184ACB81">
            <w:pPr>
              <w:pStyle w:val="16"/>
              <w:spacing w:before="183" w:line="224" w:lineRule="auto"/>
              <w:ind w:left="139"/>
              <w:rPr>
                <w:color w:val="auto"/>
                <w:highlight w:val="none"/>
              </w:rPr>
            </w:pPr>
            <w:r>
              <w:rPr>
                <w:color w:val="auto"/>
                <w:spacing w:val="-4"/>
                <w:highlight w:val="none"/>
              </w:rPr>
              <w:t>技术职称</w:t>
            </w:r>
          </w:p>
        </w:tc>
        <w:tc>
          <w:tcPr>
            <w:tcW w:w="1216" w:type="dxa"/>
            <w:vAlign w:val="top"/>
          </w:tcPr>
          <w:p w14:paraId="6AC0F6CD">
            <w:pPr>
              <w:rPr>
                <w:rFonts w:ascii="Arial"/>
                <w:color w:val="auto"/>
                <w:sz w:val="21"/>
                <w:highlight w:val="none"/>
              </w:rPr>
            </w:pPr>
          </w:p>
        </w:tc>
        <w:tc>
          <w:tcPr>
            <w:tcW w:w="1216" w:type="dxa"/>
            <w:vAlign w:val="top"/>
          </w:tcPr>
          <w:p w14:paraId="72DAB2DF">
            <w:pPr>
              <w:pStyle w:val="16"/>
              <w:spacing w:before="183" w:line="226" w:lineRule="auto"/>
              <w:ind w:left="408"/>
              <w:rPr>
                <w:color w:val="auto"/>
                <w:highlight w:val="none"/>
              </w:rPr>
            </w:pPr>
            <w:r>
              <w:rPr>
                <w:color w:val="auto"/>
                <w:spacing w:val="-11"/>
                <w:highlight w:val="none"/>
              </w:rPr>
              <w:t>电话</w:t>
            </w:r>
          </w:p>
        </w:tc>
        <w:tc>
          <w:tcPr>
            <w:tcW w:w="1862" w:type="dxa"/>
            <w:vAlign w:val="top"/>
          </w:tcPr>
          <w:p w14:paraId="16022152">
            <w:pPr>
              <w:rPr>
                <w:rFonts w:ascii="Arial"/>
                <w:color w:val="auto"/>
                <w:sz w:val="21"/>
                <w:highlight w:val="none"/>
              </w:rPr>
            </w:pPr>
          </w:p>
        </w:tc>
      </w:tr>
      <w:tr w14:paraId="16B6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39" w:type="dxa"/>
            <w:vAlign w:val="top"/>
          </w:tcPr>
          <w:p w14:paraId="5804FE10">
            <w:pPr>
              <w:pStyle w:val="16"/>
              <w:spacing w:before="230" w:line="225" w:lineRule="auto"/>
              <w:ind w:left="402"/>
              <w:rPr>
                <w:color w:val="auto"/>
                <w:highlight w:val="none"/>
              </w:rPr>
            </w:pPr>
            <w:r>
              <w:rPr>
                <w:color w:val="auto"/>
                <w:spacing w:val="-4"/>
                <w:highlight w:val="none"/>
              </w:rPr>
              <w:t>成立时间</w:t>
            </w:r>
          </w:p>
        </w:tc>
        <w:tc>
          <w:tcPr>
            <w:tcW w:w="2432" w:type="dxa"/>
            <w:gridSpan w:val="2"/>
            <w:vAlign w:val="top"/>
          </w:tcPr>
          <w:p w14:paraId="0515B914">
            <w:pPr>
              <w:rPr>
                <w:rFonts w:ascii="Arial"/>
                <w:color w:val="auto"/>
                <w:sz w:val="21"/>
                <w:highlight w:val="none"/>
              </w:rPr>
            </w:pPr>
          </w:p>
        </w:tc>
        <w:tc>
          <w:tcPr>
            <w:tcW w:w="5510" w:type="dxa"/>
            <w:gridSpan w:val="4"/>
            <w:vAlign w:val="top"/>
          </w:tcPr>
          <w:p w14:paraId="2794555E">
            <w:pPr>
              <w:pStyle w:val="16"/>
              <w:spacing w:before="229" w:line="224" w:lineRule="auto"/>
              <w:ind w:left="136"/>
              <w:rPr>
                <w:color w:val="auto"/>
                <w:highlight w:val="none"/>
              </w:rPr>
            </w:pPr>
            <w:r>
              <w:rPr>
                <w:color w:val="auto"/>
                <w:spacing w:val="-13"/>
                <w:highlight w:val="none"/>
              </w:rPr>
              <w:t>员工总人数：</w:t>
            </w:r>
          </w:p>
        </w:tc>
      </w:tr>
      <w:tr w14:paraId="4F83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739" w:type="dxa"/>
            <w:vAlign w:val="top"/>
          </w:tcPr>
          <w:p w14:paraId="7BEEB0E5">
            <w:pPr>
              <w:pStyle w:val="16"/>
              <w:spacing w:before="201" w:line="224" w:lineRule="auto"/>
              <w:ind w:left="285"/>
              <w:rPr>
                <w:color w:val="auto"/>
                <w:highlight w:val="none"/>
              </w:rPr>
            </w:pPr>
            <w:r>
              <w:rPr>
                <w:color w:val="auto"/>
                <w:spacing w:val="-4"/>
                <w:highlight w:val="none"/>
              </w:rPr>
              <w:t>营业执照号</w:t>
            </w:r>
          </w:p>
        </w:tc>
        <w:tc>
          <w:tcPr>
            <w:tcW w:w="7942" w:type="dxa"/>
            <w:gridSpan w:val="6"/>
            <w:vAlign w:val="top"/>
          </w:tcPr>
          <w:p w14:paraId="29087238">
            <w:pPr>
              <w:rPr>
                <w:rFonts w:ascii="Arial"/>
                <w:color w:val="auto"/>
                <w:sz w:val="21"/>
                <w:highlight w:val="none"/>
              </w:rPr>
            </w:pPr>
          </w:p>
        </w:tc>
      </w:tr>
      <w:tr w14:paraId="13D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39" w:type="dxa"/>
            <w:vAlign w:val="top"/>
          </w:tcPr>
          <w:p w14:paraId="113A9F08">
            <w:pPr>
              <w:pStyle w:val="16"/>
              <w:spacing w:before="232" w:line="225" w:lineRule="auto"/>
              <w:ind w:left="405"/>
              <w:rPr>
                <w:color w:val="auto"/>
                <w:highlight w:val="none"/>
              </w:rPr>
            </w:pPr>
            <w:r>
              <w:rPr>
                <w:color w:val="auto"/>
                <w:spacing w:val="-5"/>
                <w:highlight w:val="none"/>
              </w:rPr>
              <w:t>注册时间</w:t>
            </w:r>
          </w:p>
        </w:tc>
        <w:tc>
          <w:tcPr>
            <w:tcW w:w="7942" w:type="dxa"/>
            <w:gridSpan w:val="6"/>
            <w:vAlign w:val="top"/>
          </w:tcPr>
          <w:p w14:paraId="4D158F08">
            <w:pPr>
              <w:rPr>
                <w:rFonts w:ascii="Arial"/>
                <w:color w:val="auto"/>
                <w:sz w:val="21"/>
                <w:highlight w:val="none"/>
              </w:rPr>
            </w:pPr>
          </w:p>
        </w:tc>
      </w:tr>
      <w:tr w14:paraId="347C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39" w:type="dxa"/>
            <w:vAlign w:val="top"/>
          </w:tcPr>
          <w:p w14:paraId="4E38084D">
            <w:pPr>
              <w:pStyle w:val="16"/>
              <w:spacing w:before="227" w:line="224" w:lineRule="auto"/>
              <w:ind w:left="398"/>
              <w:rPr>
                <w:color w:val="auto"/>
                <w:highlight w:val="none"/>
              </w:rPr>
            </w:pPr>
            <w:r>
              <w:rPr>
                <w:color w:val="auto"/>
                <w:spacing w:val="-3"/>
                <w:highlight w:val="none"/>
              </w:rPr>
              <w:t>开户银行</w:t>
            </w:r>
          </w:p>
        </w:tc>
        <w:tc>
          <w:tcPr>
            <w:tcW w:w="7942" w:type="dxa"/>
            <w:gridSpan w:val="6"/>
            <w:vAlign w:val="top"/>
          </w:tcPr>
          <w:p w14:paraId="246ECC5D">
            <w:pPr>
              <w:rPr>
                <w:rFonts w:ascii="Arial"/>
                <w:color w:val="auto"/>
                <w:sz w:val="21"/>
                <w:highlight w:val="none"/>
              </w:rPr>
            </w:pPr>
          </w:p>
        </w:tc>
      </w:tr>
      <w:tr w14:paraId="79C8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39" w:type="dxa"/>
            <w:vAlign w:val="top"/>
          </w:tcPr>
          <w:p w14:paraId="6C9D01D6">
            <w:pPr>
              <w:pStyle w:val="16"/>
              <w:spacing w:before="257" w:line="224" w:lineRule="auto"/>
              <w:ind w:left="399"/>
              <w:rPr>
                <w:color w:val="auto"/>
                <w:highlight w:val="none"/>
              </w:rPr>
            </w:pPr>
            <w:r>
              <w:rPr>
                <w:color w:val="auto"/>
                <w:spacing w:val="-4"/>
                <w:highlight w:val="none"/>
              </w:rPr>
              <w:t>银行账号</w:t>
            </w:r>
          </w:p>
        </w:tc>
        <w:tc>
          <w:tcPr>
            <w:tcW w:w="7942" w:type="dxa"/>
            <w:gridSpan w:val="6"/>
            <w:vAlign w:val="top"/>
          </w:tcPr>
          <w:p w14:paraId="24C5B4C9">
            <w:pPr>
              <w:rPr>
                <w:rFonts w:ascii="Arial"/>
                <w:color w:val="auto"/>
                <w:sz w:val="21"/>
                <w:highlight w:val="none"/>
              </w:rPr>
            </w:pPr>
          </w:p>
        </w:tc>
      </w:tr>
      <w:tr w14:paraId="1F3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739" w:type="dxa"/>
            <w:vAlign w:val="top"/>
          </w:tcPr>
          <w:p w14:paraId="3AB6AE0D">
            <w:pPr>
              <w:spacing w:line="251" w:lineRule="auto"/>
              <w:rPr>
                <w:rFonts w:ascii="Arial"/>
                <w:color w:val="auto"/>
                <w:sz w:val="21"/>
                <w:highlight w:val="none"/>
              </w:rPr>
            </w:pPr>
          </w:p>
          <w:p w14:paraId="0E0A1192">
            <w:pPr>
              <w:spacing w:line="252" w:lineRule="auto"/>
              <w:rPr>
                <w:rFonts w:ascii="Arial"/>
                <w:color w:val="auto"/>
                <w:sz w:val="21"/>
                <w:highlight w:val="none"/>
              </w:rPr>
            </w:pPr>
          </w:p>
          <w:p w14:paraId="14C73B07">
            <w:pPr>
              <w:spacing w:line="252" w:lineRule="auto"/>
              <w:rPr>
                <w:rFonts w:ascii="Arial"/>
                <w:color w:val="auto"/>
                <w:sz w:val="21"/>
                <w:highlight w:val="none"/>
              </w:rPr>
            </w:pPr>
          </w:p>
          <w:p w14:paraId="49E19179">
            <w:pPr>
              <w:pStyle w:val="16"/>
              <w:spacing w:before="78" w:line="224" w:lineRule="auto"/>
              <w:ind w:left="158"/>
              <w:rPr>
                <w:color w:val="auto"/>
                <w:highlight w:val="none"/>
              </w:rPr>
            </w:pPr>
            <w:r>
              <w:rPr>
                <w:color w:val="auto"/>
                <w:spacing w:val="-3"/>
                <w:highlight w:val="none"/>
              </w:rPr>
              <w:t>经营范围备注</w:t>
            </w:r>
          </w:p>
        </w:tc>
        <w:tc>
          <w:tcPr>
            <w:tcW w:w="7942" w:type="dxa"/>
            <w:gridSpan w:val="6"/>
            <w:vAlign w:val="top"/>
          </w:tcPr>
          <w:p w14:paraId="02AA30B7">
            <w:pPr>
              <w:rPr>
                <w:rFonts w:ascii="Arial"/>
                <w:color w:val="auto"/>
                <w:sz w:val="21"/>
                <w:highlight w:val="none"/>
              </w:rPr>
            </w:pPr>
          </w:p>
        </w:tc>
      </w:tr>
    </w:tbl>
    <w:p w14:paraId="4A6DDEDD">
      <w:pPr>
        <w:rPr>
          <w:rFonts w:ascii="Arial"/>
          <w:color w:val="auto"/>
          <w:sz w:val="21"/>
          <w:highlight w:val="none"/>
        </w:rPr>
      </w:pPr>
    </w:p>
    <w:p w14:paraId="2166BFF3">
      <w:pPr>
        <w:rPr>
          <w:rFonts w:ascii="Arial" w:hAnsi="Arial" w:eastAsia="Arial" w:cs="Arial"/>
          <w:color w:val="auto"/>
          <w:sz w:val="21"/>
          <w:szCs w:val="21"/>
          <w:highlight w:val="none"/>
        </w:rPr>
        <w:sectPr>
          <w:footerReference r:id="rId30" w:type="default"/>
          <w:pgSz w:w="11905" w:h="16839"/>
          <w:pgMar w:top="400" w:right="1106" w:bottom="1250" w:left="1106" w:header="0" w:footer="1090" w:gutter="0"/>
          <w:pgNumType w:fmt="numberInDash"/>
          <w:cols w:space="720" w:num="1"/>
        </w:sectPr>
      </w:pPr>
    </w:p>
    <w:p w14:paraId="157BE20E">
      <w:pPr>
        <w:spacing w:line="319" w:lineRule="auto"/>
        <w:rPr>
          <w:rFonts w:ascii="Arial"/>
          <w:color w:val="auto"/>
          <w:sz w:val="21"/>
          <w:highlight w:val="none"/>
        </w:rPr>
      </w:pPr>
    </w:p>
    <w:p w14:paraId="4AF3D4AC">
      <w:pPr>
        <w:spacing w:line="319" w:lineRule="auto"/>
        <w:rPr>
          <w:rFonts w:ascii="Arial"/>
          <w:color w:val="auto"/>
          <w:sz w:val="21"/>
          <w:highlight w:val="none"/>
        </w:rPr>
      </w:pPr>
    </w:p>
    <w:p w14:paraId="36872A1E">
      <w:pPr>
        <w:spacing w:line="319" w:lineRule="auto"/>
        <w:rPr>
          <w:rFonts w:ascii="Arial"/>
          <w:color w:val="auto"/>
          <w:sz w:val="21"/>
          <w:highlight w:val="none"/>
        </w:rPr>
      </w:pPr>
    </w:p>
    <w:p w14:paraId="21434F65">
      <w:pPr>
        <w:pStyle w:val="8"/>
        <w:spacing w:before="120" w:line="188" w:lineRule="auto"/>
        <w:ind w:left="2012"/>
        <w:rPr>
          <w:color w:val="auto"/>
          <w:sz w:val="28"/>
          <w:szCs w:val="28"/>
          <w:highlight w:val="none"/>
        </w:rPr>
      </w:pPr>
      <w:r>
        <w:rPr>
          <w:b/>
          <w:bCs/>
          <w:color w:val="auto"/>
          <w:spacing w:val="-3"/>
          <w:sz w:val="28"/>
          <w:szCs w:val="28"/>
          <w:highlight w:val="none"/>
        </w:rPr>
        <w:t>3、投标保证金打款凭证或投标保函</w:t>
      </w:r>
    </w:p>
    <w:p w14:paraId="71D3077E">
      <w:pPr>
        <w:spacing w:before="157" w:line="224" w:lineRule="auto"/>
        <w:ind w:left="2500"/>
        <w:rPr>
          <w:rFonts w:ascii="新宋体" w:hAnsi="新宋体" w:eastAsia="新宋体" w:cs="新宋体"/>
          <w:color w:val="auto"/>
          <w:sz w:val="21"/>
          <w:szCs w:val="21"/>
          <w:highlight w:val="none"/>
        </w:rPr>
      </w:pPr>
      <w:r>
        <w:rPr>
          <w:rFonts w:ascii="新宋体" w:hAnsi="新宋体" w:eastAsia="新宋体" w:cs="新宋体"/>
          <w:color w:val="auto"/>
          <w:spacing w:val="-2"/>
          <w:sz w:val="21"/>
          <w:szCs w:val="21"/>
          <w:highlight w:val="none"/>
        </w:rPr>
        <w:t>（投标保证金打款凭证或保函凭证）</w:t>
      </w:r>
    </w:p>
    <w:p w14:paraId="7672E886">
      <w:pPr>
        <w:spacing w:line="224" w:lineRule="auto"/>
        <w:rPr>
          <w:rFonts w:ascii="新宋体" w:hAnsi="新宋体" w:eastAsia="新宋体" w:cs="新宋体"/>
          <w:color w:val="auto"/>
          <w:sz w:val="21"/>
          <w:szCs w:val="21"/>
          <w:highlight w:val="none"/>
        </w:rPr>
        <w:sectPr>
          <w:footerReference r:id="rId31" w:type="default"/>
          <w:pgSz w:w="11905" w:h="16839"/>
          <w:pgMar w:top="400" w:right="1785" w:bottom="1250" w:left="1785" w:header="0" w:footer="1090" w:gutter="0"/>
          <w:pgNumType w:fmt="numberInDash"/>
          <w:cols w:space="720" w:num="1"/>
        </w:sectPr>
      </w:pPr>
    </w:p>
    <w:p w14:paraId="77752E0E">
      <w:pPr>
        <w:spacing w:line="319" w:lineRule="auto"/>
        <w:rPr>
          <w:rFonts w:ascii="Arial"/>
          <w:color w:val="auto"/>
          <w:sz w:val="21"/>
          <w:highlight w:val="none"/>
        </w:rPr>
      </w:pPr>
    </w:p>
    <w:p w14:paraId="1D38CB45">
      <w:pPr>
        <w:spacing w:line="319" w:lineRule="auto"/>
        <w:rPr>
          <w:rFonts w:ascii="Arial"/>
          <w:color w:val="auto"/>
          <w:sz w:val="21"/>
          <w:highlight w:val="none"/>
        </w:rPr>
      </w:pPr>
    </w:p>
    <w:p w14:paraId="6DB0D724">
      <w:pPr>
        <w:spacing w:line="319" w:lineRule="auto"/>
        <w:rPr>
          <w:rFonts w:ascii="Arial"/>
          <w:color w:val="auto"/>
          <w:sz w:val="21"/>
          <w:highlight w:val="none"/>
        </w:rPr>
      </w:pPr>
    </w:p>
    <w:p w14:paraId="2A92AAF8">
      <w:pPr>
        <w:pStyle w:val="8"/>
        <w:spacing w:before="120" w:line="188" w:lineRule="auto"/>
        <w:ind w:left="3323"/>
        <w:rPr>
          <w:color w:val="auto"/>
          <w:sz w:val="28"/>
          <w:szCs w:val="28"/>
          <w:highlight w:val="none"/>
        </w:rPr>
      </w:pPr>
      <w:r>
        <w:rPr>
          <w:b/>
          <w:bCs/>
          <w:color w:val="auto"/>
          <w:spacing w:val="-3"/>
          <w:sz w:val="28"/>
          <w:szCs w:val="28"/>
          <w:highlight w:val="none"/>
        </w:rPr>
        <w:t>4、商务条款响应/偏离表</w:t>
      </w:r>
    </w:p>
    <w:p w14:paraId="78AA4E9C">
      <w:pPr>
        <w:spacing w:before="162"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投标单位名称（公章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3"/>
          <w:sz w:val="24"/>
          <w:szCs w:val="24"/>
          <w:highlight w:val="none"/>
        </w:rPr>
        <w:t>项目编码：</w:t>
      </w:r>
      <w:r>
        <w:rPr>
          <w:rFonts w:ascii="新宋体" w:hAnsi="新宋体" w:eastAsia="新宋体" w:cs="新宋体"/>
          <w:color w:val="auto"/>
          <w:sz w:val="24"/>
          <w:szCs w:val="24"/>
          <w:highlight w:val="none"/>
          <w:u w:val="single" w:color="auto"/>
        </w:rPr>
        <w:t xml:space="preserve">                     </w:t>
      </w:r>
    </w:p>
    <w:p w14:paraId="5C900E09">
      <w:pPr>
        <w:spacing w:before="17"/>
        <w:rPr>
          <w:color w:val="auto"/>
          <w:highlight w:val="none"/>
        </w:rPr>
      </w:pPr>
    </w:p>
    <w:tbl>
      <w:tblPr>
        <w:tblStyle w:val="15"/>
        <w:tblW w:w="96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2157"/>
        <w:gridCol w:w="2124"/>
        <w:gridCol w:w="1678"/>
        <w:gridCol w:w="2028"/>
      </w:tblGrid>
      <w:tr w14:paraId="2E33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59064B0B">
            <w:pPr>
              <w:pStyle w:val="16"/>
              <w:spacing w:before="222" w:line="225" w:lineRule="auto"/>
              <w:ind w:left="622"/>
              <w:rPr>
                <w:color w:val="auto"/>
                <w:highlight w:val="none"/>
              </w:rPr>
            </w:pPr>
            <w:r>
              <w:rPr>
                <w:color w:val="auto"/>
                <w:spacing w:val="-4"/>
                <w:highlight w:val="none"/>
              </w:rPr>
              <w:t>序号</w:t>
            </w:r>
          </w:p>
        </w:tc>
        <w:tc>
          <w:tcPr>
            <w:tcW w:w="2157" w:type="dxa"/>
            <w:vAlign w:val="top"/>
          </w:tcPr>
          <w:p w14:paraId="6DC95674">
            <w:pPr>
              <w:pStyle w:val="16"/>
              <w:spacing w:before="221" w:line="224" w:lineRule="auto"/>
              <w:ind w:left="367"/>
              <w:rPr>
                <w:color w:val="auto"/>
                <w:highlight w:val="none"/>
              </w:rPr>
            </w:pPr>
            <w:r>
              <w:rPr>
                <w:color w:val="auto"/>
                <w:spacing w:val="-3"/>
                <w:highlight w:val="none"/>
              </w:rPr>
              <w:t>招标文件要求</w:t>
            </w:r>
          </w:p>
        </w:tc>
        <w:tc>
          <w:tcPr>
            <w:tcW w:w="2124" w:type="dxa"/>
            <w:vAlign w:val="top"/>
          </w:tcPr>
          <w:p w14:paraId="15361D01">
            <w:pPr>
              <w:pStyle w:val="16"/>
              <w:spacing w:before="221" w:line="224" w:lineRule="auto"/>
              <w:ind w:left="353"/>
              <w:rPr>
                <w:color w:val="auto"/>
                <w:highlight w:val="none"/>
              </w:rPr>
            </w:pPr>
            <w:r>
              <w:rPr>
                <w:color w:val="auto"/>
                <w:spacing w:val="-3"/>
                <w:highlight w:val="none"/>
              </w:rPr>
              <w:t>投标文件响应</w:t>
            </w:r>
          </w:p>
        </w:tc>
        <w:tc>
          <w:tcPr>
            <w:tcW w:w="1678" w:type="dxa"/>
            <w:vAlign w:val="top"/>
          </w:tcPr>
          <w:p w14:paraId="67BA9BFE">
            <w:pPr>
              <w:pStyle w:val="16"/>
              <w:spacing w:before="221" w:line="224" w:lineRule="auto"/>
              <w:ind w:left="320"/>
              <w:rPr>
                <w:color w:val="auto"/>
                <w:highlight w:val="none"/>
              </w:rPr>
            </w:pPr>
            <w:r>
              <w:rPr>
                <w:color w:val="auto"/>
                <w:spacing w:val="-4"/>
                <w:highlight w:val="none"/>
              </w:rPr>
              <w:t>响应/偏离</w:t>
            </w:r>
          </w:p>
        </w:tc>
        <w:tc>
          <w:tcPr>
            <w:tcW w:w="2028" w:type="dxa"/>
            <w:vAlign w:val="top"/>
          </w:tcPr>
          <w:p w14:paraId="60D1534C">
            <w:pPr>
              <w:pStyle w:val="16"/>
              <w:spacing w:before="221" w:line="224" w:lineRule="auto"/>
              <w:ind w:left="788"/>
              <w:rPr>
                <w:color w:val="auto"/>
                <w:highlight w:val="none"/>
              </w:rPr>
            </w:pPr>
            <w:r>
              <w:rPr>
                <w:color w:val="auto"/>
                <w:spacing w:val="-5"/>
                <w:highlight w:val="none"/>
              </w:rPr>
              <w:t>说明</w:t>
            </w:r>
          </w:p>
        </w:tc>
      </w:tr>
      <w:tr w14:paraId="2E09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07" w:type="dxa"/>
            <w:vAlign w:val="top"/>
          </w:tcPr>
          <w:p w14:paraId="5ED3CE2D">
            <w:pPr>
              <w:pStyle w:val="16"/>
              <w:spacing w:before="262" w:line="182" w:lineRule="auto"/>
              <w:ind w:left="813"/>
              <w:rPr>
                <w:color w:val="auto"/>
                <w:highlight w:val="none"/>
              </w:rPr>
            </w:pPr>
            <w:r>
              <w:rPr>
                <w:color w:val="auto"/>
                <w:highlight w:val="none"/>
              </w:rPr>
              <w:t>1</w:t>
            </w:r>
          </w:p>
        </w:tc>
        <w:tc>
          <w:tcPr>
            <w:tcW w:w="2157" w:type="dxa"/>
            <w:vAlign w:val="top"/>
          </w:tcPr>
          <w:p w14:paraId="449CEE83">
            <w:pPr>
              <w:rPr>
                <w:rFonts w:ascii="Arial"/>
                <w:color w:val="auto"/>
                <w:sz w:val="21"/>
                <w:highlight w:val="none"/>
              </w:rPr>
            </w:pPr>
          </w:p>
        </w:tc>
        <w:tc>
          <w:tcPr>
            <w:tcW w:w="2124" w:type="dxa"/>
            <w:vAlign w:val="top"/>
          </w:tcPr>
          <w:p w14:paraId="422611DB">
            <w:pPr>
              <w:rPr>
                <w:rFonts w:ascii="Arial"/>
                <w:color w:val="auto"/>
                <w:sz w:val="21"/>
                <w:highlight w:val="none"/>
              </w:rPr>
            </w:pPr>
          </w:p>
        </w:tc>
        <w:tc>
          <w:tcPr>
            <w:tcW w:w="1678" w:type="dxa"/>
            <w:vAlign w:val="top"/>
          </w:tcPr>
          <w:p w14:paraId="1B1E689D">
            <w:pPr>
              <w:rPr>
                <w:rFonts w:ascii="Arial"/>
                <w:color w:val="auto"/>
                <w:sz w:val="21"/>
                <w:highlight w:val="none"/>
              </w:rPr>
            </w:pPr>
          </w:p>
        </w:tc>
        <w:tc>
          <w:tcPr>
            <w:tcW w:w="2028" w:type="dxa"/>
            <w:vAlign w:val="top"/>
          </w:tcPr>
          <w:p w14:paraId="203DB19F">
            <w:pPr>
              <w:rPr>
                <w:rFonts w:ascii="Arial"/>
                <w:color w:val="auto"/>
                <w:sz w:val="21"/>
                <w:highlight w:val="none"/>
              </w:rPr>
            </w:pPr>
          </w:p>
        </w:tc>
      </w:tr>
      <w:tr w14:paraId="128D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6EF830A8">
            <w:pPr>
              <w:pStyle w:val="16"/>
              <w:spacing w:before="265" w:line="181" w:lineRule="auto"/>
              <w:ind w:left="798"/>
              <w:rPr>
                <w:color w:val="auto"/>
                <w:highlight w:val="none"/>
              </w:rPr>
            </w:pPr>
            <w:r>
              <w:rPr>
                <w:color w:val="auto"/>
                <w:highlight w:val="none"/>
              </w:rPr>
              <w:t>2</w:t>
            </w:r>
          </w:p>
        </w:tc>
        <w:tc>
          <w:tcPr>
            <w:tcW w:w="2157" w:type="dxa"/>
            <w:vAlign w:val="top"/>
          </w:tcPr>
          <w:p w14:paraId="77D66B7F">
            <w:pPr>
              <w:rPr>
                <w:rFonts w:ascii="Arial"/>
                <w:color w:val="auto"/>
                <w:sz w:val="21"/>
                <w:highlight w:val="none"/>
              </w:rPr>
            </w:pPr>
          </w:p>
        </w:tc>
        <w:tc>
          <w:tcPr>
            <w:tcW w:w="2124" w:type="dxa"/>
            <w:vAlign w:val="top"/>
          </w:tcPr>
          <w:p w14:paraId="473B1CEA">
            <w:pPr>
              <w:rPr>
                <w:rFonts w:ascii="Arial"/>
                <w:color w:val="auto"/>
                <w:sz w:val="21"/>
                <w:highlight w:val="none"/>
              </w:rPr>
            </w:pPr>
          </w:p>
        </w:tc>
        <w:tc>
          <w:tcPr>
            <w:tcW w:w="1678" w:type="dxa"/>
            <w:vAlign w:val="top"/>
          </w:tcPr>
          <w:p w14:paraId="5BD2CC32">
            <w:pPr>
              <w:rPr>
                <w:rFonts w:ascii="Arial"/>
                <w:color w:val="auto"/>
                <w:sz w:val="21"/>
                <w:highlight w:val="none"/>
              </w:rPr>
            </w:pPr>
          </w:p>
        </w:tc>
        <w:tc>
          <w:tcPr>
            <w:tcW w:w="2028" w:type="dxa"/>
            <w:vAlign w:val="top"/>
          </w:tcPr>
          <w:p w14:paraId="22EADBF0">
            <w:pPr>
              <w:rPr>
                <w:rFonts w:ascii="Arial"/>
                <w:color w:val="auto"/>
                <w:sz w:val="21"/>
                <w:highlight w:val="none"/>
              </w:rPr>
            </w:pPr>
          </w:p>
        </w:tc>
      </w:tr>
      <w:tr w14:paraId="43E0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5FD8125A">
            <w:pPr>
              <w:pStyle w:val="16"/>
              <w:spacing w:before="266" w:line="181" w:lineRule="auto"/>
              <w:ind w:left="800"/>
              <w:rPr>
                <w:color w:val="auto"/>
                <w:highlight w:val="none"/>
              </w:rPr>
            </w:pPr>
            <w:r>
              <w:rPr>
                <w:color w:val="auto"/>
                <w:highlight w:val="none"/>
              </w:rPr>
              <w:t>3</w:t>
            </w:r>
          </w:p>
        </w:tc>
        <w:tc>
          <w:tcPr>
            <w:tcW w:w="2157" w:type="dxa"/>
            <w:vAlign w:val="top"/>
          </w:tcPr>
          <w:p w14:paraId="7518F882">
            <w:pPr>
              <w:rPr>
                <w:rFonts w:ascii="Arial"/>
                <w:color w:val="auto"/>
                <w:sz w:val="21"/>
                <w:highlight w:val="none"/>
              </w:rPr>
            </w:pPr>
          </w:p>
        </w:tc>
        <w:tc>
          <w:tcPr>
            <w:tcW w:w="2124" w:type="dxa"/>
            <w:vAlign w:val="top"/>
          </w:tcPr>
          <w:p w14:paraId="477CC809">
            <w:pPr>
              <w:rPr>
                <w:rFonts w:ascii="Arial"/>
                <w:color w:val="auto"/>
                <w:sz w:val="21"/>
                <w:highlight w:val="none"/>
              </w:rPr>
            </w:pPr>
          </w:p>
        </w:tc>
        <w:tc>
          <w:tcPr>
            <w:tcW w:w="1678" w:type="dxa"/>
            <w:vAlign w:val="top"/>
          </w:tcPr>
          <w:p w14:paraId="087B8D1B">
            <w:pPr>
              <w:rPr>
                <w:rFonts w:ascii="Arial"/>
                <w:color w:val="auto"/>
                <w:sz w:val="21"/>
                <w:highlight w:val="none"/>
              </w:rPr>
            </w:pPr>
          </w:p>
        </w:tc>
        <w:tc>
          <w:tcPr>
            <w:tcW w:w="2028" w:type="dxa"/>
            <w:vAlign w:val="top"/>
          </w:tcPr>
          <w:p w14:paraId="0689DED5">
            <w:pPr>
              <w:rPr>
                <w:rFonts w:ascii="Arial"/>
                <w:color w:val="auto"/>
                <w:sz w:val="21"/>
                <w:highlight w:val="none"/>
              </w:rPr>
            </w:pPr>
          </w:p>
        </w:tc>
      </w:tr>
      <w:tr w14:paraId="150E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771BE203">
            <w:pPr>
              <w:pStyle w:val="16"/>
              <w:spacing w:before="267" w:line="181" w:lineRule="auto"/>
              <w:ind w:left="794"/>
              <w:rPr>
                <w:color w:val="auto"/>
                <w:highlight w:val="none"/>
              </w:rPr>
            </w:pPr>
            <w:r>
              <w:rPr>
                <w:color w:val="auto"/>
                <w:highlight w:val="none"/>
              </w:rPr>
              <w:t>4</w:t>
            </w:r>
          </w:p>
        </w:tc>
        <w:tc>
          <w:tcPr>
            <w:tcW w:w="2157" w:type="dxa"/>
            <w:vAlign w:val="top"/>
          </w:tcPr>
          <w:p w14:paraId="6827E8EA">
            <w:pPr>
              <w:rPr>
                <w:rFonts w:ascii="Arial"/>
                <w:color w:val="auto"/>
                <w:sz w:val="21"/>
                <w:highlight w:val="none"/>
              </w:rPr>
            </w:pPr>
          </w:p>
        </w:tc>
        <w:tc>
          <w:tcPr>
            <w:tcW w:w="2124" w:type="dxa"/>
            <w:vAlign w:val="top"/>
          </w:tcPr>
          <w:p w14:paraId="3F1C21C0">
            <w:pPr>
              <w:rPr>
                <w:rFonts w:ascii="Arial"/>
                <w:color w:val="auto"/>
                <w:sz w:val="21"/>
                <w:highlight w:val="none"/>
              </w:rPr>
            </w:pPr>
          </w:p>
        </w:tc>
        <w:tc>
          <w:tcPr>
            <w:tcW w:w="1678" w:type="dxa"/>
            <w:vAlign w:val="top"/>
          </w:tcPr>
          <w:p w14:paraId="2274586F">
            <w:pPr>
              <w:rPr>
                <w:rFonts w:ascii="Arial"/>
                <w:color w:val="auto"/>
                <w:sz w:val="21"/>
                <w:highlight w:val="none"/>
              </w:rPr>
            </w:pPr>
          </w:p>
        </w:tc>
        <w:tc>
          <w:tcPr>
            <w:tcW w:w="2028" w:type="dxa"/>
            <w:vAlign w:val="top"/>
          </w:tcPr>
          <w:p w14:paraId="36D77CA3">
            <w:pPr>
              <w:rPr>
                <w:rFonts w:ascii="Arial"/>
                <w:color w:val="auto"/>
                <w:sz w:val="21"/>
                <w:highlight w:val="none"/>
              </w:rPr>
            </w:pPr>
          </w:p>
        </w:tc>
      </w:tr>
      <w:tr w14:paraId="28A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397D3686">
            <w:pPr>
              <w:pStyle w:val="16"/>
              <w:spacing w:before="223" w:line="384" w:lineRule="exact"/>
              <w:ind w:left="752"/>
              <w:rPr>
                <w:color w:val="auto"/>
                <w:highlight w:val="none"/>
              </w:rPr>
            </w:pPr>
            <w:r>
              <w:rPr>
                <w:color w:val="auto"/>
                <w:position w:val="3"/>
                <w:highlight w:val="none"/>
              </w:rPr>
              <w:t>…</w:t>
            </w:r>
          </w:p>
        </w:tc>
        <w:tc>
          <w:tcPr>
            <w:tcW w:w="2157" w:type="dxa"/>
            <w:vAlign w:val="top"/>
          </w:tcPr>
          <w:p w14:paraId="0BC68C57">
            <w:pPr>
              <w:rPr>
                <w:rFonts w:ascii="Arial"/>
                <w:color w:val="auto"/>
                <w:sz w:val="21"/>
                <w:highlight w:val="none"/>
              </w:rPr>
            </w:pPr>
          </w:p>
        </w:tc>
        <w:tc>
          <w:tcPr>
            <w:tcW w:w="2124" w:type="dxa"/>
            <w:vAlign w:val="top"/>
          </w:tcPr>
          <w:p w14:paraId="13F49946">
            <w:pPr>
              <w:rPr>
                <w:rFonts w:ascii="Arial"/>
                <w:color w:val="auto"/>
                <w:sz w:val="21"/>
                <w:highlight w:val="none"/>
              </w:rPr>
            </w:pPr>
          </w:p>
        </w:tc>
        <w:tc>
          <w:tcPr>
            <w:tcW w:w="1678" w:type="dxa"/>
            <w:vAlign w:val="top"/>
          </w:tcPr>
          <w:p w14:paraId="1FEA05F6">
            <w:pPr>
              <w:rPr>
                <w:rFonts w:ascii="Arial"/>
                <w:color w:val="auto"/>
                <w:sz w:val="21"/>
                <w:highlight w:val="none"/>
              </w:rPr>
            </w:pPr>
          </w:p>
        </w:tc>
        <w:tc>
          <w:tcPr>
            <w:tcW w:w="2028" w:type="dxa"/>
            <w:vAlign w:val="top"/>
          </w:tcPr>
          <w:p w14:paraId="163BE9C3">
            <w:pPr>
              <w:rPr>
                <w:rFonts w:ascii="Arial"/>
                <w:color w:val="auto"/>
                <w:sz w:val="21"/>
                <w:highlight w:val="none"/>
              </w:rPr>
            </w:pPr>
          </w:p>
        </w:tc>
      </w:tr>
      <w:tr w14:paraId="4F1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1707" w:type="dxa"/>
            <w:vAlign w:val="top"/>
          </w:tcPr>
          <w:p w14:paraId="116AF38D">
            <w:pPr>
              <w:rPr>
                <w:rFonts w:ascii="Arial"/>
                <w:color w:val="auto"/>
                <w:sz w:val="21"/>
                <w:highlight w:val="none"/>
              </w:rPr>
            </w:pPr>
          </w:p>
        </w:tc>
        <w:tc>
          <w:tcPr>
            <w:tcW w:w="2157" w:type="dxa"/>
            <w:vAlign w:val="top"/>
          </w:tcPr>
          <w:p w14:paraId="72B6F80D">
            <w:pPr>
              <w:rPr>
                <w:rFonts w:ascii="Arial"/>
                <w:color w:val="auto"/>
                <w:sz w:val="21"/>
                <w:highlight w:val="none"/>
              </w:rPr>
            </w:pPr>
          </w:p>
        </w:tc>
        <w:tc>
          <w:tcPr>
            <w:tcW w:w="2124" w:type="dxa"/>
            <w:vAlign w:val="top"/>
          </w:tcPr>
          <w:p w14:paraId="6F3305B6">
            <w:pPr>
              <w:rPr>
                <w:rFonts w:ascii="Arial"/>
                <w:color w:val="auto"/>
                <w:sz w:val="21"/>
                <w:highlight w:val="none"/>
              </w:rPr>
            </w:pPr>
          </w:p>
        </w:tc>
        <w:tc>
          <w:tcPr>
            <w:tcW w:w="1678" w:type="dxa"/>
            <w:vAlign w:val="top"/>
          </w:tcPr>
          <w:p w14:paraId="19B6047A">
            <w:pPr>
              <w:rPr>
                <w:rFonts w:ascii="Arial"/>
                <w:color w:val="auto"/>
                <w:sz w:val="21"/>
                <w:highlight w:val="none"/>
              </w:rPr>
            </w:pPr>
          </w:p>
        </w:tc>
        <w:tc>
          <w:tcPr>
            <w:tcW w:w="2028" w:type="dxa"/>
            <w:vAlign w:val="top"/>
          </w:tcPr>
          <w:p w14:paraId="7EAEE8BC">
            <w:pPr>
              <w:rPr>
                <w:rFonts w:ascii="Arial"/>
                <w:color w:val="auto"/>
                <w:sz w:val="21"/>
                <w:highlight w:val="none"/>
              </w:rPr>
            </w:pPr>
          </w:p>
        </w:tc>
      </w:tr>
    </w:tbl>
    <w:p w14:paraId="60ECA4FE">
      <w:pPr>
        <w:spacing w:before="37" w:line="345" w:lineRule="auto"/>
        <w:ind w:left="5" w:firstLine="1"/>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注：本项目商务条款至少包括：合同履行期限、采购内容、投标保证金响应、投标文件有效期、</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履约保证金等，投标人必须与招标文件要求对</w:t>
      </w:r>
      <w:r>
        <w:rPr>
          <w:rFonts w:ascii="新宋体" w:hAnsi="新宋体" w:eastAsia="新宋体" w:cs="新宋体"/>
          <w:color w:val="auto"/>
          <w:spacing w:val="-3"/>
          <w:sz w:val="24"/>
          <w:szCs w:val="24"/>
          <w:highlight w:val="none"/>
        </w:rPr>
        <w:t>应填写。</w:t>
      </w:r>
    </w:p>
    <w:p w14:paraId="563A37CA">
      <w:pPr>
        <w:spacing w:line="295" w:lineRule="auto"/>
        <w:rPr>
          <w:rFonts w:ascii="Arial"/>
          <w:color w:val="auto"/>
          <w:sz w:val="21"/>
          <w:highlight w:val="none"/>
        </w:rPr>
      </w:pPr>
    </w:p>
    <w:p w14:paraId="5D9B9606">
      <w:pPr>
        <w:spacing w:line="295" w:lineRule="auto"/>
        <w:rPr>
          <w:rFonts w:ascii="Arial"/>
          <w:color w:val="auto"/>
          <w:sz w:val="21"/>
          <w:highlight w:val="none"/>
        </w:rPr>
      </w:pPr>
    </w:p>
    <w:p w14:paraId="1BCAC4B6">
      <w:pPr>
        <w:spacing w:line="296" w:lineRule="auto"/>
        <w:rPr>
          <w:rFonts w:ascii="Arial"/>
          <w:color w:val="auto"/>
          <w:sz w:val="21"/>
          <w:highlight w:val="none"/>
        </w:rPr>
      </w:pPr>
    </w:p>
    <w:p w14:paraId="70C068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38EA93B">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8C7CC5C">
      <w:pPr>
        <w:spacing w:line="345" w:lineRule="auto"/>
        <w:rPr>
          <w:rFonts w:ascii="新宋体" w:hAnsi="新宋体" w:eastAsia="新宋体" w:cs="新宋体"/>
          <w:color w:val="auto"/>
          <w:sz w:val="24"/>
          <w:szCs w:val="24"/>
          <w:highlight w:val="none"/>
        </w:rPr>
        <w:sectPr>
          <w:footerReference r:id="rId32" w:type="default"/>
          <w:pgSz w:w="11905" w:h="16839"/>
          <w:pgMar w:top="400" w:right="1001" w:bottom="1010" w:left="1098" w:header="0" w:footer="850" w:gutter="0"/>
          <w:pgNumType w:fmt="numberInDash"/>
          <w:cols w:space="720" w:num="1"/>
        </w:sectPr>
      </w:pPr>
    </w:p>
    <w:p w14:paraId="7E51E5FA">
      <w:pPr>
        <w:spacing w:line="319" w:lineRule="auto"/>
        <w:rPr>
          <w:rFonts w:ascii="Arial"/>
          <w:color w:val="auto"/>
          <w:sz w:val="21"/>
          <w:highlight w:val="none"/>
        </w:rPr>
      </w:pPr>
    </w:p>
    <w:p w14:paraId="18F26220">
      <w:pPr>
        <w:spacing w:line="319" w:lineRule="auto"/>
        <w:rPr>
          <w:rFonts w:ascii="Arial"/>
          <w:color w:val="auto"/>
          <w:sz w:val="21"/>
          <w:highlight w:val="none"/>
        </w:rPr>
      </w:pPr>
    </w:p>
    <w:p w14:paraId="2ACC48E2">
      <w:pPr>
        <w:spacing w:line="320" w:lineRule="auto"/>
        <w:rPr>
          <w:rFonts w:ascii="Arial"/>
          <w:color w:val="auto"/>
          <w:sz w:val="21"/>
          <w:highlight w:val="none"/>
        </w:rPr>
      </w:pPr>
    </w:p>
    <w:p w14:paraId="7723E808">
      <w:pPr>
        <w:pStyle w:val="8"/>
        <w:spacing w:before="120" w:line="187" w:lineRule="auto"/>
        <w:ind w:left="1999"/>
        <w:rPr>
          <w:color w:val="auto"/>
          <w:sz w:val="28"/>
          <w:szCs w:val="28"/>
          <w:highlight w:val="none"/>
        </w:rPr>
      </w:pPr>
      <w:r>
        <w:rPr>
          <w:b/>
          <w:bCs/>
          <w:color w:val="auto"/>
          <w:spacing w:val="-3"/>
          <w:sz w:val="28"/>
          <w:szCs w:val="28"/>
          <w:highlight w:val="none"/>
        </w:rPr>
        <w:t>5、在经营活动中没有重大违法记录的书面声明</w:t>
      </w:r>
    </w:p>
    <w:p w14:paraId="0B1CBAA5">
      <w:pPr>
        <w:spacing w:line="263" w:lineRule="auto"/>
        <w:rPr>
          <w:rFonts w:ascii="Arial"/>
          <w:color w:val="auto"/>
          <w:sz w:val="21"/>
          <w:highlight w:val="none"/>
        </w:rPr>
      </w:pPr>
    </w:p>
    <w:p w14:paraId="2D4AB081">
      <w:pPr>
        <w:spacing w:before="78"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88946C4">
      <w:pPr>
        <w:spacing w:line="251" w:lineRule="auto"/>
        <w:rPr>
          <w:rFonts w:ascii="Arial"/>
          <w:color w:val="auto"/>
          <w:sz w:val="21"/>
          <w:highlight w:val="none"/>
        </w:rPr>
      </w:pPr>
    </w:p>
    <w:p w14:paraId="12D135F4">
      <w:pPr>
        <w:spacing w:before="78" w:line="223" w:lineRule="auto"/>
        <w:jc w:val="right"/>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我方参加</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2"/>
          <w:sz w:val="24"/>
          <w:szCs w:val="24"/>
          <w:highlight w:val="none"/>
        </w:rPr>
        <w:t>项目（项目编码</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2"/>
          <w:sz w:val="24"/>
          <w:szCs w:val="24"/>
          <w:highlight w:val="none"/>
        </w:rPr>
        <w:t>的政府采购</w:t>
      </w:r>
    </w:p>
    <w:p w14:paraId="601A7408">
      <w:pPr>
        <w:spacing w:line="252" w:lineRule="auto"/>
        <w:rPr>
          <w:rFonts w:ascii="Arial"/>
          <w:color w:val="auto"/>
          <w:sz w:val="21"/>
          <w:highlight w:val="none"/>
        </w:rPr>
      </w:pPr>
    </w:p>
    <w:p w14:paraId="1B56E9D9">
      <w:pPr>
        <w:spacing w:before="78" w:line="224" w:lineRule="auto"/>
        <w:ind w:left="7"/>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活动，并声明：</w:t>
      </w:r>
    </w:p>
    <w:p w14:paraId="000A07B8">
      <w:pPr>
        <w:spacing w:line="253" w:lineRule="auto"/>
        <w:rPr>
          <w:rFonts w:ascii="Arial"/>
          <w:color w:val="auto"/>
          <w:sz w:val="21"/>
          <w:highlight w:val="none"/>
        </w:rPr>
      </w:pPr>
    </w:p>
    <w:p w14:paraId="5EF52CF2">
      <w:pPr>
        <w:spacing w:before="78" w:line="464" w:lineRule="auto"/>
        <w:ind w:left="2" w:right="81" w:firstLine="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我方参加本采购项目政府采购前</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2"/>
          <w:sz w:val="24"/>
          <w:szCs w:val="24"/>
          <w:highlight w:val="none"/>
        </w:rPr>
        <w:t>年内在经营活动中没有因违法经营受到刑</w:t>
      </w:r>
      <w:r>
        <w:rPr>
          <w:rFonts w:ascii="新宋体" w:hAnsi="新宋体" w:eastAsia="新宋体" w:cs="新宋体"/>
          <w:color w:val="auto"/>
          <w:spacing w:val="1"/>
          <w:sz w:val="24"/>
          <w:szCs w:val="24"/>
          <w:highlight w:val="none"/>
        </w:rPr>
        <w:t>事处罚或者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责令停产停业、吊销许可证或者执照、较大数额罚款等行政处罚。</w:t>
      </w:r>
    </w:p>
    <w:p w14:paraId="02E5376C">
      <w:pPr>
        <w:spacing w:before="3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特此声明！</w:t>
      </w:r>
    </w:p>
    <w:p w14:paraId="5B57D889">
      <w:pPr>
        <w:spacing w:line="254" w:lineRule="auto"/>
        <w:rPr>
          <w:rFonts w:ascii="Arial"/>
          <w:color w:val="auto"/>
          <w:sz w:val="21"/>
          <w:highlight w:val="none"/>
        </w:rPr>
      </w:pPr>
    </w:p>
    <w:p w14:paraId="0D9C38E2">
      <w:pPr>
        <w:spacing w:line="254" w:lineRule="auto"/>
        <w:rPr>
          <w:rFonts w:ascii="Arial"/>
          <w:color w:val="auto"/>
          <w:sz w:val="21"/>
          <w:highlight w:val="none"/>
        </w:rPr>
      </w:pPr>
    </w:p>
    <w:p w14:paraId="1C8114C1">
      <w:pPr>
        <w:spacing w:line="254" w:lineRule="auto"/>
        <w:rPr>
          <w:rFonts w:ascii="Arial"/>
          <w:color w:val="auto"/>
          <w:sz w:val="21"/>
          <w:highlight w:val="none"/>
        </w:rPr>
      </w:pPr>
    </w:p>
    <w:p w14:paraId="0EC6299A">
      <w:pPr>
        <w:spacing w:line="255" w:lineRule="auto"/>
        <w:rPr>
          <w:rFonts w:ascii="Arial"/>
          <w:color w:val="auto"/>
          <w:sz w:val="21"/>
          <w:highlight w:val="none"/>
        </w:rPr>
      </w:pPr>
    </w:p>
    <w:p w14:paraId="4CBCB220">
      <w:pPr>
        <w:spacing w:line="255" w:lineRule="auto"/>
        <w:rPr>
          <w:rFonts w:ascii="Arial"/>
          <w:color w:val="auto"/>
          <w:sz w:val="21"/>
          <w:highlight w:val="none"/>
        </w:rPr>
      </w:pPr>
    </w:p>
    <w:p w14:paraId="18EECA15">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E0836DD">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9236F6B">
      <w:pPr>
        <w:spacing w:line="345" w:lineRule="auto"/>
        <w:rPr>
          <w:rFonts w:ascii="新宋体" w:hAnsi="新宋体" w:eastAsia="新宋体" w:cs="新宋体"/>
          <w:color w:val="auto"/>
          <w:sz w:val="24"/>
          <w:szCs w:val="24"/>
          <w:highlight w:val="none"/>
        </w:rPr>
        <w:sectPr>
          <w:footerReference r:id="rId33" w:type="default"/>
          <w:pgSz w:w="11905" w:h="16839"/>
          <w:pgMar w:top="400" w:right="1001" w:bottom="1010" w:left="1098" w:header="0" w:footer="850" w:gutter="0"/>
          <w:pgNumType w:fmt="numberInDash"/>
          <w:cols w:space="720" w:num="1"/>
        </w:sectPr>
      </w:pPr>
    </w:p>
    <w:p w14:paraId="7437D8D9">
      <w:pPr>
        <w:spacing w:line="319" w:lineRule="auto"/>
        <w:rPr>
          <w:rFonts w:ascii="Arial"/>
          <w:color w:val="auto"/>
          <w:sz w:val="21"/>
          <w:highlight w:val="none"/>
        </w:rPr>
      </w:pPr>
    </w:p>
    <w:p w14:paraId="1690774B">
      <w:pPr>
        <w:spacing w:line="319" w:lineRule="auto"/>
        <w:rPr>
          <w:rFonts w:ascii="Arial"/>
          <w:color w:val="auto"/>
          <w:sz w:val="21"/>
          <w:highlight w:val="none"/>
        </w:rPr>
      </w:pPr>
    </w:p>
    <w:p w14:paraId="067F5295">
      <w:pPr>
        <w:spacing w:line="319" w:lineRule="auto"/>
        <w:rPr>
          <w:rFonts w:ascii="Arial"/>
          <w:color w:val="auto"/>
          <w:sz w:val="21"/>
          <w:highlight w:val="none"/>
        </w:rPr>
      </w:pPr>
    </w:p>
    <w:p w14:paraId="19263BB9">
      <w:pPr>
        <w:pStyle w:val="8"/>
        <w:spacing w:before="120" w:line="187" w:lineRule="auto"/>
        <w:ind w:left="2556"/>
        <w:rPr>
          <w:color w:val="auto"/>
          <w:sz w:val="28"/>
          <w:szCs w:val="28"/>
          <w:highlight w:val="none"/>
        </w:rPr>
      </w:pPr>
      <w:r>
        <w:rPr>
          <w:b/>
          <w:bCs/>
          <w:color w:val="auto"/>
          <w:spacing w:val="-3"/>
          <w:sz w:val="28"/>
          <w:szCs w:val="28"/>
          <w:highlight w:val="none"/>
        </w:rPr>
        <w:t>6、社会法人无失信被执行行为承诺书</w:t>
      </w:r>
    </w:p>
    <w:p w14:paraId="1EAE5DDD">
      <w:pPr>
        <w:spacing w:line="364" w:lineRule="auto"/>
        <w:rPr>
          <w:rFonts w:ascii="Arial"/>
          <w:color w:val="auto"/>
          <w:sz w:val="21"/>
          <w:highlight w:val="none"/>
        </w:rPr>
      </w:pPr>
    </w:p>
    <w:p w14:paraId="46AA43DE">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本公司郑重承诺：</w:t>
      </w:r>
    </w:p>
    <w:p w14:paraId="0084E370">
      <w:pPr>
        <w:spacing w:line="376" w:lineRule="auto"/>
        <w:rPr>
          <w:rFonts w:ascii="Arial"/>
          <w:color w:val="auto"/>
          <w:sz w:val="21"/>
          <w:highlight w:val="none"/>
        </w:rPr>
      </w:pPr>
    </w:p>
    <w:p w14:paraId="3D83FC50">
      <w:pPr>
        <w:spacing w:before="78" w:line="352" w:lineRule="auto"/>
        <w:ind w:firstLine="721"/>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本公司遵守法律法规规定，愿意接受社会各界监督，若有违反</w:t>
      </w:r>
      <w:r>
        <w:rPr>
          <w:rFonts w:ascii="新宋体" w:hAnsi="新宋体" w:eastAsia="新宋体" w:cs="新宋体"/>
          <w:color w:val="auto"/>
          <w:spacing w:val="-3"/>
          <w:sz w:val="24"/>
          <w:szCs w:val="24"/>
          <w:highlight w:val="none"/>
        </w:rPr>
        <w:t>《中华人民共和国政府采购法》中对投标人应遵守的规定，自愿依法接受取消投标资</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格、记入信用档案、取消中标资格、没收投标保证金等有关处理，愿意承担法律责任，给招标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人造成损失的，依法承担赔偿责任。</w:t>
      </w:r>
    </w:p>
    <w:p w14:paraId="64C9618B">
      <w:pPr>
        <w:spacing w:line="271" w:lineRule="auto"/>
        <w:rPr>
          <w:rFonts w:ascii="Arial"/>
          <w:color w:val="auto"/>
          <w:sz w:val="21"/>
          <w:highlight w:val="none"/>
        </w:rPr>
      </w:pPr>
    </w:p>
    <w:p w14:paraId="24A69B8A">
      <w:pPr>
        <w:spacing w:line="271" w:lineRule="auto"/>
        <w:rPr>
          <w:rFonts w:ascii="Arial"/>
          <w:color w:val="auto"/>
          <w:sz w:val="21"/>
          <w:highlight w:val="none"/>
        </w:rPr>
      </w:pPr>
    </w:p>
    <w:p w14:paraId="384416BF">
      <w:pPr>
        <w:spacing w:line="271" w:lineRule="auto"/>
        <w:rPr>
          <w:rFonts w:ascii="Arial"/>
          <w:color w:val="auto"/>
          <w:sz w:val="21"/>
          <w:highlight w:val="none"/>
        </w:rPr>
      </w:pPr>
    </w:p>
    <w:p w14:paraId="7332EB24">
      <w:pPr>
        <w:spacing w:line="272" w:lineRule="auto"/>
        <w:rPr>
          <w:rFonts w:ascii="Arial"/>
          <w:color w:val="auto"/>
          <w:sz w:val="21"/>
          <w:highlight w:val="none"/>
        </w:rPr>
      </w:pPr>
    </w:p>
    <w:p w14:paraId="38675EC9">
      <w:pPr>
        <w:spacing w:line="272" w:lineRule="auto"/>
        <w:rPr>
          <w:rFonts w:ascii="Arial"/>
          <w:color w:val="auto"/>
          <w:sz w:val="21"/>
          <w:highlight w:val="none"/>
        </w:rPr>
      </w:pPr>
    </w:p>
    <w:p w14:paraId="26576DEA">
      <w:pPr>
        <w:spacing w:line="272" w:lineRule="auto"/>
        <w:rPr>
          <w:rFonts w:ascii="Arial"/>
          <w:color w:val="auto"/>
          <w:sz w:val="21"/>
          <w:highlight w:val="none"/>
        </w:rPr>
      </w:pPr>
    </w:p>
    <w:p w14:paraId="43C6EFED">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1A7169E">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235ABC1">
      <w:pPr>
        <w:spacing w:line="345" w:lineRule="auto"/>
        <w:rPr>
          <w:rFonts w:ascii="新宋体" w:hAnsi="新宋体" w:eastAsia="新宋体" w:cs="新宋体"/>
          <w:color w:val="auto"/>
          <w:sz w:val="24"/>
          <w:szCs w:val="24"/>
          <w:highlight w:val="none"/>
        </w:rPr>
        <w:sectPr>
          <w:footerReference r:id="rId34" w:type="default"/>
          <w:pgSz w:w="11905" w:h="16839"/>
          <w:pgMar w:top="400" w:right="1083" w:bottom="1010" w:left="1098" w:header="0" w:footer="850" w:gutter="0"/>
          <w:pgNumType w:fmt="numberInDash"/>
          <w:cols w:space="720" w:num="1"/>
        </w:sectPr>
      </w:pPr>
    </w:p>
    <w:p w14:paraId="71AA92BB">
      <w:pPr>
        <w:spacing w:line="319" w:lineRule="auto"/>
        <w:rPr>
          <w:rFonts w:ascii="Arial"/>
          <w:color w:val="auto"/>
          <w:sz w:val="21"/>
          <w:highlight w:val="none"/>
        </w:rPr>
      </w:pPr>
    </w:p>
    <w:p w14:paraId="025F4541">
      <w:pPr>
        <w:spacing w:line="319" w:lineRule="auto"/>
        <w:rPr>
          <w:rFonts w:ascii="Arial"/>
          <w:color w:val="auto"/>
          <w:sz w:val="21"/>
          <w:highlight w:val="none"/>
        </w:rPr>
      </w:pPr>
    </w:p>
    <w:p w14:paraId="32076619">
      <w:pPr>
        <w:spacing w:line="320" w:lineRule="auto"/>
        <w:rPr>
          <w:rFonts w:ascii="Arial"/>
          <w:color w:val="auto"/>
          <w:sz w:val="21"/>
          <w:highlight w:val="none"/>
        </w:rPr>
      </w:pPr>
    </w:p>
    <w:p w14:paraId="34CA7218">
      <w:pPr>
        <w:pStyle w:val="8"/>
        <w:spacing w:before="120" w:line="187" w:lineRule="auto"/>
        <w:ind w:left="2980"/>
        <w:rPr>
          <w:color w:val="auto"/>
          <w:sz w:val="28"/>
          <w:szCs w:val="28"/>
          <w:highlight w:val="none"/>
        </w:rPr>
      </w:pPr>
      <w:r>
        <w:rPr>
          <w:b/>
          <w:bCs/>
          <w:color w:val="auto"/>
          <w:spacing w:val="-4"/>
          <w:sz w:val="28"/>
          <w:szCs w:val="28"/>
          <w:highlight w:val="none"/>
        </w:rPr>
        <w:t>7、无重大税收违法行为承诺书</w:t>
      </w:r>
    </w:p>
    <w:p w14:paraId="5BAE0B17">
      <w:pPr>
        <w:spacing w:line="363" w:lineRule="auto"/>
        <w:rPr>
          <w:rFonts w:ascii="Arial"/>
          <w:color w:val="auto"/>
          <w:sz w:val="21"/>
          <w:highlight w:val="none"/>
        </w:rPr>
      </w:pPr>
    </w:p>
    <w:p w14:paraId="3E35F93A">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34E10A54">
      <w:pPr>
        <w:spacing w:line="376" w:lineRule="auto"/>
        <w:rPr>
          <w:rFonts w:ascii="Arial"/>
          <w:color w:val="auto"/>
          <w:sz w:val="21"/>
          <w:highlight w:val="none"/>
        </w:rPr>
      </w:pPr>
    </w:p>
    <w:p w14:paraId="1CB88C32">
      <w:pPr>
        <w:spacing w:before="78" w:line="223" w:lineRule="auto"/>
        <w:ind w:left="60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本公司近三年无重大税收违法行为，愿意接受社会各界监督。</w:t>
      </w:r>
    </w:p>
    <w:p w14:paraId="419921CB">
      <w:pPr>
        <w:spacing w:line="374" w:lineRule="auto"/>
        <w:rPr>
          <w:rFonts w:ascii="Arial"/>
          <w:color w:val="auto"/>
          <w:sz w:val="21"/>
          <w:highlight w:val="none"/>
        </w:rPr>
      </w:pPr>
    </w:p>
    <w:p w14:paraId="52044571">
      <w:pPr>
        <w:spacing w:before="78" w:line="350" w:lineRule="auto"/>
        <w:ind w:firstLine="60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本公司及法定代表人若有违反承诺内容的行为， 自愿依法接受取消投标资格、记入</w:t>
      </w:r>
      <w:r>
        <w:rPr>
          <w:rFonts w:ascii="新宋体" w:hAnsi="新宋体" w:eastAsia="新宋体" w:cs="新宋体"/>
          <w:color w:val="auto"/>
          <w:spacing w:val="-4"/>
          <w:sz w:val="24"/>
          <w:szCs w:val="24"/>
          <w:highlight w:val="none"/>
        </w:rPr>
        <w:t>信用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档案、取消中标资格、没收投标保证金等有关处理，</w:t>
      </w:r>
      <w:r>
        <w:rPr>
          <w:rFonts w:ascii="新宋体" w:hAnsi="新宋体" w:eastAsia="新宋体" w:cs="新宋体"/>
          <w:color w:val="auto"/>
          <w:spacing w:val="-52"/>
          <w:sz w:val="24"/>
          <w:szCs w:val="24"/>
          <w:highlight w:val="none"/>
        </w:rPr>
        <w:t xml:space="preserve"> </w:t>
      </w:r>
      <w:r>
        <w:rPr>
          <w:rFonts w:ascii="新宋体" w:hAnsi="新宋体" w:eastAsia="新宋体" w:cs="新宋体"/>
          <w:color w:val="auto"/>
          <w:spacing w:val="-9"/>
          <w:sz w:val="24"/>
          <w:szCs w:val="24"/>
          <w:highlight w:val="none"/>
        </w:rPr>
        <w:t>愿意承担法律责任，给招标人造成损失的，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依法承担赔偿责任。</w:t>
      </w:r>
    </w:p>
    <w:p w14:paraId="363F0390">
      <w:pPr>
        <w:spacing w:line="246" w:lineRule="auto"/>
        <w:rPr>
          <w:rFonts w:ascii="Arial"/>
          <w:color w:val="auto"/>
          <w:sz w:val="21"/>
          <w:highlight w:val="none"/>
        </w:rPr>
      </w:pPr>
    </w:p>
    <w:p w14:paraId="3D22CD48">
      <w:pPr>
        <w:spacing w:line="246" w:lineRule="auto"/>
        <w:rPr>
          <w:rFonts w:ascii="Arial"/>
          <w:color w:val="auto"/>
          <w:sz w:val="21"/>
          <w:highlight w:val="none"/>
        </w:rPr>
      </w:pPr>
    </w:p>
    <w:p w14:paraId="2C750CA3">
      <w:pPr>
        <w:spacing w:line="246" w:lineRule="auto"/>
        <w:rPr>
          <w:rFonts w:ascii="Arial"/>
          <w:color w:val="auto"/>
          <w:sz w:val="21"/>
          <w:highlight w:val="none"/>
        </w:rPr>
      </w:pPr>
    </w:p>
    <w:p w14:paraId="08462777">
      <w:pPr>
        <w:spacing w:line="246" w:lineRule="auto"/>
        <w:rPr>
          <w:rFonts w:ascii="Arial"/>
          <w:color w:val="auto"/>
          <w:sz w:val="21"/>
          <w:highlight w:val="none"/>
        </w:rPr>
      </w:pPr>
    </w:p>
    <w:p w14:paraId="20EAE712">
      <w:pPr>
        <w:spacing w:line="247" w:lineRule="auto"/>
        <w:rPr>
          <w:rFonts w:ascii="Arial"/>
          <w:color w:val="auto"/>
          <w:sz w:val="21"/>
          <w:highlight w:val="none"/>
        </w:rPr>
      </w:pPr>
    </w:p>
    <w:p w14:paraId="50653F43">
      <w:pPr>
        <w:spacing w:line="247" w:lineRule="auto"/>
        <w:rPr>
          <w:rFonts w:ascii="Arial"/>
          <w:color w:val="auto"/>
          <w:sz w:val="21"/>
          <w:highlight w:val="none"/>
        </w:rPr>
      </w:pPr>
    </w:p>
    <w:p w14:paraId="71C25AAE">
      <w:pPr>
        <w:spacing w:line="247" w:lineRule="auto"/>
        <w:rPr>
          <w:rFonts w:ascii="Arial"/>
          <w:color w:val="auto"/>
          <w:sz w:val="21"/>
          <w:highlight w:val="none"/>
        </w:rPr>
      </w:pPr>
    </w:p>
    <w:p w14:paraId="7C3EAEEE">
      <w:pPr>
        <w:spacing w:line="247" w:lineRule="auto"/>
        <w:rPr>
          <w:rFonts w:ascii="Arial"/>
          <w:color w:val="auto"/>
          <w:sz w:val="21"/>
          <w:highlight w:val="none"/>
        </w:rPr>
      </w:pPr>
    </w:p>
    <w:p w14:paraId="4D80946C">
      <w:pPr>
        <w:spacing w:line="247" w:lineRule="auto"/>
        <w:rPr>
          <w:rFonts w:ascii="Arial"/>
          <w:color w:val="auto"/>
          <w:sz w:val="21"/>
          <w:highlight w:val="none"/>
        </w:rPr>
      </w:pPr>
    </w:p>
    <w:p w14:paraId="54364E32">
      <w:pPr>
        <w:spacing w:line="247" w:lineRule="auto"/>
        <w:rPr>
          <w:rFonts w:ascii="Arial"/>
          <w:color w:val="auto"/>
          <w:sz w:val="21"/>
          <w:highlight w:val="none"/>
        </w:rPr>
      </w:pPr>
    </w:p>
    <w:p w14:paraId="734493BB">
      <w:pPr>
        <w:spacing w:line="247" w:lineRule="auto"/>
        <w:rPr>
          <w:rFonts w:ascii="Arial"/>
          <w:color w:val="auto"/>
          <w:sz w:val="21"/>
          <w:highlight w:val="none"/>
        </w:rPr>
      </w:pPr>
    </w:p>
    <w:p w14:paraId="66DA87B1">
      <w:pPr>
        <w:spacing w:line="247" w:lineRule="auto"/>
        <w:rPr>
          <w:rFonts w:ascii="Arial"/>
          <w:color w:val="auto"/>
          <w:sz w:val="21"/>
          <w:highlight w:val="none"/>
        </w:rPr>
      </w:pPr>
    </w:p>
    <w:p w14:paraId="1E87C1F7">
      <w:pPr>
        <w:spacing w:line="247" w:lineRule="auto"/>
        <w:rPr>
          <w:rFonts w:ascii="Arial"/>
          <w:color w:val="auto"/>
          <w:sz w:val="21"/>
          <w:highlight w:val="none"/>
        </w:rPr>
      </w:pPr>
    </w:p>
    <w:p w14:paraId="497CB1FE">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02AB514">
      <w:pPr>
        <w:spacing w:before="177" w:line="345" w:lineRule="auto"/>
        <w:ind w:left="50" w:right="2129"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39BC228">
      <w:pPr>
        <w:spacing w:line="345" w:lineRule="auto"/>
        <w:rPr>
          <w:rFonts w:ascii="新宋体" w:hAnsi="新宋体" w:eastAsia="新宋体" w:cs="新宋体"/>
          <w:color w:val="auto"/>
          <w:sz w:val="24"/>
          <w:szCs w:val="24"/>
          <w:highlight w:val="none"/>
        </w:rPr>
        <w:sectPr>
          <w:footerReference r:id="rId35" w:type="default"/>
          <w:pgSz w:w="11905" w:h="16839"/>
          <w:pgMar w:top="400" w:right="1012" w:bottom="1010" w:left="1098" w:header="0" w:footer="850" w:gutter="0"/>
          <w:pgNumType w:fmt="numberInDash"/>
          <w:cols w:space="720" w:num="1"/>
        </w:sectPr>
      </w:pPr>
    </w:p>
    <w:p w14:paraId="1E8DD625">
      <w:pPr>
        <w:spacing w:line="319" w:lineRule="auto"/>
        <w:rPr>
          <w:rFonts w:ascii="Arial"/>
          <w:color w:val="auto"/>
          <w:sz w:val="21"/>
          <w:highlight w:val="none"/>
        </w:rPr>
      </w:pPr>
    </w:p>
    <w:p w14:paraId="33C0FD36">
      <w:pPr>
        <w:spacing w:line="319" w:lineRule="auto"/>
        <w:rPr>
          <w:rFonts w:ascii="Arial"/>
          <w:color w:val="auto"/>
          <w:sz w:val="21"/>
          <w:highlight w:val="none"/>
        </w:rPr>
      </w:pPr>
    </w:p>
    <w:p w14:paraId="78F7ECE0">
      <w:pPr>
        <w:spacing w:line="320" w:lineRule="auto"/>
        <w:rPr>
          <w:rFonts w:ascii="Arial"/>
          <w:color w:val="auto"/>
          <w:sz w:val="21"/>
          <w:highlight w:val="none"/>
        </w:rPr>
      </w:pPr>
    </w:p>
    <w:p w14:paraId="11CFE02D">
      <w:pPr>
        <w:pStyle w:val="8"/>
        <w:spacing w:before="120" w:line="188" w:lineRule="auto"/>
        <w:ind w:left="3535"/>
        <w:rPr>
          <w:color w:val="auto"/>
          <w:sz w:val="28"/>
          <w:szCs w:val="28"/>
          <w:highlight w:val="none"/>
        </w:rPr>
      </w:pPr>
      <w:r>
        <w:rPr>
          <w:b/>
          <w:bCs/>
          <w:color w:val="auto"/>
          <w:spacing w:val="-4"/>
          <w:sz w:val="28"/>
          <w:szCs w:val="28"/>
          <w:highlight w:val="none"/>
        </w:rPr>
        <w:t>8、中标服务费承诺书</w:t>
      </w:r>
    </w:p>
    <w:p w14:paraId="7BF10DB3">
      <w:pPr>
        <w:spacing w:line="255" w:lineRule="auto"/>
        <w:rPr>
          <w:rFonts w:ascii="Arial"/>
          <w:color w:val="auto"/>
          <w:sz w:val="21"/>
          <w:highlight w:val="none"/>
        </w:rPr>
      </w:pPr>
    </w:p>
    <w:p w14:paraId="0D4C9F33">
      <w:pPr>
        <w:spacing w:line="256" w:lineRule="auto"/>
        <w:rPr>
          <w:rFonts w:ascii="Arial"/>
          <w:color w:val="auto"/>
          <w:sz w:val="21"/>
          <w:highlight w:val="none"/>
        </w:rPr>
      </w:pPr>
    </w:p>
    <w:p w14:paraId="5D75FF18">
      <w:pPr>
        <w:spacing w:line="256" w:lineRule="auto"/>
        <w:rPr>
          <w:rFonts w:ascii="Arial"/>
          <w:color w:val="auto"/>
          <w:sz w:val="21"/>
          <w:highlight w:val="none"/>
        </w:rPr>
      </w:pPr>
    </w:p>
    <w:p w14:paraId="7E7DF67A">
      <w:pPr>
        <w:spacing w:before="78" w:line="224" w:lineRule="auto"/>
        <w:rPr>
          <w:rFonts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lang w:eastAsia="zh-CN"/>
        </w:rPr>
        <w:t>乌鲁木齐鑫盛开源工程项目管理有限公司</w:t>
      </w:r>
      <w:r>
        <w:rPr>
          <w:rFonts w:ascii="新宋体" w:hAnsi="新宋体" w:eastAsia="新宋体" w:cs="新宋体"/>
          <w:color w:val="auto"/>
          <w:spacing w:val="-4"/>
          <w:sz w:val="24"/>
          <w:szCs w:val="24"/>
          <w:highlight w:val="none"/>
        </w:rPr>
        <w:t>：</w:t>
      </w:r>
    </w:p>
    <w:p w14:paraId="7D345CB5">
      <w:pPr>
        <w:spacing w:line="264" w:lineRule="auto"/>
        <w:rPr>
          <w:rFonts w:ascii="Arial"/>
          <w:color w:val="auto"/>
          <w:sz w:val="21"/>
          <w:highlight w:val="none"/>
        </w:rPr>
      </w:pPr>
    </w:p>
    <w:p w14:paraId="7AE3AB29">
      <w:pPr>
        <w:spacing w:line="265" w:lineRule="auto"/>
        <w:rPr>
          <w:rFonts w:ascii="Arial"/>
          <w:color w:val="auto"/>
          <w:sz w:val="21"/>
          <w:highlight w:val="none"/>
        </w:rPr>
      </w:pPr>
    </w:p>
    <w:p w14:paraId="45D16DEB">
      <w:pPr>
        <w:spacing w:line="265" w:lineRule="auto"/>
        <w:rPr>
          <w:rFonts w:ascii="Arial"/>
          <w:color w:val="auto"/>
          <w:sz w:val="21"/>
          <w:highlight w:val="none"/>
        </w:rPr>
      </w:pPr>
    </w:p>
    <w:p w14:paraId="039A04B4">
      <w:pPr>
        <w:spacing w:line="265" w:lineRule="auto"/>
        <w:rPr>
          <w:rFonts w:ascii="Arial"/>
          <w:color w:val="auto"/>
          <w:sz w:val="21"/>
          <w:highlight w:val="none"/>
        </w:rPr>
      </w:pPr>
    </w:p>
    <w:p w14:paraId="3F6754E0">
      <w:pPr>
        <w:spacing w:before="78" w:line="345" w:lineRule="auto"/>
        <w:ind w:firstLine="48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我公司在贵公司组织的</w:t>
      </w:r>
      <w:r>
        <w:rPr>
          <w:rFonts w:ascii="新宋体" w:hAnsi="新宋体" w:eastAsia="新宋体" w:cs="新宋体"/>
          <w:color w:val="auto"/>
          <w:spacing w:val="-3"/>
          <w:sz w:val="24"/>
          <w:szCs w:val="24"/>
          <w:highlight w:val="none"/>
          <w:u w:val="single" w:color="auto"/>
        </w:rPr>
        <w:t>（项目名称</w:t>
      </w:r>
      <w:r>
        <w:rPr>
          <w:rFonts w:ascii="新宋体" w:hAnsi="新宋体" w:eastAsia="新宋体" w:cs="新宋体"/>
          <w:color w:val="auto"/>
          <w:spacing w:val="-7"/>
          <w:sz w:val="24"/>
          <w:szCs w:val="24"/>
          <w:highlight w:val="none"/>
          <w:u w:val="single" w:color="auto"/>
        </w:rPr>
        <w:t>）（</w:t>
      </w:r>
      <w:r>
        <w:rPr>
          <w:rFonts w:ascii="新宋体" w:hAnsi="新宋体" w:eastAsia="新宋体" w:cs="新宋体"/>
          <w:color w:val="auto"/>
          <w:spacing w:val="-3"/>
          <w:sz w:val="24"/>
          <w:szCs w:val="24"/>
          <w:highlight w:val="none"/>
          <w:u w:val="single" w:color="auto"/>
        </w:rPr>
        <w:t>项目编码）</w:t>
      </w:r>
      <w:r>
        <w:rPr>
          <w:rFonts w:ascii="新宋体" w:hAnsi="新宋体" w:eastAsia="新宋体" w:cs="新宋体"/>
          <w:color w:val="auto"/>
          <w:spacing w:val="-3"/>
          <w:sz w:val="24"/>
          <w:szCs w:val="24"/>
          <w:highlight w:val="none"/>
        </w:rPr>
        <w:t>招标中若获中标，我公司承诺，保</w:t>
      </w:r>
      <w:r>
        <w:rPr>
          <w:rFonts w:ascii="新宋体" w:hAnsi="新宋体" w:eastAsia="新宋体" w:cs="新宋体"/>
          <w:color w:val="auto"/>
          <w:spacing w:val="-4"/>
          <w:sz w:val="24"/>
          <w:szCs w:val="24"/>
          <w:highlight w:val="none"/>
        </w:rPr>
        <w:t>证在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领取中标通知书前按招标书有关规定，电汇或贵公司认可的其他方式向贵公司支付中标服务费。</w:t>
      </w:r>
    </w:p>
    <w:p w14:paraId="28446586">
      <w:pPr>
        <w:spacing w:before="31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特此承诺。</w:t>
      </w:r>
    </w:p>
    <w:p w14:paraId="316A454F">
      <w:pPr>
        <w:spacing w:line="245" w:lineRule="auto"/>
        <w:rPr>
          <w:rFonts w:ascii="Arial"/>
          <w:color w:val="auto"/>
          <w:sz w:val="21"/>
          <w:highlight w:val="none"/>
        </w:rPr>
      </w:pPr>
    </w:p>
    <w:p w14:paraId="59B92F14">
      <w:pPr>
        <w:spacing w:line="245" w:lineRule="auto"/>
        <w:rPr>
          <w:rFonts w:ascii="Arial"/>
          <w:color w:val="auto"/>
          <w:sz w:val="21"/>
          <w:highlight w:val="none"/>
        </w:rPr>
      </w:pPr>
    </w:p>
    <w:p w14:paraId="4C744550">
      <w:pPr>
        <w:spacing w:line="245" w:lineRule="auto"/>
        <w:rPr>
          <w:rFonts w:ascii="Arial"/>
          <w:color w:val="auto"/>
          <w:sz w:val="21"/>
          <w:highlight w:val="none"/>
        </w:rPr>
      </w:pPr>
    </w:p>
    <w:p w14:paraId="18EC1A14">
      <w:pPr>
        <w:spacing w:line="245" w:lineRule="auto"/>
        <w:rPr>
          <w:rFonts w:ascii="Arial"/>
          <w:color w:val="auto"/>
          <w:sz w:val="21"/>
          <w:highlight w:val="none"/>
        </w:rPr>
      </w:pPr>
    </w:p>
    <w:p w14:paraId="4836E231">
      <w:pPr>
        <w:spacing w:line="245" w:lineRule="auto"/>
        <w:rPr>
          <w:rFonts w:ascii="Arial"/>
          <w:color w:val="auto"/>
          <w:sz w:val="21"/>
          <w:highlight w:val="none"/>
        </w:rPr>
      </w:pPr>
    </w:p>
    <w:p w14:paraId="022FF336">
      <w:pPr>
        <w:spacing w:line="245" w:lineRule="auto"/>
        <w:rPr>
          <w:rFonts w:ascii="Arial"/>
          <w:color w:val="auto"/>
          <w:sz w:val="21"/>
          <w:highlight w:val="none"/>
        </w:rPr>
      </w:pPr>
    </w:p>
    <w:p w14:paraId="062C4797">
      <w:pPr>
        <w:spacing w:line="246" w:lineRule="auto"/>
        <w:rPr>
          <w:rFonts w:ascii="Arial"/>
          <w:color w:val="auto"/>
          <w:sz w:val="21"/>
          <w:highlight w:val="none"/>
        </w:rPr>
      </w:pPr>
    </w:p>
    <w:p w14:paraId="684F70BF">
      <w:pPr>
        <w:spacing w:line="246" w:lineRule="auto"/>
        <w:rPr>
          <w:rFonts w:ascii="Arial"/>
          <w:color w:val="auto"/>
          <w:sz w:val="21"/>
          <w:highlight w:val="none"/>
        </w:rPr>
      </w:pPr>
    </w:p>
    <w:p w14:paraId="2EE1EEAD">
      <w:pPr>
        <w:spacing w:line="246" w:lineRule="auto"/>
        <w:rPr>
          <w:rFonts w:ascii="Arial"/>
          <w:color w:val="auto"/>
          <w:sz w:val="21"/>
          <w:highlight w:val="none"/>
        </w:rPr>
      </w:pPr>
    </w:p>
    <w:p w14:paraId="49944E87">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08E5B78">
      <w:pPr>
        <w:spacing w:before="177" w:line="345" w:lineRule="auto"/>
        <w:ind w:left="50" w:right="224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F90315D">
      <w:pPr>
        <w:spacing w:line="246" w:lineRule="auto"/>
        <w:rPr>
          <w:rFonts w:ascii="Arial"/>
          <w:color w:val="auto"/>
          <w:sz w:val="21"/>
          <w:highlight w:val="none"/>
        </w:rPr>
      </w:pPr>
    </w:p>
    <w:p w14:paraId="4CC04B0B">
      <w:pPr>
        <w:spacing w:line="246" w:lineRule="auto"/>
        <w:rPr>
          <w:rFonts w:ascii="Arial"/>
          <w:color w:val="auto"/>
          <w:sz w:val="21"/>
          <w:highlight w:val="none"/>
        </w:rPr>
      </w:pPr>
    </w:p>
    <w:p w14:paraId="2C893A57">
      <w:pPr>
        <w:spacing w:line="246" w:lineRule="auto"/>
        <w:rPr>
          <w:rFonts w:ascii="Arial"/>
          <w:color w:val="auto"/>
          <w:sz w:val="21"/>
          <w:highlight w:val="none"/>
        </w:rPr>
      </w:pPr>
    </w:p>
    <w:p w14:paraId="0B594C88">
      <w:pPr>
        <w:spacing w:line="247" w:lineRule="auto"/>
        <w:rPr>
          <w:rFonts w:ascii="Arial"/>
          <w:color w:val="auto"/>
          <w:sz w:val="21"/>
          <w:highlight w:val="none"/>
        </w:rPr>
      </w:pPr>
    </w:p>
    <w:p w14:paraId="08EE8855">
      <w:pPr>
        <w:spacing w:line="247" w:lineRule="auto"/>
        <w:rPr>
          <w:rFonts w:ascii="Arial"/>
          <w:color w:val="auto"/>
          <w:sz w:val="21"/>
          <w:highlight w:val="none"/>
        </w:rPr>
      </w:pPr>
    </w:p>
    <w:p w14:paraId="07B04BE0">
      <w:pPr>
        <w:spacing w:line="247" w:lineRule="auto"/>
        <w:rPr>
          <w:rFonts w:ascii="Arial"/>
          <w:color w:val="auto"/>
          <w:sz w:val="21"/>
          <w:highlight w:val="none"/>
        </w:rPr>
      </w:pPr>
    </w:p>
    <w:p w14:paraId="02B3A793">
      <w:pPr>
        <w:spacing w:line="247" w:lineRule="auto"/>
        <w:rPr>
          <w:rFonts w:ascii="Arial"/>
          <w:color w:val="auto"/>
          <w:sz w:val="21"/>
          <w:highlight w:val="none"/>
        </w:rPr>
      </w:pPr>
    </w:p>
    <w:p w14:paraId="6266B42A">
      <w:pPr>
        <w:spacing w:line="247" w:lineRule="auto"/>
        <w:rPr>
          <w:rFonts w:ascii="Arial"/>
          <w:color w:val="auto"/>
          <w:sz w:val="21"/>
          <w:highlight w:val="none"/>
        </w:rPr>
      </w:pPr>
    </w:p>
    <w:p w14:paraId="705024B1">
      <w:pPr>
        <w:spacing w:line="247" w:lineRule="auto"/>
        <w:rPr>
          <w:rFonts w:ascii="Arial"/>
          <w:color w:val="auto"/>
          <w:sz w:val="21"/>
          <w:highlight w:val="none"/>
        </w:rPr>
      </w:pPr>
    </w:p>
    <w:p w14:paraId="3C97D04B">
      <w:pPr>
        <w:spacing w:line="247" w:lineRule="auto"/>
        <w:rPr>
          <w:rFonts w:ascii="Arial"/>
          <w:color w:val="auto"/>
          <w:sz w:val="21"/>
          <w:highlight w:val="none"/>
        </w:rPr>
      </w:pPr>
    </w:p>
    <w:p w14:paraId="38C68F0D">
      <w:pPr>
        <w:spacing w:line="247" w:lineRule="auto"/>
        <w:rPr>
          <w:rFonts w:ascii="Arial"/>
          <w:color w:val="auto"/>
          <w:sz w:val="21"/>
          <w:highlight w:val="none"/>
        </w:rPr>
      </w:pPr>
    </w:p>
    <w:p w14:paraId="2EF9CBDC">
      <w:pPr>
        <w:spacing w:line="247" w:lineRule="auto"/>
        <w:rPr>
          <w:rFonts w:ascii="Arial"/>
          <w:color w:val="auto"/>
          <w:sz w:val="21"/>
          <w:highlight w:val="none"/>
        </w:rPr>
      </w:pPr>
    </w:p>
    <w:p w14:paraId="206067C0">
      <w:pPr>
        <w:spacing w:line="247" w:lineRule="auto"/>
        <w:rPr>
          <w:rFonts w:ascii="Arial"/>
          <w:color w:val="auto"/>
          <w:sz w:val="21"/>
          <w:highlight w:val="none"/>
        </w:rPr>
      </w:pPr>
    </w:p>
    <w:p w14:paraId="41C9248D">
      <w:pPr>
        <w:spacing w:line="247" w:lineRule="auto"/>
        <w:rPr>
          <w:rFonts w:ascii="Arial"/>
          <w:color w:val="auto"/>
          <w:sz w:val="21"/>
          <w:highlight w:val="none"/>
        </w:rPr>
      </w:pPr>
    </w:p>
    <w:p w14:paraId="24A4D75D">
      <w:pPr>
        <w:spacing w:line="247" w:lineRule="auto"/>
        <w:rPr>
          <w:rFonts w:ascii="Arial"/>
          <w:color w:val="auto"/>
          <w:sz w:val="21"/>
          <w:highlight w:val="none"/>
        </w:rPr>
      </w:pPr>
    </w:p>
    <w:p w14:paraId="42EDA5C3">
      <w:pPr>
        <w:spacing w:line="247" w:lineRule="auto"/>
        <w:rPr>
          <w:rFonts w:ascii="Arial"/>
          <w:color w:val="auto"/>
          <w:sz w:val="21"/>
          <w:highlight w:val="none"/>
        </w:rPr>
      </w:pPr>
    </w:p>
    <w:p w14:paraId="17CE2909">
      <w:pPr>
        <w:spacing w:line="247" w:lineRule="auto"/>
        <w:rPr>
          <w:rFonts w:ascii="Arial"/>
          <w:color w:val="auto"/>
          <w:sz w:val="21"/>
          <w:highlight w:val="none"/>
        </w:rPr>
      </w:pPr>
    </w:p>
    <w:p w14:paraId="20AAB253">
      <w:pPr>
        <w:spacing w:line="247" w:lineRule="auto"/>
        <w:rPr>
          <w:rFonts w:ascii="Arial"/>
          <w:color w:val="auto"/>
          <w:sz w:val="21"/>
          <w:highlight w:val="none"/>
        </w:rPr>
      </w:pPr>
    </w:p>
    <w:p w14:paraId="45A93B3E">
      <w:pPr>
        <w:spacing w:line="247" w:lineRule="auto"/>
        <w:rPr>
          <w:rFonts w:ascii="Arial"/>
          <w:color w:val="auto"/>
          <w:sz w:val="21"/>
          <w:highlight w:val="none"/>
        </w:rPr>
      </w:pPr>
    </w:p>
    <w:p w14:paraId="5B11BEFF">
      <w:pPr>
        <w:spacing w:line="247" w:lineRule="auto"/>
        <w:rPr>
          <w:rFonts w:ascii="Arial"/>
          <w:color w:val="auto"/>
          <w:sz w:val="21"/>
          <w:highlight w:val="none"/>
        </w:rPr>
      </w:pPr>
    </w:p>
    <w:p w14:paraId="660A85FE">
      <w:pPr>
        <w:spacing w:line="247" w:lineRule="auto"/>
        <w:rPr>
          <w:rFonts w:ascii="Arial"/>
          <w:color w:val="auto"/>
          <w:sz w:val="21"/>
          <w:highlight w:val="none"/>
        </w:rPr>
      </w:pPr>
    </w:p>
    <w:p w14:paraId="3396C88B">
      <w:pPr>
        <w:spacing w:line="247" w:lineRule="auto"/>
        <w:rPr>
          <w:rFonts w:ascii="Arial"/>
          <w:color w:val="auto"/>
          <w:sz w:val="21"/>
          <w:highlight w:val="none"/>
        </w:rPr>
      </w:pPr>
    </w:p>
    <w:p w14:paraId="1952E688">
      <w:pPr>
        <w:spacing w:line="247" w:lineRule="auto"/>
        <w:rPr>
          <w:rFonts w:ascii="Arial"/>
          <w:color w:val="auto"/>
          <w:sz w:val="21"/>
          <w:highlight w:val="none"/>
        </w:rPr>
      </w:pPr>
    </w:p>
    <w:p w14:paraId="5D0C05B2">
      <w:pPr>
        <w:spacing w:line="247" w:lineRule="auto"/>
        <w:rPr>
          <w:rFonts w:ascii="Arial"/>
          <w:color w:val="auto"/>
          <w:sz w:val="21"/>
          <w:highlight w:val="none"/>
        </w:rPr>
      </w:pPr>
    </w:p>
    <w:p w14:paraId="1EB1D2FF">
      <w:pPr>
        <w:spacing w:line="247" w:lineRule="auto"/>
        <w:rPr>
          <w:rFonts w:ascii="Arial"/>
          <w:color w:val="auto"/>
          <w:sz w:val="21"/>
          <w:highlight w:val="none"/>
        </w:rPr>
      </w:pPr>
    </w:p>
    <w:p w14:paraId="3554BBD3">
      <w:pPr>
        <w:pStyle w:val="8"/>
        <w:spacing w:before="120" w:line="188" w:lineRule="auto"/>
        <w:jc w:val="center"/>
        <w:rPr>
          <w:b/>
          <w:bCs/>
          <w:color w:val="auto"/>
          <w:spacing w:val="-6"/>
          <w:sz w:val="28"/>
          <w:szCs w:val="28"/>
          <w:highlight w:val="none"/>
        </w:rPr>
      </w:pPr>
    </w:p>
    <w:p w14:paraId="0EB9B7B5">
      <w:pPr>
        <w:pStyle w:val="8"/>
        <w:spacing w:before="120" w:line="188" w:lineRule="auto"/>
        <w:jc w:val="center"/>
        <w:rPr>
          <w:color w:val="auto"/>
          <w:sz w:val="28"/>
          <w:szCs w:val="28"/>
          <w:highlight w:val="none"/>
        </w:rPr>
      </w:pPr>
      <w:r>
        <w:rPr>
          <w:b/>
          <w:bCs/>
          <w:color w:val="auto"/>
          <w:spacing w:val="-6"/>
          <w:sz w:val="28"/>
          <w:szCs w:val="28"/>
          <w:highlight w:val="none"/>
        </w:rPr>
        <w:t>9、售后服务</w:t>
      </w:r>
    </w:p>
    <w:p w14:paraId="1381C23A">
      <w:pPr>
        <w:spacing w:line="319" w:lineRule="auto"/>
        <w:rPr>
          <w:rFonts w:ascii="Arial"/>
          <w:color w:val="auto"/>
          <w:sz w:val="21"/>
          <w:highlight w:val="none"/>
        </w:rPr>
      </w:pPr>
    </w:p>
    <w:p w14:paraId="7CDEE03F">
      <w:pPr>
        <w:spacing w:line="319" w:lineRule="auto"/>
        <w:rPr>
          <w:rFonts w:ascii="Arial"/>
          <w:color w:val="auto"/>
          <w:sz w:val="21"/>
          <w:highlight w:val="none"/>
        </w:rPr>
      </w:pPr>
    </w:p>
    <w:p w14:paraId="5D40236F">
      <w:pPr>
        <w:spacing w:line="319" w:lineRule="auto"/>
        <w:rPr>
          <w:rFonts w:ascii="Arial"/>
          <w:color w:val="auto"/>
          <w:sz w:val="21"/>
          <w:highlight w:val="none"/>
        </w:rPr>
      </w:pPr>
    </w:p>
    <w:p w14:paraId="3AA557A0">
      <w:pPr>
        <w:pStyle w:val="8"/>
        <w:spacing w:before="120" w:line="184" w:lineRule="auto"/>
        <w:ind w:left="1385"/>
        <w:rPr>
          <w:color w:val="auto"/>
          <w:sz w:val="28"/>
          <w:szCs w:val="28"/>
          <w:highlight w:val="none"/>
        </w:rPr>
      </w:pPr>
      <w:r>
        <w:rPr>
          <w:b/>
          <w:bCs/>
          <w:color w:val="auto"/>
          <w:spacing w:val="-2"/>
          <w:sz w:val="28"/>
          <w:szCs w:val="28"/>
          <w:highlight w:val="none"/>
        </w:rPr>
        <w:t>（包含售后服务方案、场地、设备、人员等）</w:t>
      </w:r>
    </w:p>
    <w:p w14:paraId="466E7BC1">
      <w:pPr>
        <w:spacing w:line="243" w:lineRule="auto"/>
        <w:rPr>
          <w:rFonts w:ascii="Arial"/>
          <w:color w:val="auto"/>
          <w:sz w:val="21"/>
          <w:highlight w:val="none"/>
        </w:rPr>
      </w:pPr>
    </w:p>
    <w:p w14:paraId="4AC431C9">
      <w:pPr>
        <w:spacing w:line="243" w:lineRule="auto"/>
        <w:rPr>
          <w:rFonts w:ascii="Arial"/>
          <w:color w:val="auto"/>
          <w:sz w:val="21"/>
          <w:highlight w:val="none"/>
        </w:rPr>
      </w:pPr>
    </w:p>
    <w:p w14:paraId="1E71CB97">
      <w:pPr>
        <w:spacing w:line="243" w:lineRule="auto"/>
        <w:rPr>
          <w:rFonts w:ascii="Arial"/>
          <w:color w:val="auto"/>
          <w:sz w:val="21"/>
          <w:highlight w:val="none"/>
        </w:rPr>
      </w:pPr>
    </w:p>
    <w:p w14:paraId="6B0038E2">
      <w:pPr>
        <w:spacing w:line="243" w:lineRule="auto"/>
        <w:rPr>
          <w:rFonts w:ascii="Arial"/>
          <w:color w:val="auto"/>
          <w:sz w:val="21"/>
          <w:highlight w:val="none"/>
        </w:rPr>
      </w:pPr>
    </w:p>
    <w:p w14:paraId="7B1F2B64">
      <w:pPr>
        <w:spacing w:line="243" w:lineRule="auto"/>
        <w:rPr>
          <w:rFonts w:ascii="Arial"/>
          <w:color w:val="auto"/>
          <w:sz w:val="21"/>
          <w:highlight w:val="none"/>
        </w:rPr>
      </w:pPr>
    </w:p>
    <w:p w14:paraId="3F2FC26B">
      <w:pPr>
        <w:spacing w:line="243" w:lineRule="auto"/>
        <w:rPr>
          <w:rFonts w:ascii="Arial"/>
          <w:color w:val="auto"/>
          <w:sz w:val="21"/>
          <w:highlight w:val="none"/>
        </w:rPr>
      </w:pPr>
    </w:p>
    <w:p w14:paraId="34E9DBB4">
      <w:pPr>
        <w:spacing w:line="243" w:lineRule="auto"/>
        <w:rPr>
          <w:rFonts w:ascii="Arial"/>
          <w:color w:val="auto"/>
          <w:sz w:val="21"/>
          <w:highlight w:val="none"/>
        </w:rPr>
      </w:pPr>
    </w:p>
    <w:p w14:paraId="1439FEE0">
      <w:pPr>
        <w:spacing w:line="243" w:lineRule="auto"/>
        <w:rPr>
          <w:rFonts w:ascii="Arial"/>
          <w:color w:val="auto"/>
          <w:sz w:val="21"/>
          <w:highlight w:val="none"/>
        </w:rPr>
      </w:pPr>
    </w:p>
    <w:p w14:paraId="00128F92">
      <w:pPr>
        <w:spacing w:line="243" w:lineRule="auto"/>
        <w:rPr>
          <w:rFonts w:ascii="Arial"/>
          <w:color w:val="auto"/>
          <w:sz w:val="21"/>
          <w:highlight w:val="none"/>
        </w:rPr>
      </w:pPr>
    </w:p>
    <w:p w14:paraId="6949A4AA">
      <w:pPr>
        <w:spacing w:line="243" w:lineRule="auto"/>
        <w:rPr>
          <w:rFonts w:ascii="Arial"/>
          <w:color w:val="auto"/>
          <w:sz w:val="21"/>
          <w:highlight w:val="none"/>
        </w:rPr>
      </w:pPr>
    </w:p>
    <w:p w14:paraId="66ECBF0B">
      <w:pPr>
        <w:spacing w:line="243" w:lineRule="auto"/>
        <w:rPr>
          <w:rFonts w:ascii="Arial"/>
          <w:color w:val="auto"/>
          <w:sz w:val="21"/>
          <w:highlight w:val="none"/>
        </w:rPr>
      </w:pPr>
    </w:p>
    <w:p w14:paraId="5F573E2A">
      <w:pPr>
        <w:spacing w:line="243" w:lineRule="auto"/>
        <w:rPr>
          <w:rFonts w:ascii="Arial"/>
          <w:color w:val="auto"/>
          <w:sz w:val="21"/>
          <w:highlight w:val="none"/>
        </w:rPr>
      </w:pPr>
    </w:p>
    <w:p w14:paraId="1B160733">
      <w:pPr>
        <w:spacing w:line="243" w:lineRule="auto"/>
        <w:rPr>
          <w:rFonts w:ascii="Arial"/>
          <w:color w:val="auto"/>
          <w:sz w:val="21"/>
          <w:highlight w:val="none"/>
        </w:rPr>
      </w:pPr>
    </w:p>
    <w:p w14:paraId="3BD7CAC4">
      <w:pPr>
        <w:spacing w:line="243" w:lineRule="auto"/>
        <w:rPr>
          <w:rFonts w:ascii="Arial"/>
          <w:color w:val="auto"/>
          <w:sz w:val="21"/>
          <w:highlight w:val="none"/>
        </w:rPr>
      </w:pPr>
    </w:p>
    <w:p w14:paraId="6B80B5AA">
      <w:pPr>
        <w:spacing w:line="243" w:lineRule="auto"/>
        <w:rPr>
          <w:rFonts w:ascii="Arial"/>
          <w:color w:val="auto"/>
          <w:sz w:val="21"/>
          <w:highlight w:val="none"/>
        </w:rPr>
      </w:pPr>
    </w:p>
    <w:p w14:paraId="7DACC433">
      <w:pPr>
        <w:spacing w:line="243" w:lineRule="auto"/>
        <w:rPr>
          <w:rFonts w:ascii="Arial"/>
          <w:color w:val="auto"/>
          <w:sz w:val="21"/>
          <w:highlight w:val="none"/>
        </w:rPr>
      </w:pPr>
    </w:p>
    <w:p w14:paraId="315E9846">
      <w:pPr>
        <w:spacing w:line="243" w:lineRule="auto"/>
        <w:rPr>
          <w:rFonts w:ascii="Arial"/>
          <w:color w:val="auto"/>
          <w:sz w:val="21"/>
          <w:highlight w:val="none"/>
        </w:rPr>
      </w:pPr>
    </w:p>
    <w:p w14:paraId="670EE1F4">
      <w:pPr>
        <w:spacing w:line="243" w:lineRule="auto"/>
        <w:rPr>
          <w:rFonts w:ascii="Arial"/>
          <w:color w:val="auto"/>
          <w:sz w:val="21"/>
          <w:highlight w:val="none"/>
        </w:rPr>
      </w:pPr>
    </w:p>
    <w:p w14:paraId="092EC6C7">
      <w:pPr>
        <w:spacing w:line="243" w:lineRule="auto"/>
        <w:rPr>
          <w:rFonts w:ascii="Arial"/>
          <w:color w:val="auto"/>
          <w:sz w:val="21"/>
          <w:highlight w:val="none"/>
        </w:rPr>
      </w:pPr>
    </w:p>
    <w:p w14:paraId="2FC3D79B">
      <w:pPr>
        <w:spacing w:line="243" w:lineRule="auto"/>
        <w:rPr>
          <w:rFonts w:ascii="Arial"/>
          <w:color w:val="auto"/>
          <w:sz w:val="21"/>
          <w:highlight w:val="none"/>
        </w:rPr>
      </w:pPr>
    </w:p>
    <w:p w14:paraId="351F2360">
      <w:pPr>
        <w:spacing w:line="243" w:lineRule="auto"/>
        <w:rPr>
          <w:rFonts w:ascii="Arial"/>
          <w:color w:val="auto"/>
          <w:sz w:val="21"/>
          <w:highlight w:val="none"/>
        </w:rPr>
      </w:pPr>
    </w:p>
    <w:p w14:paraId="68FAB172">
      <w:pPr>
        <w:spacing w:line="243" w:lineRule="auto"/>
        <w:rPr>
          <w:rFonts w:ascii="Arial"/>
          <w:color w:val="auto"/>
          <w:sz w:val="21"/>
          <w:highlight w:val="none"/>
        </w:rPr>
      </w:pPr>
    </w:p>
    <w:p w14:paraId="2623F2E8">
      <w:pPr>
        <w:spacing w:line="243" w:lineRule="auto"/>
        <w:rPr>
          <w:rFonts w:ascii="Arial"/>
          <w:color w:val="auto"/>
          <w:sz w:val="21"/>
          <w:highlight w:val="none"/>
        </w:rPr>
      </w:pPr>
    </w:p>
    <w:p w14:paraId="22450379">
      <w:pPr>
        <w:spacing w:line="243" w:lineRule="auto"/>
        <w:rPr>
          <w:rFonts w:ascii="Arial"/>
          <w:color w:val="auto"/>
          <w:sz w:val="21"/>
          <w:highlight w:val="none"/>
        </w:rPr>
      </w:pPr>
    </w:p>
    <w:p w14:paraId="35DC2BFB">
      <w:pPr>
        <w:spacing w:line="243" w:lineRule="auto"/>
        <w:rPr>
          <w:rFonts w:ascii="Arial"/>
          <w:color w:val="auto"/>
          <w:sz w:val="21"/>
          <w:highlight w:val="none"/>
        </w:rPr>
      </w:pPr>
    </w:p>
    <w:p w14:paraId="73790270">
      <w:pPr>
        <w:spacing w:line="243" w:lineRule="auto"/>
        <w:rPr>
          <w:rFonts w:ascii="Arial"/>
          <w:color w:val="auto"/>
          <w:sz w:val="21"/>
          <w:highlight w:val="none"/>
        </w:rPr>
      </w:pPr>
    </w:p>
    <w:p w14:paraId="27A4ACA5">
      <w:pPr>
        <w:spacing w:line="243" w:lineRule="auto"/>
        <w:rPr>
          <w:rFonts w:ascii="Arial"/>
          <w:color w:val="auto"/>
          <w:sz w:val="21"/>
          <w:highlight w:val="none"/>
        </w:rPr>
      </w:pPr>
    </w:p>
    <w:p w14:paraId="714F2FD8">
      <w:pPr>
        <w:spacing w:line="243" w:lineRule="auto"/>
        <w:rPr>
          <w:rFonts w:ascii="Arial"/>
          <w:color w:val="auto"/>
          <w:sz w:val="21"/>
          <w:highlight w:val="none"/>
        </w:rPr>
      </w:pPr>
    </w:p>
    <w:p w14:paraId="3DB3E83B">
      <w:pPr>
        <w:spacing w:line="243" w:lineRule="auto"/>
        <w:rPr>
          <w:rFonts w:ascii="Arial"/>
          <w:color w:val="auto"/>
          <w:sz w:val="21"/>
          <w:highlight w:val="none"/>
        </w:rPr>
      </w:pPr>
    </w:p>
    <w:p w14:paraId="686B0379">
      <w:pPr>
        <w:spacing w:line="243" w:lineRule="auto"/>
        <w:rPr>
          <w:rFonts w:ascii="Arial"/>
          <w:color w:val="auto"/>
          <w:sz w:val="21"/>
          <w:highlight w:val="none"/>
        </w:rPr>
      </w:pPr>
    </w:p>
    <w:p w14:paraId="2191F75E">
      <w:pPr>
        <w:spacing w:line="243" w:lineRule="auto"/>
        <w:rPr>
          <w:rFonts w:ascii="Arial"/>
          <w:color w:val="auto"/>
          <w:sz w:val="21"/>
          <w:highlight w:val="none"/>
        </w:rPr>
      </w:pPr>
    </w:p>
    <w:p w14:paraId="198FA7D3">
      <w:pPr>
        <w:spacing w:line="243" w:lineRule="auto"/>
        <w:rPr>
          <w:rFonts w:ascii="Arial"/>
          <w:color w:val="auto"/>
          <w:sz w:val="21"/>
          <w:highlight w:val="none"/>
        </w:rPr>
      </w:pPr>
    </w:p>
    <w:p w14:paraId="7B80807E">
      <w:pPr>
        <w:spacing w:line="243" w:lineRule="auto"/>
        <w:rPr>
          <w:rFonts w:ascii="Arial"/>
          <w:color w:val="auto"/>
          <w:sz w:val="21"/>
          <w:highlight w:val="none"/>
        </w:rPr>
      </w:pPr>
    </w:p>
    <w:p w14:paraId="74C169B7">
      <w:pPr>
        <w:spacing w:line="243" w:lineRule="auto"/>
        <w:rPr>
          <w:rFonts w:ascii="Arial"/>
          <w:color w:val="auto"/>
          <w:sz w:val="21"/>
          <w:highlight w:val="none"/>
        </w:rPr>
      </w:pPr>
    </w:p>
    <w:p w14:paraId="47031DA8">
      <w:pPr>
        <w:spacing w:line="243" w:lineRule="auto"/>
        <w:rPr>
          <w:rFonts w:ascii="Arial"/>
          <w:color w:val="auto"/>
          <w:sz w:val="21"/>
          <w:highlight w:val="none"/>
        </w:rPr>
      </w:pPr>
    </w:p>
    <w:p w14:paraId="716D78B3">
      <w:pPr>
        <w:spacing w:line="243" w:lineRule="auto"/>
        <w:rPr>
          <w:rFonts w:ascii="Arial"/>
          <w:color w:val="auto"/>
          <w:sz w:val="21"/>
          <w:highlight w:val="none"/>
        </w:rPr>
      </w:pPr>
    </w:p>
    <w:p w14:paraId="54FBAF68">
      <w:pPr>
        <w:spacing w:line="243" w:lineRule="auto"/>
        <w:rPr>
          <w:rFonts w:ascii="Arial"/>
          <w:color w:val="auto"/>
          <w:sz w:val="21"/>
          <w:highlight w:val="none"/>
        </w:rPr>
      </w:pPr>
    </w:p>
    <w:p w14:paraId="47346E8E">
      <w:pPr>
        <w:spacing w:line="243" w:lineRule="auto"/>
        <w:rPr>
          <w:rFonts w:ascii="Arial"/>
          <w:color w:val="auto"/>
          <w:sz w:val="21"/>
          <w:highlight w:val="none"/>
        </w:rPr>
      </w:pPr>
    </w:p>
    <w:p w14:paraId="7D8EFECA">
      <w:pPr>
        <w:spacing w:line="243" w:lineRule="auto"/>
        <w:rPr>
          <w:rFonts w:ascii="Arial"/>
          <w:color w:val="auto"/>
          <w:sz w:val="21"/>
          <w:highlight w:val="none"/>
        </w:rPr>
      </w:pPr>
    </w:p>
    <w:p w14:paraId="6A575E2E">
      <w:pPr>
        <w:spacing w:line="243" w:lineRule="auto"/>
        <w:rPr>
          <w:rFonts w:ascii="Arial"/>
          <w:color w:val="auto"/>
          <w:sz w:val="21"/>
          <w:highlight w:val="none"/>
        </w:rPr>
      </w:pPr>
    </w:p>
    <w:p w14:paraId="019E4077">
      <w:pPr>
        <w:spacing w:line="243" w:lineRule="auto"/>
        <w:rPr>
          <w:rFonts w:ascii="Arial"/>
          <w:color w:val="auto"/>
          <w:sz w:val="21"/>
          <w:highlight w:val="none"/>
        </w:rPr>
      </w:pPr>
    </w:p>
    <w:p w14:paraId="682DE934">
      <w:pPr>
        <w:spacing w:line="243" w:lineRule="auto"/>
        <w:rPr>
          <w:rFonts w:ascii="Arial"/>
          <w:color w:val="auto"/>
          <w:sz w:val="21"/>
          <w:highlight w:val="none"/>
        </w:rPr>
      </w:pPr>
    </w:p>
    <w:p w14:paraId="0FA53F63">
      <w:pPr>
        <w:spacing w:line="243" w:lineRule="auto"/>
        <w:rPr>
          <w:rFonts w:ascii="Arial"/>
          <w:color w:val="auto"/>
          <w:sz w:val="21"/>
          <w:highlight w:val="none"/>
        </w:rPr>
      </w:pPr>
    </w:p>
    <w:p w14:paraId="27C6823C">
      <w:pPr>
        <w:spacing w:line="243" w:lineRule="auto"/>
        <w:rPr>
          <w:rFonts w:ascii="Arial"/>
          <w:color w:val="auto"/>
          <w:sz w:val="21"/>
          <w:highlight w:val="none"/>
        </w:rPr>
      </w:pPr>
    </w:p>
    <w:p w14:paraId="39115F3B">
      <w:pPr>
        <w:spacing w:line="243" w:lineRule="auto"/>
        <w:rPr>
          <w:rFonts w:ascii="Arial"/>
          <w:color w:val="auto"/>
          <w:sz w:val="21"/>
          <w:highlight w:val="none"/>
        </w:rPr>
      </w:pPr>
    </w:p>
    <w:p w14:paraId="1016BE8A">
      <w:pPr>
        <w:spacing w:line="243" w:lineRule="auto"/>
        <w:rPr>
          <w:rFonts w:ascii="Arial"/>
          <w:color w:val="auto"/>
          <w:sz w:val="21"/>
          <w:highlight w:val="none"/>
        </w:rPr>
      </w:pPr>
    </w:p>
    <w:p w14:paraId="4BCD9E5A">
      <w:pPr>
        <w:spacing w:line="244" w:lineRule="auto"/>
        <w:rPr>
          <w:rFonts w:ascii="Arial"/>
          <w:color w:val="auto"/>
          <w:sz w:val="21"/>
          <w:highlight w:val="none"/>
        </w:rPr>
      </w:pPr>
    </w:p>
    <w:p w14:paraId="274C0493">
      <w:pPr>
        <w:spacing w:line="244" w:lineRule="auto"/>
        <w:rPr>
          <w:rFonts w:ascii="Arial"/>
          <w:color w:val="auto"/>
          <w:sz w:val="21"/>
          <w:highlight w:val="none"/>
        </w:rPr>
      </w:pPr>
    </w:p>
    <w:p w14:paraId="0858780F">
      <w:pPr>
        <w:spacing w:line="244" w:lineRule="auto"/>
        <w:rPr>
          <w:rFonts w:ascii="Arial"/>
          <w:color w:val="auto"/>
          <w:sz w:val="21"/>
          <w:highlight w:val="none"/>
        </w:rPr>
      </w:pPr>
    </w:p>
    <w:p w14:paraId="5BCF3201">
      <w:pPr>
        <w:spacing w:line="244" w:lineRule="auto"/>
        <w:rPr>
          <w:rFonts w:ascii="Arial"/>
          <w:color w:val="auto"/>
          <w:sz w:val="21"/>
          <w:highlight w:val="none"/>
        </w:rPr>
      </w:pPr>
    </w:p>
    <w:p w14:paraId="374F1BC3">
      <w:pPr>
        <w:spacing w:line="244" w:lineRule="auto"/>
        <w:rPr>
          <w:rFonts w:ascii="Arial"/>
          <w:color w:val="auto"/>
          <w:sz w:val="21"/>
          <w:highlight w:val="none"/>
        </w:rPr>
      </w:pPr>
    </w:p>
    <w:p w14:paraId="331DE871">
      <w:pPr>
        <w:spacing w:line="244" w:lineRule="auto"/>
        <w:rPr>
          <w:rFonts w:ascii="Arial"/>
          <w:color w:val="auto"/>
          <w:sz w:val="21"/>
          <w:highlight w:val="none"/>
        </w:rPr>
      </w:pPr>
    </w:p>
    <w:p w14:paraId="217048A8">
      <w:pPr>
        <w:pStyle w:val="8"/>
        <w:spacing w:before="120" w:line="188" w:lineRule="auto"/>
        <w:ind w:left="1817"/>
        <w:rPr>
          <w:b/>
          <w:bCs/>
          <w:color w:val="auto"/>
          <w:spacing w:val="-9"/>
          <w:sz w:val="28"/>
          <w:szCs w:val="28"/>
          <w:highlight w:val="none"/>
        </w:rPr>
      </w:pPr>
    </w:p>
    <w:p w14:paraId="100AD667">
      <w:pPr>
        <w:pStyle w:val="8"/>
        <w:spacing w:before="120" w:line="188" w:lineRule="auto"/>
        <w:ind w:left="1817"/>
        <w:rPr>
          <w:b/>
          <w:bCs/>
          <w:color w:val="auto"/>
          <w:spacing w:val="-9"/>
          <w:sz w:val="28"/>
          <w:szCs w:val="28"/>
          <w:highlight w:val="none"/>
        </w:rPr>
      </w:pPr>
    </w:p>
    <w:p w14:paraId="4DC8A231">
      <w:pPr>
        <w:pStyle w:val="8"/>
        <w:spacing w:before="120" w:line="188" w:lineRule="auto"/>
        <w:ind w:left="1817"/>
        <w:rPr>
          <w:b/>
          <w:bCs/>
          <w:color w:val="auto"/>
          <w:spacing w:val="-9"/>
          <w:sz w:val="28"/>
          <w:szCs w:val="28"/>
          <w:highlight w:val="none"/>
        </w:rPr>
      </w:pPr>
    </w:p>
    <w:p w14:paraId="052CB7BD">
      <w:pPr>
        <w:pStyle w:val="8"/>
        <w:spacing w:before="120" w:line="188" w:lineRule="auto"/>
        <w:ind w:left="1817"/>
        <w:rPr>
          <w:b/>
          <w:bCs/>
          <w:color w:val="auto"/>
          <w:spacing w:val="-9"/>
          <w:sz w:val="28"/>
          <w:szCs w:val="28"/>
          <w:highlight w:val="none"/>
        </w:rPr>
      </w:pPr>
    </w:p>
    <w:p w14:paraId="6A6BC007">
      <w:pPr>
        <w:pStyle w:val="8"/>
        <w:spacing w:before="120" w:line="188" w:lineRule="auto"/>
        <w:ind w:left="1817"/>
        <w:rPr>
          <w:b/>
          <w:bCs/>
          <w:color w:val="auto"/>
          <w:spacing w:val="-9"/>
          <w:sz w:val="28"/>
          <w:szCs w:val="28"/>
          <w:highlight w:val="none"/>
        </w:rPr>
      </w:pPr>
    </w:p>
    <w:p w14:paraId="1311A764">
      <w:pPr>
        <w:pStyle w:val="8"/>
        <w:spacing w:before="120" w:line="188" w:lineRule="auto"/>
        <w:ind w:left="1817"/>
        <w:rPr>
          <w:b/>
          <w:bCs/>
          <w:color w:val="auto"/>
          <w:spacing w:val="-9"/>
          <w:sz w:val="28"/>
          <w:szCs w:val="28"/>
          <w:highlight w:val="none"/>
        </w:rPr>
      </w:pPr>
    </w:p>
    <w:p w14:paraId="58DB5A76">
      <w:pPr>
        <w:pStyle w:val="8"/>
        <w:spacing w:before="120" w:line="188" w:lineRule="auto"/>
        <w:ind w:left="1817"/>
        <w:rPr>
          <w:b/>
          <w:bCs/>
          <w:color w:val="auto"/>
          <w:spacing w:val="-9"/>
          <w:sz w:val="28"/>
          <w:szCs w:val="28"/>
          <w:highlight w:val="none"/>
        </w:rPr>
      </w:pPr>
    </w:p>
    <w:p w14:paraId="05FEE5B8">
      <w:pPr>
        <w:pStyle w:val="8"/>
        <w:spacing w:before="120" w:line="188" w:lineRule="auto"/>
        <w:ind w:left="1817"/>
        <w:rPr>
          <w:color w:val="auto"/>
          <w:sz w:val="28"/>
          <w:szCs w:val="28"/>
          <w:highlight w:val="none"/>
        </w:rPr>
      </w:pPr>
      <w:r>
        <w:rPr>
          <w:b/>
          <w:bCs/>
          <w:color w:val="auto"/>
          <w:spacing w:val="-9"/>
          <w:sz w:val="28"/>
          <w:szCs w:val="28"/>
          <w:highlight w:val="none"/>
        </w:rPr>
        <w:t>10、投标人认为需要提供的其他材料；</w:t>
      </w:r>
    </w:p>
    <w:p w14:paraId="3D59AF12">
      <w:pPr>
        <w:rPr>
          <w:rFonts w:ascii="Arial"/>
          <w:color w:val="auto"/>
          <w:sz w:val="21"/>
          <w:highlight w:val="none"/>
        </w:rPr>
      </w:pPr>
    </w:p>
    <w:p w14:paraId="239DAF01">
      <w:pPr>
        <w:rPr>
          <w:rFonts w:ascii="Arial"/>
          <w:color w:val="auto"/>
          <w:sz w:val="21"/>
          <w:highlight w:val="none"/>
        </w:rPr>
      </w:pPr>
    </w:p>
    <w:p w14:paraId="0CE82371">
      <w:pPr>
        <w:spacing w:line="241" w:lineRule="auto"/>
        <w:rPr>
          <w:rFonts w:ascii="Arial"/>
          <w:color w:val="auto"/>
          <w:sz w:val="21"/>
          <w:highlight w:val="none"/>
        </w:rPr>
      </w:pPr>
    </w:p>
    <w:p w14:paraId="1CF70B33">
      <w:pPr>
        <w:spacing w:line="241" w:lineRule="auto"/>
        <w:rPr>
          <w:rFonts w:ascii="Arial"/>
          <w:color w:val="auto"/>
          <w:sz w:val="21"/>
          <w:highlight w:val="none"/>
        </w:rPr>
      </w:pPr>
    </w:p>
    <w:p w14:paraId="7D2D6923">
      <w:pPr>
        <w:spacing w:line="241" w:lineRule="auto"/>
        <w:rPr>
          <w:rFonts w:ascii="Arial"/>
          <w:color w:val="auto"/>
          <w:sz w:val="21"/>
          <w:highlight w:val="none"/>
        </w:rPr>
      </w:pPr>
    </w:p>
    <w:p w14:paraId="6E5C4D08">
      <w:pPr>
        <w:spacing w:line="241" w:lineRule="auto"/>
        <w:rPr>
          <w:rFonts w:ascii="Arial"/>
          <w:color w:val="auto"/>
          <w:sz w:val="21"/>
          <w:highlight w:val="none"/>
        </w:rPr>
      </w:pPr>
    </w:p>
    <w:p w14:paraId="40A648E9">
      <w:pPr>
        <w:spacing w:line="241" w:lineRule="auto"/>
        <w:rPr>
          <w:rFonts w:ascii="Arial"/>
          <w:color w:val="auto"/>
          <w:sz w:val="21"/>
          <w:highlight w:val="none"/>
        </w:rPr>
      </w:pPr>
    </w:p>
    <w:p w14:paraId="10D30770">
      <w:pPr>
        <w:spacing w:line="241" w:lineRule="auto"/>
        <w:rPr>
          <w:rFonts w:ascii="Arial"/>
          <w:color w:val="auto"/>
          <w:sz w:val="21"/>
          <w:highlight w:val="none"/>
        </w:rPr>
      </w:pPr>
    </w:p>
    <w:p w14:paraId="161764FA">
      <w:pPr>
        <w:spacing w:line="241" w:lineRule="auto"/>
        <w:rPr>
          <w:rFonts w:ascii="Arial"/>
          <w:color w:val="auto"/>
          <w:sz w:val="21"/>
          <w:highlight w:val="none"/>
        </w:rPr>
      </w:pPr>
    </w:p>
    <w:p w14:paraId="45924C49">
      <w:pPr>
        <w:spacing w:line="241" w:lineRule="auto"/>
        <w:rPr>
          <w:rFonts w:ascii="Arial"/>
          <w:color w:val="auto"/>
          <w:sz w:val="21"/>
          <w:highlight w:val="none"/>
        </w:rPr>
      </w:pPr>
    </w:p>
    <w:p w14:paraId="0FD104D7">
      <w:pPr>
        <w:pStyle w:val="8"/>
        <w:spacing w:before="120" w:line="187" w:lineRule="auto"/>
        <w:ind w:left="837"/>
        <w:rPr>
          <w:color w:val="auto"/>
          <w:sz w:val="28"/>
          <w:szCs w:val="28"/>
          <w:highlight w:val="none"/>
        </w:rPr>
      </w:pPr>
      <w:r>
        <w:rPr>
          <w:b/>
          <w:bCs/>
          <w:color w:val="auto"/>
          <w:spacing w:val="-6"/>
          <w:sz w:val="28"/>
          <w:szCs w:val="28"/>
          <w:highlight w:val="none"/>
        </w:rPr>
        <w:t>11、商务部分评分细则里需要提供的相关材料及方</w:t>
      </w:r>
      <w:r>
        <w:rPr>
          <w:b/>
          <w:bCs/>
          <w:color w:val="auto"/>
          <w:spacing w:val="-7"/>
          <w:sz w:val="28"/>
          <w:szCs w:val="28"/>
          <w:highlight w:val="none"/>
        </w:rPr>
        <w:t>案；</w:t>
      </w:r>
    </w:p>
    <w:p w14:paraId="06E6C9E2">
      <w:pPr>
        <w:spacing w:line="362" w:lineRule="auto"/>
        <w:rPr>
          <w:rFonts w:ascii="Arial"/>
          <w:color w:val="auto"/>
          <w:sz w:val="21"/>
          <w:highlight w:val="none"/>
        </w:rPr>
      </w:pPr>
    </w:p>
    <w:p w14:paraId="65501E42">
      <w:pPr>
        <w:spacing w:line="242" w:lineRule="auto"/>
        <w:rPr>
          <w:rFonts w:ascii="Arial"/>
          <w:color w:val="auto"/>
          <w:sz w:val="21"/>
          <w:highlight w:val="none"/>
        </w:rPr>
      </w:pPr>
    </w:p>
    <w:p w14:paraId="1C25D570">
      <w:pPr>
        <w:spacing w:line="242" w:lineRule="auto"/>
        <w:rPr>
          <w:rFonts w:ascii="Arial"/>
          <w:color w:val="auto"/>
          <w:sz w:val="21"/>
          <w:highlight w:val="none"/>
        </w:rPr>
      </w:pPr>
    </w:p>
    <w:p w14:paraId="567C7DCB">
      <w:pPr>
        <w:spacing w:line="242" w:lineRule="auto"/>
        <w:rPr>
          <w:rFonts w:ascii="Arial"/>
          <w:color w:val="auto"/>
          <w:sz w:val="21"/>
          <w:highlight w:val="none"/>
        </w:rPr>
      </w:pPr>
    </w:p>
    <w:p w14:paraId="53B84BA3">
      <w:pPr>
        <w:spacing w:line="242" w:lineRule="auto"/>
        <w:rPr>
          <w:rFonts w:ascii="Arial"/>
          <w:color w:val="auto"/>
          <w:sz w:val="21"/>
          <w:highlight w:val="none"/>
        </w:rPr>
      </w:pPr>
    </w:p>
    <w:p w14:paraId="26AAA333">
      <w:pPr>
        <w:spacing w:line="242" w:lineRule="auto"/>
        <w:rPr>
          <w:rFonts w:ascii="Arial"/>
          <w:color w:val="auto"/>
          <w:sz w:val="21"/>
          <w:highlight w:val="none"/>
        </w:rPr>
      </w:pPr>
    </w:p>
    <w:p w14:paraId="00D86E92">
      <w:pPr>
        <w:spacing w:line="242" w:lineRule="auto"/>
        <w:rPr>
          <w:rFonts w:ascii="Arial"/>
          <w:color w:val="auto"/>
          <w:sz w:val="21"/>
          <w:highlight w:val="none"/>
        </w:rPr>
      </w:pPr>
    </w:p>
    <w:p w14:paraId="0B527CE3">
      <w:pPr>
        <w:spacing w:line="242" w:lineRule="auto"/>
        <w:rPr>
          <w:rFonts w:ascii="Arial"/>
          <w:color w:val="auto"/>
          <w:sz w:val="21"/>
          <w:highlight w:val="none"/>
        </w:rPr>
      </w:pPr>
    </w:p>
    <w:p w14:paraId="123E5E35">
      <w:pPr>
        <w:spacing w:line="242" w:lineRule="auto"/>
        <w:rPr>
          <w:rFonts w:ascii="Arial"/>
          <w:color w:val="auto"/>
          <w:sz w:val="21"/>
          <w:highlight w:val="none"/>
        </w:rPr>
      </w:pPr>
    </w:p>
    <w:p w14:paraId="076E00E6">
      <w:pPr>
        <w:spacing w:line="242" w:lineRule="auto"/>
        <w:rPr>
          <w:rFonts w:ascii="Arial"/>
          <w:color w:val="auto"/>
          <w:sz w:val="21"/>
          <w:highlight w:val="none"/>
        </w:rPr>
      </w:pPr>
    </w:p>
    <w:p w14:paraId="6BA28EB5">
      <w:pPr>
        <w:spacing w:line="242" w:lineRule="auto"/>
        <w:rPr>
          <w:rFonts w:ascii="Arial"/>
          <w:color w:val="auto"/>
          <w:sz w:val="21"/>
          <w:highlight w:val="none"/>
        </w:rPr>
      </w:pPr>
    </w:p>
    <w:p w14:paraId="6ECBBA39">
      <w:pPr>
        <w:spacing w:line="242" w:lineRule="auto"/>
        <w:rPr>
          <w:rFonts w:ascii="Arial"/>
          <w:color w:val="auto"/>
          <w:sz w:val="21"/>
          <w:highlight w:val="none"/>
        </w:rPr>
      </w:pPr>
    </w:p>
    <w:p w14:paraId="0F7A601A">
      <w:pPr>
        <w:spacing w:line="242" w:lineRule="auto"/>
        <w:rPr>
          <w:rFonts w:ascii="Arial"/>
          <w:color w:val="auto"/>
          <w:sz w:val="21"/>
          <w:highlight w:val="none"/>
        </w:rPr>
      </w:pPr>
    </w:p>
    <w:p w14:paraId="2E46D80D">
      <w:pPr>
        <w:spacing w:line="242" w:lineRule="auto"/>
        <w:rPr>
          <w:rFonts w:ascii="Arial"/>
          <w:color w:val="auto"/>
          <w:sz w:val="21"/>
          <w:highlight w:val="none"/>
        </w:rPr>
      </w:pPr>
    </w:p>
    <w:p w14:paraId="7FBC3838">
      <w:pPr>
        <w:spacing w:line="242" w:lineRule="auto"/>
        <w:rPr>
          <w:rFonts w:ascii="Arial"/>
          <w:color w:val="auto"/>
          <w:sz w:val="21"/>
          <w:highlight w:val="none"/>
        </w:rPr>
      </w:pPr>
    </w:p>
    <w:p w14:paraId="2768EF21">
      <w:pPr>
        <w:spacing w:line="242" w:lineRule="auto"/>
        <w:rPr>
          <w:rFonts w:ascii="Arial"/>
          <w:color w:val="auto"/>
          <w:sz w:val="21"/>
          <w:highlight w:val="none"/>
        </w:rPr>
      </w:pPr>
    </w:p>
    <w:p w14:paraId="7F673213">
      <w:pPr>
        <w:spacing w:line="242" w:lineRule="auto"/>
        <w:rPr>
          <w:rFonts w:ascii="Arial"/>
          <w:color w:val="auto"/>
          <w:sz w:val="21"/>
          <w:highlight w:val="none"/>
        </w:rPr>
      </w:pPr>
    </w:p>
    <w:p w14:paraId="56E04EC3">
      <w:pPr>
        <w:spacing w:line="242" w:lineRule="auto"/>
        <w:rPr>
          <w:rFonts w:ascii="Arial"/>
          <w:color w:val="auto"/>
          <w:sz w:val="21"/>
          <w:highlight w:val="none"/>
        </w:rPr>
      </w:pPr>
    </w:p>
    <w:p w14:paraId="1524BA1C">
      <w:pPr>
        <w:spacing w:line="242" w:lineRule="auto"/>
        <w:rPr>
          <w:rFonts w:ascii="Arial"/>
          <w:color w:val="auto"/>
          <w:sz w:val="21"/>
          <w:highlight w:val="none"/>
        </w:rPr>
      </w:pPr>
    </w:p>
    <w:p w14:paraId="51B344A1">
      <w:pPr>
        <w:spacing w:line="242" w:lineRule="auto"/>
        <w:rPr>
          <w:rFonts w:ascii="Arial"/>
          <w:color w:val="auto"/>
          <w:sz w:val="21"/>
          <w:highlight w:val="none"/>
        </w:rPr>
      </w:pPr>
    </w:p>
    <w:p w14:paraId="3CF274F7">
      <w:pPr>
        <w:spacing w:line="242" w:lineRule="auto"/>
        <w:rPr>
          <w:rFonts w:ascii="Arial"/>
          <w:color w:val="auto"/>
          <w:sz w:val="21"/>
          <w:highlight w:val="none"/>
        </w:rPr>
      </w:pPr>
    </w:p>
    <w:p w14:paraId="3DC93228">
      <w:pPr>
        <w:spacing w:line="242" w:lineRule="auto"/>
        <w:rPr>
          <w:rFonts w:ascii="Arial"/>
          <w:color w:val="auto"/>
          <w:sz w:val="21"/>
          <w:highlight w:val="none"/>
        </w:rPr>
      </w:pPr>
    </w:p>
    <w:p w14:paraId="5990AD8F">
      <w:pPr>
        <w:spacing w:line="242" w:lineRule="auto"/>
        <w:rPr>
          <w:rFonts w:ascii="Arial"/>
          <w:color w:val="auto"/>
          <w:sz w:val="21"/>
          <w:highlight w:val="none"/>
        </w:rPr>
      </w:pPr>
    </w:p>
    <w:p w14:paraId="08DB3DC8">
      <w:pPr>
        <w:spacing w:line="242" w:lineRule="auto"/>
        <w:rPr>
          <w:rFonts w:ascii="Arial"/>
          <w:color w:val="auto"/>
          <w:sz w:val="21"/>
          <w:highlight w:val="none"/>
        </w:rPr>
      </w:pPr>
    </w:p>
    <w:p w14:paraId="7A89A11B">
      <w:pPr>
        <w:spacing w:line="242" w:lineRule="auto"/>
        <w:rPr>
          <w:rFonts w:ascii="Arial"/>
          <w:color w:val="auto"/>
          <w:sz w:val="21"/>
          <w:highlight w:val="none"/>
        </w:rPr>
      </w:pPr>
    </w:p>
    <w:p w14:paraId="75A7CA04">
      <w:pPr>
        <w:spacing w:line="242" w:lineRule="auto"/>
        <w:rPr>
          <w:rFonts w:ascii="Arial"/>
          <w:color w:val="auto"/>
          <w:sz w:val="21"/>
          <w:highlight w:val="none"/>
        </w:rPr>
      </w:pPr>
    </w:p>
    <w:p w14:paraId="2A739AED">
      <w:pPr>
        <w:spacing w:line="243" w:lineRule="auto"/>
        <w:rPr>
          <w:rFonts w:ascii="Arial"/>
          <w:color w:val="auto"/>
          <w:sz w:val="21"/>
          <w:highlight w:val="none"/>
        </w:rPr>
      </w:pPr>
    </w:p>
    <w:p w14:paraId="284CF397">
      <w:pPr>
        <w:spacing w:line="243" w:lineRule="auto"/>
        <w:rPr>
          <w:rFonts w:ascii="Arial"/>
          <w:color w:val="auto"/>
          <w:sz w:val="21"/>
          <w:highlight w:val="none"/>
        </w:rPr>
      </w:pPr>
    </w:p>
    <w:p w14:paraId="5680F347">
      <w:pPr>
        <w:spacing w:line="243" w:lineRule="auto"/>
        <w:rPr>
          <w:rFonts w:ascii="Arial"/>
          <w:color w:val="auto"/>
          <w:sz w:val="21"/>
          <w:highlight w:val="none"/>
        </w:rPr>
      </w:pPr>
    </w:p>
    <w:p w14:paraId="4E8B7F0D">
      <w:pPr>
        <w:spacing w:line="243" w:lineRule="auto"/>
        <w:rPr>
          <w:rFonts w:ascii="Arial"/>
          <w:color w:val="auto"/>
          <w:sz w:val="21"/>
          <w:highlight w:val="none"/>
        </w:rPr>
      </w:pPr>
    </w:p>
    <w:p w14:paraId="12A67D05">
      <w:pPr>
        <w:spacing w:line="243" w:lineRule="auto"/>
        <w:rPr>
          <w:rFonts w:ascii="Arial"/>
          <w:color w:val="auto"/>
          <w:sz w:val="21"/>
          <w:highlight w:val="none"/>
        </w:rPr>
      </w:pPr>
    </w:p>
    <w:p w14:paraId="6A790F08">
      <w:pPr>
        <w:spacing w:line="243" w:lineRule="auto"/>
        <w:rPr>
          <w:rFonts w:ascii="Arial"/>
          <w:color w:val="auto"/>
          <w:sz w:val="21"/>
          <w:highlight w:val="none"/>
        </w:rPr>
      </w:pPr>
    </w:p>
    <w:p w14:paraId="6F9C181B">
      <w:pPr>
        <w:spacing w:line="243" w:lineRule="auto"/>
        <w:rPr>
          <w:rFonts w:ascii="Arial"/>
          <w:color w:val="auto"/>
          <w:sz w:val="21"/>
          <w:highlight w:val="none"/>
        </w:rPr>
      </w:pPr>
    </w:p>
    <w:p w14:paraId="7C51E971">
      <w:pPr>
        <w:spacing w:line="243" w:lineRule="auto"/>
        <w:rPr>
          <w:rFonts w:ascii="Arial"/>
          <w:color w:val="auto"/>
          <w:sz w:val="21"/>
          <w:highlight w:val="none"/>
        </w:rPr>
      </w:pPr>
    </w:p>
    <w:p w14:paraId="3A58F836">
      <w:pPr>
        <w:pStyle w:val="8"/>
        <w:spacing w:before="189" w:line="188" w:lineRule="auto"/>
        <w:rPr>
          <w:b/>
          <w:bCs/>
          <w:color w:val="auto"/>
          <w:spacing w:val="-5"/>
          <w:sz w:val="44"/>
          <w:szCs w:val="44"/>
          <w:highlight w:val="none"/>
        </w:rPr>
      </w:pPr>
    </w:p>
    <w:p w14:paraId="417CC2EA">
      <w:pPr>
        <w:pStyle w:val="8"/>
        <w:spacing w:before="189" w:line="188" w:lineRule="auto"/>
        <w:jc w:val="center"/>
        <w:rPr>
          <w:color w:val="auto"/>
          <w:sz w:val="44"/>
          <w:szCs w:val="44"/>
          <w:highlight w:val="none"/>
        </w:rPr>
      </w:pPr>
      <w:r>
        <w:rPr>
          <w:b/>
          <w:bCs/>
          <w:color w:val="auto"/>
          <w:spacing w:val="-5"/>
          <w:sz w:val="44"/>
          <w:szCs w:val="44"/>
          <w:highlight w:val="none"/>
        </w:rPr>
        <w:t>第二部分：技术部分</w:t>
      </w:r>
    </w:p>
    <w:p w14:paraId="518A0234">
      <w:pPr>
        <w:spacing w:before="91" w:line="220" w:lineRule="auto"/>
        <w:ind w:left="3714"/>
        <w:outlineLvl w:val="1"/>
        <w:rPr>
          <w:rFonts w:ascii="宋体" w:hAnsi="宋体" w:eastAsia="宋体" w:cs="宋体"/>
          <w:color w:val="auto"/>
          <w:sz w:val="28"/>
          <w:szCs w:val="28"/>
          <w:highlight w:val="none"/>
        </w:rPr>
      </w:pPr>
      <w:r>
        <w:rPr>
          <w:b/>
          <w:bCs/>
          <w:color w:val="auto"/>
          <w:spacing w:val="-5"/>
          <w:sz w:val="28"/>
          <w:szCs w:val="28"/>
          <w:highlight w:val="none"/>
        </w:rPr>
        <w:t>1、</w:t>
      </w:r>
      <w:r>
        <w:rPr>
          <w:rFonts w:ascii="宋体" w:hAnsi="宋体" w:eastAsia="宋体" w:cs="宋体"/>
          <w:b/>
          <w:bCs/>
          <w:color w:val="auto"/>
          <w:spacing w:val="-4"/>
          <w:sz w:val="28"/>
          <w:szCs w:val="28"/>
          <w:highlight w:val="none"/>
        </w:rPr>
        <w:t>技术规格偏离表</w:t>
      </w:r>
    </w:p>
    <w:p w14:paraId="70FB95E3">
      <w:pPr>
        <w:spacing w:before="78" w:line="224" w:lineRule="auto"/>
        <w:rPr>
          <w:rFonts w:hint="eastAsia" w:ascii="新宋体" w:hAnsi="新宋体" w:eastAsia="新宋体" w:cs="新宋体"/>
          <w:color w:val="auto"/>
          <w:spacing w:val="-4"/>
          <w:sz w:val="24"/>
          <w:szCs w:val="24"/>
          <w:highlight w:val="none"/>
          <w:lang w:eastAsia="zh-CN"/>
        </w:rPr>
      </w:pPr>
      <w:r>
        <w:rPr>
          <w:rFonts w:hint="eastAsia" w:ascii="新宋体" w:hAnsi="新宋体" w:eastAsia="新宋体" w:cs="新宋体"/>
          <w:color w:val="auto"/>
          <w:spacing w:val="-4"/>
          <w:sz w:val="24"/>
          <w:szCs w:val="24"/>
          <w:highlight w:val="none"/>
          <w:lang w:eastAsia="zh-CN"/>
        </w:rPr>
        <w:t xml:space="preserve">项目名称 :                        </w:t>
      </w:r>
    </w:p>
    <w:tbl>
      <w:tblPr>
        <w:tblStyle w:val="15"/>
        <w:tblW w:w="10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133"/>
        <w:gridCol w:w="1132"/>
        <w:gridCol w:w="1132"/>
        <w:gridCol w:w="1133"/>
        <w:gridCol w:w="1132"/>
        <w:gridCol w:w="1132"/>
        <w:gridCol w:w="1132"/>
        <w:gridCol w:w="801"/>
        <w:gridCol w:w="799"/>
      </w:tblGrid>
      <w:tr w14:paraId="6DD3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dxa"/>
            <w:vAlign w:val="top"/>
          </w:tcPr>
          <w:p w14:paraId="6A84C619">
            <w:pPr>
              <w:pStyle w:val="16"/>
              <w:spacing w:before="177" w:line="229" w:lineRule="auto"/>
              <w:ind w:left="12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序号</w:t>
            </w:r>
          </w:p>
        </w:tc>
        <w:tc>
          <w:tcPr>
            <w:tcW w:w="1133" w:type="dxa"/>
            <w:vAlign w:val="top"/>
          </w:tcPr>
          <w:p w14:paraId="325589E6">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产品名称</w:t>
            </w:r>
          </w:p>
        </w:tc>
        <w:tc>
          <w:tcPr>
            <w:tcW w:w="1132" w:type="dxa"/>
            <w:vAlign w:val="top"/>
          </w:tcPr>
          <w:p w14:paraId="5F697B71">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产品品牌</w:t>
            </w:r>
          </w:p>
        </w:tc>
        <w:tc>
          <w:tcPr>
            <w:tcW w:w="1132" w:type="dxa"/>
            <w:vAlign w:val="top"/>
          </w:tcPr>
          <w:p w14:paraId="575F79CF">
            <w:pPr>
              <w:pStyle w:val="16"/>
              <w:spacing w:before="176" w:line="228" w:lineRule="auto"/>
              <w:ind w:left="149"/>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产品型号</w:t>
            </w:r>
          </w:p>
        </w:tc>
        <w:tc>
          <w:tcPr>
            <w:tcW w:w="1133" w:type="dxa"/>
            <w:vAlign w:val="top"/>
          </w:tcPr>
          <w:p w14:paraId="29BF96D2">
            <w:pPr>
              <w:pStyle w:val="16"/>
              <w:spacing w:before="40" w:line="228" w:lineRule="auto"/>
              <w:ind w:left="363"/>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生产</w:t>
            </w:r>
          </w:p>
          <w:p w14:paraId="751D1E77">
            <w:pPr>
              <w:pStyle w:val="16"/>
              <w:spacing w:before="24" w:line="224" w:lineRule="auto"/>
              <w:ind w:left="36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厂家</w:t>
            </w:r>
          </w:p>
        </w:tc>
        <w:tc>
          <w:tcPr>
            <w:tcW w:w="1132" w:type="dxa"/>
            <w:vAlign w:val="top"/>
          </w:tcPr>
          <w:p w14:paraId="217949AB">
            <w:pPr>
              <w:pStyle w:val="16"/>
              <w:spacing w:before="176" w:line="228" w:lineRule="auto"/>
              <w:ind w:left="150"/>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产品图片</w:t>
            </w:r>
          </w:p>
        </w:tc>
        <w:tc>
          <w:tcPr>
            <w:tcW w:w="1132" w:type="dxa"/>
            <w:vAlign w:val="top"/>
          </w:tcPr>
          <w:p w14:paraId="497186F8">
            <w:pPr>
              <w:pStyle w:val="16"/>
              <w:spacing w:before="176" w:line="228" w:lineRule="auto"/>
              <w:ind w:left="151"/>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招标规格</w:t>
            </w:r>
          </w:p>
        </w:tc>
        <w:tc>
          <w:tcPr>
            <w:tcW w:w="1132" w:type="dxa"/>
            <w:vAlign w:val="top"/>
          </w:tcPr>
          <w:p w14:paraId="5316241C">
            <w:pPr>
              <w:pStyle w:val="16"/>
              <w:spacing w:before="176" w:line="228" w:lineRule="auto"/>
              <w:ind w:left="15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投标规格</w:t>
            </w:r>
          </w:p>
        </w:tc>
        <w:tc>
          <w:tcPr>
            <w:tcW w:w="801" w:type="dxa"/>
            <w:vAlign w:val="top"/>
          </w:tcPr>
          <w:p w14:paraId="441C914D">
            <w:pPr>
              <w:pStyle w:val="16"/>
              <w:spacing w:before="176" w:line="228" w:lineRule="auto"/>
              <w:ind w:left="19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偏离</w:t>
            </w:r>
          </w:p>
        </w:tc>
        <w:tc>
          <w:tcPr>
            <w:tcW w:w="799" w:type="dxa"/>
            <w:vAlign w:val="top"/>
          </w:tcPr>
          <w:p w14:paraId="464DD2AF">
            <w:pPr>
              <w:pStyle w:val="16"/>
              <w:spacing w:before="176" w:line="228" w:lineRule="auto"/>
              <w:ind w:left="196"/>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说明</w:t>
            </w:r>
          </w:p>
        </w:tc>
      </w:tr>
      <w:tr w14:paraId="05E14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72" w:type="dxa"/>
            <w:vAlign w:val="top"/>
          </w:tcPr>
          <w:p w14:paraId="145FACF0">
            <w:pPr>
              <w:rPr>
                <w:rFonts w:ascii="Arial"/>
                <w:color w:val="auto"/>
                <w:sz w:val="21"/>
                <w:highlight w:val="none"/>
              </w:rPr>
            </w:pPr>
          </w:p>
        </w:tc>
        <w:tc>
          <w:tcPr>
            <w:tcW w:w="1133" w:type="dxa"/>
            <w:vAlign w:val="top"/>
          </w:tcPr>
          <w:p w14:paraId="03CA0A53">
            <w:pPr>
              <w:rPr>
                <w:rFonts w:ascii="Arial"/>
                <w:color w:val="auto"/>
                <w:sz w:val="21"/>
                <w:highlight w:val="none"/>
              </w:rPr>
            </w:pPr>
          </w:p>
        </w:tc>
        <w:tc>
          <w:tcPr>
            <w:tcW w:w="1132" w:type="dxa"/>
            <w:vAlign w:val="top"/>
          </w:tcPr>
          <w:p w14:paraId="3B22395E">
            <w:pPr>
              <w:rPr>
                <w:rFonts w:ascii="Arial"/>
                <w:color w:val="auto"/>
                <w:sz w:val="21"/>
                <w:highlight w:val="none"/>
              </w:rPr>
            </w:pPr>
          </w:p>
        </w:tc>
        <w:tc>
          <w:tcPr>
            <w:tcW w:w="1132" w:type="dxa"/>
            <w:vAlign w:val="top"/>
          </w:tcPr>
          <w:p w14:paraId="0EEF85AE">
            <w:pPr>
              <w:rPr>
                <w:rFonts w:ascii="Arial"/>
                <w:color w:val="auto"/>
                <w:sz w:val="21"/>
                <w:highlight w:val="none"/>
              </w:rPr>
            </w:pPr>
          </w:p>
        </w:tc>
        <w:tc>
          <w:tcPr>
            <w:tcW w:w="1133" w:type="dxa"/>
            <w:vAlign w:val="top"/>
          </w:tcPr>
          <w:p w14:paraId="595864BB">
            <w:pPr>
              <w:rPr>
                <w:rFonts w:ascii="Arial"/>
                <w:color w:val="auto"/>
                <w:sz w:val="21"/>
                <w:highlight w:val="none"/>
              </w:rPr>
            </w:pPr>
          </w:p>
        </w:tc>
        <w:tc>
          <w:tcPr>
            <w:tcW w:w="1132" w:type="dxa"/>
            <w:vAlign w:val="top"/>
          </w:tcPr>
          <w:p w14:paraId="4A9B7646">
            <w:pPr>
              <w:rPr>
                <w:rFonts w:ascii="Arial"/>
                <w:color w:val="auto"/>
                <w:sz w:val="21"/>
                <w:highlight w:val="none"/>
              </w:rPr>
            </w:pPr>
          </w:p>
        </w:tc>
        <w:tc>
          <w:tcPr>
            <w:tcW w:w="1132" w:type="dxa"/>
            <w:vAlign w:val="top"/>
          </w:tcPr>
          <w:p w14:paraId="46D909FD">
            <w:pPr>
              <w:rPr>
                <w:rFonts w:ascii="Arial"/>
                <w:color w:val="auto"/>
                <w:sz w:val="21"/>
                <w:highlight w:val="none"/>
              </w:rPr>
            </w:pPr>
          </w:p>
        </w:tc>
        <w:tc>
          <w:tcPr>
            <w:tcW w:w="1132" w:type="dxa"/>
            <w:vAlign w:val="top"/>
          </w:tcPr>
          <w:p w14:paraId="3D0B6372">
            <w:pPr>
              <w:rPr>
                <w:rFonts w:ascii="Arial"/>
                <w:color w:val="auto"/>
                <w:sz w:val="21"/>
                <w:highlight w:val="none"/>
              </w:rPr>
            </w:pPr>
          </w:p>
        </w:tc>
        <w:tc>
          <w:tcPr>
            <w:tcW w:w="801" w:type="dxa"/>
            <w:vAlign w:val="top"/>
          </w:tcPr>
          <w:p w14:paraId="665656B7">
            <w:pPr>
              <w:rPr>
                <w:rFonts w:ascii="Arial"/>
                <w:color w:val="auto"/>
                <w:sz w:val="21"/>
                <w:highlight w:val="none"/>
              </w:rPr>
            </w:pPr>
          </w:p>
        </w:tc>
        <w:tc>
          <w:tcPr>
            <w:tcW w:w="799" w:type="dxa"/>
            <w:vAlign w:val="top"/>
          </w:tcPr>
          <w:p w14:paraId="6A568B95">
            <w:pPr>
              <w:rPr>
                <w:rFonts w:ascii="Arial"/>
                <w:color w:val="auto"/>
                <w:sz w:val="21"/>
                <w:highlight w:val="none"/>
              </w:rPr>
            </w:pPr>
          </w:p>
        </w:tc>
      </w:tr>
      <w:tr w14:paraId="021C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72" w:type="dxa"/>
            <w:vAlign w:val="top"/>
          </w:tcPr>
          <w:p w14:paraId="586A8692">
            <w:pPr>
              <w:rPr>
                <w:rFonts w:ascii="Arial"/>
                <w:color w:val="auto"/>
                <w:sz w:val="21"/>
                <w:highlight w:val="none"/>
              </w:rPr>
            </w:pPr>
          </w:p>
        </w:tc>
        <w:tc>
          <w:tcPr>
            <w:tcW w:w="1133" w:type="dxa"/>
            <w:vAlign w:val="top"/>
          </w:tcPr>
          <w:p w14:paraId="14DC5FFD">
            <w:pPr>
              <w:rPr>
                <w:rFonts w:ascii="Arial"/>
                <w:color w:val="auto"/>
                <w:sz w:val="21"/>
                <w:highlight w:val="none"/>
              </w:rPr>
            </w:pPr>
          </w:p>
        </w:tc>
        <w:tc>
          <w:tcPr>
            <w:tcW w:w="1132" w:type="dxa"/>
            <w:vAlign w:val="top"/>
          </w:tcPr>
          <w:p w14:paraId="7706236E">
            <w:pPr>
              <w:rPr>
                <w:rFonts w:ascii="Arial"/>
                <w:color w:val="auto"/>
                <w:sz w:val="21"/>
                <w:highlight w:val="none"/>
              </w:rPr>
            </w:pPr>
          </w:p>
        </w:tc>
        <w:tc>
          <w:tcPr>
            <w:tcW w:w="1132" w:type="dxa"/>
            <w:vAlign w:val="top"/>
          </w:tcPr>
          <w:p w14:paraId="27082012">
            <w:pPr>
              <w:rPr>
                <w:rFonts w:ascii="Arial"/>
                <w:color w:val="auto"/>
                <w:sz w:val="21"/>
                <w:highlight w:val="none"/>
              </w:rPr>
            </w:pPr>
          </w:p>
        </w:tc>
        <w:tc>
          <w:tcPr>
            <w:tcW w:w="1133" w:type="dxa"/>
            <w:vAlign w:val="top"/>
          </w:tcPr>
          <w:p w14:paraId="776CEDA7">
            <w:pPr>
              <w:rPr>
                <w:rFonts w:ascii="Arial"/>
                <w:color w:val="auto"/>
                <w:sz w:val="21"/>
                <w:highlight w:val="none"/>
              </w:rPr>
            </w:pPr>
          </w:p>
        </w:tc>
        <w:tc>
          <w:tcPr>
            <w:tcW w:w="1132" w:type="dxa"/>
            <w:vAlign w:val="top"/>
          </w:tcPr>
          <w:p w14:paraId="08DA01F0">
            <w:pPr>
              <w:rPr>
                <w:rFonts w:ascii="Arial"/>
                <w:color w:val="auto"/>
                <w:sz w:val="21"/>
                <w:highlight w:val="none"/>
              </w:rPr>
            </w:pPr>
          </w:p>
        </w:tc>
        <w:tc>
          <w:tcPr>
            <w:tcW w:w="1132" w:type="dxa"/>
            <w:vAlign w:val="top"/>
          </w:tcPr>
          <w:p w14:paraId="2C119048">
            <w:pPr>
              <w:rPr>
                <w:rFonts w:ascii="Arial"/>
                <w:color w:val="auto"/>
                <w:sz w:val="21"/>
                <w:highlight w:val="none"/>
              </w:rPr>
            </w:pPr>
          </w:p>
        </w:tc>
        <w:tc>
          <w:tcPr>
            <w:tcW w:w="1132" w:type="dxa"/>
            <w:vAlign w:val="top"/>
          </w:tcPr>
          <w:p w14:paraId="7EB0D135">
            <w:pPr>
              <w:rPr>
                <w:rFonts w:ascii="Arial"/>
                <w:color w:val="auto"/>
                <w:sz w:val="21"/>
                <w:highlight w:val="none"/>
              </w:rPr>
            </w:pPr>
          </w:p>
        </w:tc>
        <w:tc>
          <w:tcPr>
            <w:tcW w:w="801" w:type="dxa"/>
            <w:vAlign w:val="top"/>
          </w:tcPr>
          <w:p w14:paraId="1DAD7481">
            <w:pPr>
              <w:rPr>
                <w:rFonts w:ascii="Arial"/>
                <w:color w:val="auto"/>
                <w:sz w:val="21"/>
                <w:highlight w:val="none"/>
              </w:rPr>
            </w:pPr>
          </w:p>
        </w:tc>
        <w:tc>
          <w:tcPr>
            <w:tcW w:w="799" w:type="dxa"/>
            <w:vAlign w:val="top"/>
          </w:tcPr>
          <w:p w14:paraId="1206036E">
            <w:pPr>
              <w:rPr>
                <w:rFonts w:ascii="Arial"/>
                <w:color w:val="auto"/>
                <w:sz w:val="21"/>
                <w:highlight w:val="none"/>
              </w:rPr>
            </w:pPr>
          </w:p>
        </w:tc>
      </w:tr>
      <w:tr w14:paraId="749D7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562D1B67">
            <w:pPr>
              <w:rPr>
                <w:rFonts w:ascii="Arial"/>
                <w:color w:val="auto"/>
                <w:sz w:val="21"/>
                <w:highlight w:val="none"/>
              </w:rPr>
            </w:pPr>
          </w:p>
        </w:tc>
        <w:tc>
          <w:tcPr>
            <w:tcW w:w="1133" w:type="dxa"/>
            <w:vAlign w:val="top"/>
          </w:tcPr>
          <w:p w14:paraId="06376C9B">
            <w:pPr>
              <w:rPr>
                <w:rFonts w:ascii="Arial"/>
                <w:color w:val="auto"/>
                <w:sz w:val="21"/>
                <w:highlight w:val="none"/>
              </w:rPr>
            </w:pPr>
          </w:p>
        </w:tc>
        <w:tc>
          <w:tcPr>
            <w:tcW w:w="1132" w:type="dxa"/>
            <w:vAlign w:val="top"/>
          </w:tcPr>
          <w:p w14:paraId="3528DA96">
            <w:pPr>
              <w:rPr>
                <w:rFonts w:ascii="Arial"/>
                <w:color w:val="auto"/>
                <w:sz w:val="21"/>
                <w:highlight w:val="none"/>
              </w:rPr>
            </w:pPr>
          </w:p>
        </w:tc>
        <w:tc>
          <w:tcPr>
            <w:tcW w:w="1132" w:type="dxa"/>
            <w:vAlign w:val="top"/>
          </w:tcPr>
          <w:p w14:paraId="72C8AD3B">
            <w:pPr>
              <w:rPr>
                <w:rFonts w:ascii="Arial"/>
                <w:color w:val="auto"/>
                <w:sz w:val="21"/>
                <w:highlight w:val="none"/>
              </w:rPr>
            </w:pPr>
          </w:p>
        </w:tc>
        <w:tc>
          <w:tcPr>
            <w:tcW w:w="1133" w:type="dxa"/>
            <w:vAlign w:val="top"/>
          </w:tcPr>
          <w:p w14:paraId="7AC557DB">
            <w:pPr>
              <w:rPr>
                <w:rFonts w:ascii="Arial"/>
                <w:color w:val="auto"/>
                <w:sz w:val="21"/>
                <w:highlight w:val="none"/>
              </w:rPr>
            </w:pPr>
          </w:p>
        </w:tc>
        <w:tc>
          <w:tcPr>
            <w:tcW w:w="1132" w:type="dxa"/>
            <w:vAlign w:val="top"/>
          </w:tcPr>
          <w:p w14:paraId="3FCD2CE8">
            <w:pPr>
              <w:rPr>
                <w:rFonts w:ascii="Arial"/>
                <w:color w:val="auto"/>
                <w:sz w:val="21"/>
                <w:highlight w:val="none"/>
              </w:rPr>
            </w:pPr>
          </w:p>
        </w:tc>
        <w:tc>
          <w:tcPr>
            <w:tcW w:w="1132" w:type="dxa"/>
            <w:vAlign w:val="top"/>
          </w:tcPr>
          <w:p w14:paraId="10128714">
            <w:pPr>
              <w:rPr>
                <w:rFonts w:ascii="Arial"/>
                <w:color w:val="auto"/>
                <w:sz w:val="21"/>
                <w:highlight w:val="none"/>
              </w:rPr>
            </w:pPr>
          </w:p>
        </w:tc>
        <w:tc>
          <w:tcPr>
            <w:tcW w:w="1132" w:type="dxa"/>
            <w:vAlign w:val="top"/>
          </w:tcPr>
          <w:p w14:paraId="14BF380A">
            <w:pPr>
              <w:rPr>
                <w:rFonts w:ascii="Arial"/>
                <w:color w:val="auto"/>
                <w:sz w:val="21"/>
                <w:highlight w:val="none"/>
              </w:rPr>
            </w:pPr>
          </w:p>
        </w:tc>
        <w:tc>
          <w:tcPr>
            <w:tcW w:w="801" w:type="dxa"/>
            <w:vAlign w:val="top"/>
          </w:tcPr>
          <w:p w14:paraId="77B8C051">
            <w:pPr>
              <w:rPr>
                <w:rFonts w:ascii="Arial"/>
                <w:color w:val="auto"/>
                <w:sz w:val="21"/>
                <w:highlight w:val="none"/>
              </w:rPr>
            </w:pPr>
          </w:p>
        </w:tc>
        <w:tc>
          <w:tcPr>
            <w:tcW w:w="799" w:type="dxa"/>
            <w:vAlign w:val="top"/>
          </w:tcPr>
          <w:p w14:paraId="5300F9D5">
            <w:pPr>
              <w:rPr>
                <w:rFonts w:ascii="Arial"/>
                <w:color w:val="auto"/>
                <w:sz w:val="21"/>
                <w:highlight w:val="none"/>
              </w:rPr>
            </w:pPr>
          </w:p>
        </w:tc>
      </w:tr>
      <w:tr w14:paraId="0F1F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5B611878">
            <w:pPr>
              <w:rPr>
                <w:rFonts w:ascii="Arial"/>
                <w:color w:val="auto"/>
                <w:sz w:val="21"/>
                <w:highlight w:val="none"/>
              </w:rPr>
            </w:pPr>
          </w:p>
        </w:tc>
        <w:tc>
          <w:tcPr>
            <w:tcW w:w="1133" w:type="dxa"/>
            <w:vAlign w:val="top"/>
          </w:tcPr>
          <w:p w14:paraId="00325E2B">
            <w:pPr>
              <w:rPr>
                <w:rFonts w:ascii="Arial"/>
                <w:color w:val="auto"/>
                <w:sz w:val="21"/>
                <w:highlight w:val="none"/>
              </w:rPr>
            </w:pPr>
          </w:p>
        </w:tc>
        <w:tc>
          <w:tcPr>
            <w:tcW w:w="1132" w:type="dxa"/>
            <w:vAlign w:val="top"/>
          </w:tcPr>
          <w:p w14:paraId="41D02D18">
            <w:pPr>
              <w:rPr>
                <w:rFonts w:ascii="Arial"/>
                <w:color w:val="auto"/>
                <w:sz w:val="21"/>
                <w:highlight w:val="none"/>
              </w:rPr>
            </w:pPr>
          </w:p>
        </w:tc>
        <w:tc>
          <w:tcPr>
            <w:tcW w:w="1132" w:type="dxa"/>
            <w:vAlign w:val="top"/>
          </w:tcPr>
          <w:p w14:paraId="7ED3396C">
            <w:pPr>
              <w:rPr>
                <w:rFonts w:ascii="Arial"/>
                <w:color w:val="auto"/>
                <w:sz w:val="21"/>
                <w:highlight w:val="none"/>
              </w:rPr>
            </w:pPr>
          </w:p>
        </w:tc>
        <w:tc>
          <w:tcPr>
            <w:tcW w:w="1133" w:type="dxa"/>
            <w:vAlign w:val="top"/>
          </w:tcPr>
          <w:p w14:paraId="0DB1E030">
            <w:pPr>
              <w:rPr>
                <w:rFonts w:ascii="Arial"/>
                <w:color w:val="auto"/>
                <w:sz w:val="21"/>
                <w:highlight w:val="none"/>
              </w:rPr>
            </w:pPr>
          </w:p>
        </w:tc>
        <w:tc>
          <w:tcPr>
            <w:tcW w:w="1132" w:type="dxa"/>
            <w:vAlign w:val="top"/>
          </w:tcPr>
          <w:p w14:paraId="3462FBF2">
            <w:pPr>
              <w:rPr>
                <w:rFonts w:ascii="Arial"/>
                <w:color w:val="auto"/>
                <w:sz w:val="21"/>
                <w:highlight w:val="none"/>
              </w:rPr>
            </w:pPr>
          </w:p>
        </w:tc>
        <w:tc>
          <w:tcPr>
            <w:tcW w:w="1132" w:type="dxa"/>
            <w:vAlign w:val="top"/>
          </w:tcPr>
          <w:p w14:paraId="6DA2A554">
            <w:pPr>
              <w:rPr>
                <w:rFonts w:ascii="Arial"/>
                <w:color w:val="auto"/>
                <w:sz w:val="21"/>
                <w:highlight w:val="none"/>
              </w:rPr>
            </w:pPr>
          </w:p>
        </w:tc>
        <w:tc>
          <w:tcPr>
            <w:tcW w:w="1132" w:type="dxa"/>
            <w:vAlign w:val="top"/>
          </w:tcPr>
          <w:p w14:paraId="5B8896C4">
            <w:pPr>
              <w:rPr>
                <w:rFonts w:ascii="Arial"/>
                <w:color w:val="auto"/>
                <w:sz w:val="21"/>
                <w:highlight w:val="none"/>
              </w:rPr>
            </w:pPr>
          </w:p>
        </w:tc>
        <w:tc>
          <w:tcPr>
            <w:tcW w:w="801" w:type="dxa"/>
            <w:vAlign w:val="top"/>
          </w:tcPr>
          <w:p w14:paraId="6E5AAC9C">
            <w:pPr>
              <w:rPr>
                <w:rFonts w:ascii="Arial"/>
                <w:color w:val="auto"/>
                <w:sz w:val="21"/>
                <w:highlight w:val="none"/>
              </w:rPr>
            </w:pPr>
          </w:p>
        </w:tc>
        <w:tc>
          <w:tcPr>
            <w:tcW w:w="799" w:type="dxa"/>
            <w:vAlign w:val="top"/>
          </w:tcPr>
          <w:p w14:paraId="7A9631EE">
            <w:pPr>
              <w:rPr>
                <w:rFonts w:ascii="Arial"/>
                <w:color w:val="auto"/>
                <w:sz w:val="21"/>
                <w:highlight w:val="none"/>
              </w:rPr>
            </w:pPr>
          </w:p>
        </w:tc>
      </w:tr>
      <w:tr w14:paraId="75B2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3099018C">
            <w:pPr>
              <w:rPr>
                <w:rFonts w:ascii="Arial"/>
                <w:color w:val="auto"/>
                <w:sz w:val="21"/>
                <w:highlight w:val="none"/>
              </w:rPr>
            </w:pPr>
          </w:p>
        </w:tc>
        <w:tc>
          <w:tcPr>
            <w:tcW w:w="1133" w:type="dxa"/>
            <w:vAlign w:val="top"/>
          </w:tcPr>
          <w:p w14:paraId="03D67943">
            <w:pPr>
              <w:rPr>
                <w:rFonts w:ascii="Arial"/>
                <w:color w:val="auto"/>
                <w:sz w:val="21"/>
                <w:highlight w:val="none"/>
              </w:rPr>
            </w:pPr>
          </w:p>
        </w:tc>
        <w:tc>
          <w:tcPr>
            <w:tcW w:w="1132" w:type="dxa"/>
            <w:vAlign w:val="top"/>
          </w:tcPr>
          <w:p w14:paraId="220D74A7">
            <w:pPr>
              <w:rPr>
                <w:rFonts w:ascii="Arial"/>
                <w:color w:val="auto"/>
                <w:sz w:val="21"/>
                <w:highlight w:val="none"/>
              </w:rPr>
            </w:pPr>
          </w:p>
        </w:tc>
        <w:tc>
          <w:tcPr>
            <w:tcW w:w="1132" w:type="dxa"/>
            <w:vAlign w:val="top"/>
          </w:tcPr>
          <w:p w14:paraId="61588E47">
            <w:pPr>
              <w:rPr>
                <w:rFonts w:ascii="Arial"/>
                <w:color w:val="auto"/>
                <w:sz w:val="21"/>
                <w:highlight w:val="none"/>
              </w:rPr>
            </w:pPr>
          </w:p>
        </w:tc>
        <w:tc>
          <w:tcPr>
            <w:tcW w:w="1133" w:type="dxa"/>
            <w:vAlign w:val="top"/>
          </w:tcPr>
          <w:p w14:paraId="1933083F">
            <w:pPr>
              <w:rPr>
                <w:rFonts w:ascii="Arial"/>
                <w:color w:val="auto"/>
                <w:sz w:val="21"/>
                <w:highlight w:val="none"/>
              </w:rPr>
            </w:pPr>
          </w:p>
        </w:tc>
        <w:tc>
          <w:tcPr>
            <w:tcW w:w="1132" w:type="dxa"/>
            <w:vAlign w:val="top"/>
          </w:tcPr>
          <w:p w14:paraId="22B38218">
            <w:pPr>
              <w:rPr>
                <w:rFonts w:ascii="Arial"/>
                <w:color w:val="auto"/>
                <w:sz w:val="21"/>
                <w:highlight w:val="none"/>
              </w:rPr>
            </w:pPr>
          </w:p>
        </w:tc>
        <w:tc>
          <w:tcPr>
            <w:tcW w:w="1132" w:type="dxa"/>
            <w:vAlign w:val="top"/>
          </w:tcPr>
          <w:p w14:paraId="19515FB9">
            <w:pPr>
              <w:rPr>
                <w:rFonts w:ascii="Arial"/>
                <w:color w:val="auto"/>
                <w:sz w:val="21"/>
                <w:highlight w:val="none"/>
              </w:rPr>
            </w:pPr>
          </w:p>
        </w:tc>
        <w:tc>
          <w:tcPr>
            <w:tcW w:w="1132" w:type="dxa"/>
            <w:vAlign w:val="top"/>
          </w:tcPr>
          <w:p w14:paraId="676F73C3">
            <w:pPr>
              <w:rPr>
                <w:rFonts w:ascii="Arial"/>
                <w:color w:val="auto"/>
                <w:sz w:val="21"/>
                <w:highlight w:val="none"/>
              </w:rPr>
            </w:pPr>
          </w:p>
        </w:tc>
        <w:tc>
          <w:tcPr>
            <w:tcW w:w="801" w:type="dxa"/>
            <w:vAlign w:val="top"/>
          </w:tcPr>
          <w:p w14:paraId="7CCB168D">
            <w:pPr>
              <w:rPr>
                <w:rFonts w:ascii="Arial"/>
                <w:color w:val="auto"/>
                <w:sz w:val="21"/>
                <w:highlight w:val="none"/>
              </w:rPr>
            </w:pPr>
          </w:p>
        </w:tc>
        <w:tc>
          <w:tcPr>
            <w:tcW w:w="799" w:type="dxa"/>
            <w:vAlign w:val="top"/>
          </w:tcPr>
          <w:p w14:paraId="5F0233FB">
            <w:pPr>
              <w:rPr>
                <w:rFonts w:ascii="Arial"/>
                <w:color w:val="auto"/>
                <w:sz w:val="21"/>
                <w:highlight w:val="none"/>
              </w:rPr>
            </w:pPr>
          </w:p>
        </w:tc>
      </w:tr>
      <w:tr w14:paraId="504D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72D5B3F3">
            <w:pPr>
              <w:rPr>
                <w:rFonts w:ascii="Arial"/>
                <w:color w:val="auto"/>
                <w:sz w:val="21"/>
                <w:highlight w:val="none"/>
              </w:rPr>
            </w:pPr>
          </w:p>
        </w:tc>
        <w:tc>
          <w:tcPr>
            <w:tcW w:w="1133" w:type="dxa"/>
            <w:vAlign w:val="top"/>
          </w:tcPr>
          <w:p w14:paraId="6D0AF4E6">
            <w:pPr>
              <w:rPr>
                <w:rFonts w:ascii="Arial"/>
                <w:color w:val="auto"/>
                <w:sz w:val="21"/>
                <w:highlight w:val="none"/>
              </w:rPr>
            </w:pPr>
          </w:p>
        </w:tc>
        <w:tc>
          <w:tcPr>
            <w:tcW w:w="1132" w:type="dxa"/>
            <w:vAlign w:val="top"/>
          </w:tcPr>
          <w:p w14:paraId="1A9DA1B1">
            <w:pPr>
              <w:rPr>
                <w:rFonts w:ascii="Arial"/>
                <w:color w:val="auto"/>
                <w:sz w:val="21"/>
                <w:highlight w:val="none"/>
              </w:rPr>
            </w:pPr>
          </w:p>
        </w:tc>
        <w:tc>
          <w:tcPr>
            <w:tcW w:w="1132" w:type="dxa"/>
            <w:vAlign w:val="top"/>
          </w:tcPr>
          <w:p w14:paraId="0F3B01D7">
            <w:pPr>
              <w:rPr>
                <w:rFonts w:ascii="Arial"/>
                <w:color w:val="auto"/>
                <w:sz w:val="21"/>
                <w:highlight w:val="none"/>
              </w:rPr>
            </w:pPr>
          </w:p>
        </w:tc>
        <w:tc>
          <w:tcPr>
            <w:tcW w:w="1133" w:type="dxa"/>
            <w:vAlign w:val="top"/>
          </w:tcPr>
          <w:p w14:paraId="66B13050">
            <w:pPr>
              <w:rPr>
                <w:rFonts w:ascii="Arial"/>
                <w:color w:val="auto"/>
                <w:sz w:val="21"/>
                <w:highlight w:val="none"/>
              </w:rPr>
            </w:pPr>
          </w:p>
        </w:tc>
        <w:tc>
          <w:tcPr>
            <w:tcW w:w="1132" w:type="dxa"/>
            <w:vAlign w:val="top"/>
          </w:tcPr>
          <w:p w14:paraId="3B9B24F4">
            <w:pPr>
              <w:rPr>
                <w:rFonts w:ascii="Arial"/>
                <w:color w:val="auto"/>
                <w:sz w:val="21"/>
                <w:highlight w:val="none"/>
              </w:rPr>
            </w:pPr>
          </w:p>
        </w:tc>
        <w:tc>
          <w:tcPr>
            <w:tcW w:w="1132" w:type="dxa"/>
            <w:vAlign w:val="top"/>
          </w:tcPr>
          <w:p w14:paraId="2CBF5609">
            <w:pPr>
              <w:rPr>
                <w:rFonts w:ascii="Arial"/>
                <w:color w:val="auto"/>
                <w:sz w:val="21"/>
                <w:highlight w:val="none"/>
              </w:rPr>
            </w:pPr>
          </w:p>
        </w:tc>
        <w:tc>
          <w:tcPr>
            <w:tcW w:w="1132" w:type="dxa"/>
            <w:vAlign w:val="top"/>
          </w:tcPr>
          <w:p w14:paraId="3A3144FA">
            <w:pPr>
              <w:rPr>
                <w:rFonts w:ascii="Arial"/>
                <w:color w:val="auto"/>
                <w:sz w:val="21"/>
                <w:highlight w:val="none"/>
              </w:rPr>
            </w:pPr>
          </w:p>
        </w:tc>
        <w:tc>
          <w:tcPr>
            <w:tcW w:w="801" w:type="dxa"/>
            <w:vAlign w:val="top"/>
          </w:tcPr>
          <w:p w14:paraId="361CC43F">
            <w:pPr>
              <w:rPr>
                <w:rFonts w:ascii="Arial"/>
                <w:color w:val="auto"/>
                <w:sz w:val="21"/>
                <w:highlight w:val="none"/>
              </w:rPr>
            </w:pPr>
          </w:p>
        </w:tc>
        <w:tc>
          <w:tcPr>
            <w:tcW w:w="799" w:type="dxa"/>
            <w:vAlign w:val="top"/>
          </w:tcPr>
          <w:p w14:paraId="3F73EFBE">
            <w:pPr>
              <w:rPr>
                <w:rFonts w:ascii="Arial"/>
                <w:color w:val="auto"/>
                <w:sz w:val="21"/>
                <w:highlight w:val="none"/>
              </w:rPr>
            </w:pPr>
          </w:p>
        </w:tc>
      </w:tr>
      <w:tr w14:paraId="5B357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6055C578">
            <w:pPr>
              <w:rPr>
                <w:rFonts w:ascii="Arial"/>
                <w:color w:val="auto"/>
                <w:sz w:val="21"/>
                <w:highlight w:val="none"/>
              </w:rPr>
            </w:pPr>
          </w:p>
        </w:tc>
        <w:tc>
          <w:tcPr>
            <w:tcW w:w="1133" w:type="dxa"/>
            <w:vAlign w:val="top"/>
          </w:tcPr>
          <w:p w14:paraId="3710A000">
            <w:pPr>
              <w:rPr>
                <w:rFonts w:ascii="Arial"/>
                <w:color w:val="auto"/>
                <w:sz w:val="21"/>
                <w:highlight w:val="none"/>
              </w:rPr>
            </w:pPr>
          </w:p>
        </w:tc>
        <w:tc>
          <w:tcPr>
            <w:tcW w:w="1132" w:type="dxa"/>
            <w:vAlign w:val="top"/>
          </w:tcPr>
          <w:p w14:paraId="182F3453">
            <w:pPr>
              <w:rPr>
                <w:rFonts w:ascii="Arial"/>
                <w:color w:val="auto"/>
                <w:sz w:val="21"/>
                <w:highlight w:val="none"/>
              </w:rPr>
            </w:pPr>
          </w:p>
        </w:tc>
        <w:tc>
          <w:tcPr>
            <w:tcW w:w="1132" w:type="dxa"/>
            <w:vAlign w:val="top"/>
          </w:tcPr>
          <w:p w14:paraId="645B7403">
            <w:pPr>
              <w:rPr>
                <w:rFonts w:ascii="Arial"/>
                <w:color w:val="auto"/>
                <w:sz w:val="21"/>
                <w:highlight w:val="none"/>
              </w:rPr>
            </w:pPr>
          </w:p>
        </w:tc>
        <w:tc>
          <w:tcPr>
            <w:tcW w:w="1133" w:type="dxa"/>
            <w:vAlign w:val="top"/>
          </w:tcPr>
          <w:p w14:paraId="3BD996D1">
            <w:pPr>
              <w:rPr>
                <w:rFonts w:ascii="Arial"/>
                <w:color w:val="auto"/>
                <w:sz w:val="21"/>
                <w:highlight w:val="none"/>
              </w:rPr>
            </w:pPr>
          </w:p>
        </w:tc>
        <w:tc>
          <w:tcPr>
            <w:tcW w:w="1132" w:type="dxa"/>
            <w:vAlign w:val="top"/>
          </w:tcPr>
          <w:p w14:paraId="3373ABDF">
            <w:pPr>
              <w:rPr>
                <w:rFonts w:ascii="Arial"/>
                <w:color w:val="auto"/>
                <w:sz w:val="21"/>
                <w:highlight w:val="none"/>
              </w:rPr>
            </w:pPr>
          </w:p>
        </w:tc>
        <w:tc>
          <w:tcPr>
            <w:tcW w:w="1132" w:type="dxa"/>
            <w:vAlign w:val="top"/>
          </w:tcPr>
          <w:p w14:paraId="309C7DA2">
            <w:pPr>
              <w:rPr>
                <w:rFonts w:ascii="Arial"/>
                <w:color w:val="auto"/>
                <w:sz w:val="21"/>
                <w:highlight w:val="none"/>
              </w:rPr>
            </w:pPr>
          </w:p>
        </w:tc>
        <w:tc>
          <w:tcPr>
            <w:tcW w:w="1132" w:type="dxa"/>
            <w:vAlign w:val="top"/>
          </w:tcPr>
          <w:p w14:paraId="25E810E7">
            <w:pPr>
              <w:rPr>
                <w:rFonts w:ascii="Arial"/>
                <w:color w:val="auto"/>
                <w:sz w:val="21"/>
                <w:highlight w:val="none"/>
              </w:rPr>
            </w:pPr>
          </w:p>
        </w:tc>
        <w:tc>
          <w:tcPr>
            <w:tcW w:w="801" w:type="dxa"/>
            <w:vAlign w:val="top"/>
          </w:tcPr>
          <w:p w14:paraId="0675D0C7">
            <w:pPr>
              <w:rPr>
                <w:rFonts w:ascii="Arial"/>
                <w:color w:val="auto"/>
                <w:sz w:val="21"/>
                <w:highlight w:val="none"/>
              </w:rPr>
            </w:pPr>
          </w:p>
        </w:tc>
        <w:tc>
          <w:tcPr>
            <w:tcW w:w="799" w:type="dxa"/>
            <w:vAlign w:val="top"/>
          </w:tcPr>
          <w:p w14:paraId="1C6E254E">
            <w:pPr>
              <w:rPr>
                <w:rFonts w:ascii="Arial"/>
                <w:color w:val="auto"/>
                <w:sz w:val="21"/>
                <w:highlight w:val="none"/>
              </w:rPr>
            </w:pPr>
          </w:p>
        </w:tc>
      </w:tr>
      <w:tr w14:paraId="134AD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72" w:type="dxa"/>
            <w:vAlign w:val="top"/>
          </w:tcPr>
          <w:p w14:paraId="52C74D8B">
            <w:pPr>
              <w:rPr>
                <w:rFonts w:ascii="Arial"/>
                <w:color w:val="auto"/>
                <w:sz w:val="21"/>
                <w:highlight w:val="none"/>
              </w:rPr>
            </w:pPr>
          </w:p>
        </w:tc>
        <w:tc>
          <w:tcPr>
            <w:tcW w:w="1133" w:type="dxa"/>
            <w:vAlign w:val="top"/>
          </w:tcPr>
          <w:p w14:paraId="6427E77E">
            <w:pPr>
              <w:rPr>
                <w:rFonts w:ascii="Arial"/>
                <w:color w:val="auto"/>
                <w:sz w:val="21"/>
                <w:highlight w:val="none"/>
              </w:rPr>
            </w:pPr>
          </w:p>
        </w:tc>
        <w:tc>
          <w:tcPr>
            <w:tcW w:w="1132" w:type="dxa"/>
            <w:vAlign w:val="top"/>
          </w:tcPr>
          <w:p w14:paraId="41974033">
            <w:pPr>
              <w:rPr>
                <w:rFonts w:ascii="Arial"/>
                <w:color w:val="auto"/>
                <w:sz w:val="21"/>
                <w:highlight w:val="none"/>
              </w:rPr>
            </w:pPr>
          </w:p>
        </w:tc>
        <w:tc>
          <w:tcPr>
            <w:tcW w:w="1132" w:type="dxa"/>
            <w:vAlign w:val="top"/>
          </w:tcPr>
          <w:p w14:paraId="209A4F91">
            <w:pPr>
              <w:rPr>
                <w:rFonts w:ascii="Arial"/>
                <w:color w:val="auto"/>
                <w:sz w:val="21"/>
                <w:highlight w:val="none"/>
              </w:rPr>
            </w:pPr>
          </w:p>
        </w:tc>
        <w:tc>
          <w:tcPr>
            <w:tcW w:w="1133" w:type="dxa"/>
            <w:vAlign w:val="top"/>
          </w:tcPr>
          <w:p w14:paraId="13C68FE7">
            <w:pPr>
              <w:rPr>
                <w:rFonts w:ascii="Arial"/>
                <w:color w:val="auto"/>
                <w:sz w:val="21"/>
                <w:highlight w:val="none"/>
              </w:rPr>
            </w:pPr>
          </w:p>
        </w:tc>
        <w:tc>
          <w:tcPr>
            <w:tcW w:w="1132" w:type="dxa"/>
            <w:vAlign w:val="top"/>
          </w:tcPr>
          <w:p w14:paraId="1AC1D2FF">
            <w:pPr>
              <w:rPr>
                <w:rFonts w:ascii="Arial"/>
                <w:color w:val="auto"/>
                <w:sz w:val="21"/>
                <w:highlight w:val="none"/>
              </w:rPr>
            </w:pPr>
          </w:p>
        </w:tc>
        <w:tc>
          <w:tcPr>
            <w:tcW w:w="1132" w:type="dxa"/>
            <w:vAlign w:val="top"/>
          </w:tcPr>
          <w:p w14:paraId="1E96C3E6">
            <w:pPr>
              <w:rPr>
                <w:rFonts w:ascii="Arial"/>
                <w:color w:val="auto"/>
                <w:sz w:val="21"/>
                <w:highlight w:val="none"/>
              </w:rPr>
            </w:pPr>
          </w:p>
        </w:tc>
        <w:tc>
          <w:tcPr>
            <w:tcW w:w="1132" w:type="dxa"/>
            <w:vAlign w:val="top"/>
          </w:tcPr>
          <w:p w14:paraId="3A29180C">
            <w:pPr>
              <w:rPr>
                <w:rFonts w:ascii="Arial"/>
                <w:color w:val="auto"/>
                <w:sz w:val="21"/>
                <w:highlight w:val="none"/>
              </w:rPr>
            </w:pPr>
          </w:p>
        </w:tc>
        <w:tc>
          <w:tcPr>
            <w:tcW w:w="801" w:type="dxa"/>
            <w:vAlign w:val="top"/>
          </w:tcPr>
          <w:p w14:paraId="531D4618">
            <w:pPr>
              <w:rPr>
                <w:rFonts w:ascii="Arial"/>
                <w:color w:val="auto"/>
                <w:sz w:val="21"/>
                <w:highlight w:val="none"/>
              </w:rPr>
            </w:pPr>
          </w:p>
        </w:tc>
        <w:tc>
          <w:tcPr>
            <w:tcW w:w="799" w:type="dxa"/>
            <w:vAlign w:val="top"/>
          </w:tcPr>
          <w:p w14:paraId="5C83B7A3">
            <w:pPr>
              <w:rPr>
                <w:rFonts w:ascii="Arial"/>
                <w:color w:val="auto"/>
                <w:sz w:val="21"/>
                <w:highlight w:val="none"/>
              </w:rPr>
            </w:pPr>
          </w:p>
        </w:tc>
      </w:tr>
      <w:tr w14:paraId="4D67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15D59A49">
            <w:pPr>
              <w:rPr>
                <w:rFonts w:ascii="Arial"/>
                <w:color w:val="auto"/>
                <w:sz w:val="21"/>
                <w:highlight w:val="none"/>
              </w:rPr>
            </w:pPr>
          </w:p>
        </w:tc>
        <w:tc>
          <w:tcPr>
            <w:tcW w:w="1133" w:type="dxa"/>
            <w:vAlign w:val="top"/>
          </w:tcPr>
          <w:p w14:paraId="26FC7399">
            <w:pPr>
              <w:rPr>
                <w:rFonts w:ascii="Arial"/>
                <w:color w:val="auto"/>
                <w:sz w:val="21"/>
                <w:highlight w:val="none"/>
              </w:rPr>
            </w:pPr>
          </w:p>
        </w:tc>
        <w:tc>
          <w:tcPr>
            <w:tcW w:w="1132" w:type="dxa"/>
            <w:vAlign w:val="top"/>
          </w:tcPr>
          <w:p w14:paraId="56E0B40E">
            <w:pPr>
              <w:rPr>
                <w:rFonts w:ascii="Arial"/>
                <w:color w:val="auto"/>
                <w:sz w:val="21"/>
                <w:highlight w:val="none"/>
              </w:rPr>
            </w:pPr>
          </w:p>
        </w:tc>
        <w:tc>
          <w:tcPr>
            <w:tcW w:w="1132" w:type="dxa"/>
            <w:vAlign w:val="top"/>
          </w:tcPr>
          <w:p w14:paraId="6E7F33F4">
            <w:pPr>
              <w:rPr>
                <w:rFonts w:ascii="Arial"/>
                <w:color w:val="auto"/>
                <w:sz w:val="21"/>
                <w:highlight w:val="none"/>
              </w:rPr>
            </w:pPr>
          </w:p>
        </w:tc>
        <w:tc>
          <w:tcPr>
            <w:tcW w:w="1133" w:type="dxa"/>
            <w:vAlign w:val="top"/>
          </w:tcPr>
          <w:p w14:paraId="33359942">
            <w:pPr>
              <w:rPr>
                <w:rFonts w:ascii="Arial"/>
                <w:color w:val="auto"/>
                <w:sz w:val="21"/>
                <w:highlight w:val="none"/>
              </w:rPr>
            </w:pPr>
          </w:p>
        </w:tc>
        <w:tc>
          <w:tcPr>
            <w:tcW w:w="1132" w:type="dxa"/>
            <w:vAlign w:val="top"/>
          </w:tcPr>
          <w:p w14:paraId="19E1F28A">
            <w:pPr>
              <w:rPr>
                <w:rFonts w:ascii="Arial"/>
                <w:color w:val="auto"/>
                <w:sz w:val="21"/>
                <w:highlight w:val="none"/>
              </w:rPr>
            </w:pPr>
          </w:p>
        </w:tc>
        <w:tc>
          <w:tcPr>
            <w:tcW w:w="1132" w:type="dxa"/>
            <w:vAlign w:val="top"/>
          </w:tcPr>
          <w:p w14:paraId="6144AA9B">
            <w:pPr>
              <w:rPr>
                <w:rFonts w:ascii="Arial"/>
                <w:color w:val="auto"/>
                <w:sz w:val="21"/>
                <w:highlight w:val="none"/>
              </w:rPr>
            </w:pPr>
          </w:p>
        </w:tc>
        <w:tc>
          <w:tcPr>
            <w:tcW w:w="1132" w:type="dxa"/>
            <w:vAlign w:val="top"/>
          </w:tcPr>
          <w:p w14:paraId="362B819A">
            <w:pPr>
              <w:rPr>
                <w:rFonts w:ascii="Arial"/>
                <w:color w:val="auto"/>
                <w:sz w:val="21"/>
                <w:highlight w:val="none"/>
              </w:rPr>
            </w:pPr>
          </w:p>
        </w:tc>
        <w:tc>
          <w:tcPr>
            <w:tcW w:w="801" w:type="dxa"/>
            <w:vAlign w:val="top"/>
          </w:tcPr>
          <w:p w14:paraId="3CAC1D7F">
            <w:pPr>
              <w:rPr>
                <w:rFonts w:ascii="Arial"/>
                <w:color w:val="auto"/>
                <w:sz w:val="21"/>
                <w:highlight w:val="none"/>
              </w:rPr>
            </w:pPr>
          </w:p>
        </w:tc>
        <w:tc>
          <w:tcPr>
            <w:tcW w:w="799" w:type="dxa"/>
            <w:vAlign w:val="top"/>
          </w:tcPr>
          <w:p w14:paraId="410A39E2">
            <w:pPr>
              <w:rPr>
                <w:rFonts w:ascii="Arial"/>
                <w:color w:val="auto"/>
                <w:sz w:val="21"/>
                <w:highlight w:val="none"/>
              </w:rPr>
            </w:pPr>
          </w:p>
        </w:tc>
      </w:tr>
      <w:tr w14:paraId="6561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2F289216">
            <w:pPr>
              <w:rPr>
                <w:rFonts w:ascii="Arial"/>
                <w:color w:val="auto"/>
                <w:sz w:val="21"/>
                <w:highlight w:val="none"/>
              </w:rPr>
            </w:pPr>
          </w:p>
        </w:tc>
        <w:tc>
          <w:tcPr>
            <w:tcW w:w="1133" w:type="dxa"/>
            <w:vAlign w:val="top"/>
          </w:tcPr>
          <w:p w14:paraId="600A8D65">
            <w:pPr>
              <w:rPr>
                <w:rFonts w:ascii="Arial"/>
                <w:color w:val="auto"/>
                <w:sz w:val="21"/>
                <w:highlight w:val="none"/>
              </w:rPr>
            </w:pPr>
          </w:p>
        </w:tc>
        <w:tc>
          <w:tcPr>
            <w:tcW w:w="1132" w:type="dxa"/>
            <w:vAlign w:val="top"/>
          </w:tcPr>
          <w:p w14:paraId="781D9708">
            <w:pPr>
              <w:rPr>
                <w:rFonts w:ascii="Arial"/>
                <w:color w:val="auto"/>
                <w:sz w:val="21"/>
                <w:highlight w:val="none"/>
              </w:rPr>
            </w:pPr>
          </w:p>
        </w:tc>
        <w:tc>
          <w:tcPr>
            <w:tcW w:w="1132" w:type="dxa"/>
            <w:vAlign w:val="top"/>
          </w:tcPr>
          <w:p w14:paraId="6ABE36CC">
            <w:pPr>
              <w:rPr>
                <w:rFonts w:ascii="Arial"/>
                <w:color w:val="auto"/>
                <w:sz w:val="21"/>
                <w:highlight w:val="none"/>
              </w:rPr>
            </w:pPr>
          </w:p>
        </w:tc>
        <w:tc>
          <w:tcPr>
            <w:tcW w:w="1133" w:type="dxa"/>
            <w:vAlign w:val="top"/>
          </w:tcPr>
          <w:p w14:paraId="01B92908">
            <w:pPr>
              <w:rPr>
                <w:rFonts w:ascii="Arial"/>
                <w:color w:val="auto"/>
                <w:sz w:val="21"/>
                <w:highlight w:val="none"/>
              </w:rPr>
            </w:pPr>
          </w:p>
        </w:tc>
        <w:tc>
          <w:tcPr>
            <w:tcW w:w="1132" w:type="dxa"/>
            <w:vAlign w:val="top"/>
          </w:tcPr>
          <w:p w14:paraId="1D98FB60">
            <w:pPr>
              <w:rPr>
                <w:rFonts w:ascii="Arial"/>
                <w:color w:val="auto"/>
                <w:sz w:val="21"/>
                <w:highlight w:val="none"/>
              </w:rPr>
            </w:pPr>
          </w:p>
        </w:tc>
        <w:tc>
          <w:tcPr>
            <w:tcW w:w="1132" w:type="dxa"/>
            <w:vAlign w:val="top"/>
          </w:tcPr>
          <w:p w14:paraId="16F09EB7">
            <w:pPr>
              <w:rPr>
                <w:rFonts w:ascii="Arial"/>
                <w:color w:val="auto"/>
                <w:sz w:val="21"/>
                <w:highlight w:val="none"/>
              </w:rPr>
            </w:pPr>
          </w:p>
        </w:tc>
        <w:tc>
          <w:tcPr>
            <w:tcW w:w="1132" w:type="dxa"/>
            <w:vAlign w:val="top"/>
          </w:tcPr>
          <w:p w14:paraId="0CE92763">
            <w:pPr>
              <w:rPr>
                <w:rFonts w:ascii="Arial"/>
                <w:color w:val="auto"/>
                <w:sz w:val="21"/>
                <w:highlight w:val="none"/>
              </w:rPr>
            </w:pPr>
          </w:p>
        </w:tc>
        <w:tc>
          <w:tcPr>
            <w:tcW w:w="801" w:type="dxa"/>
            <w:vAlign w:val="top"/>
          </w:tcPr>
          <w:p w14:paraId="67F3F1B6">
            <w:pPr>
              <w:rPr>
                <w:rFonts w:ascii="Arial"/>
                <w:color w:val="auto"/>
                <w:sz w:val="21"/>
                <w:highlight w:val="none"/>
              </w:rPr>
            </w:pPr>
          </w:p>
        </w:tc>
        <w:tc>
          <w:tcPr>
            <w:tcW w:w="799" w:type="dxa"/>
            <w:vAlign w:val="top"/>
          </w:tcPr>
          <w:p w14:paraId="5CBC2234">
            <w:pPr>
              <w:rPr>
                <w:rFonts w:ascii="Arial"/>
                <w:color w:val="auto"/>
                <w:sz w:val="21"/>
                <w:highlight w:val="none"/>
              </w:rPr>
            </w:pPr>
          </w:p>
        </w:tc>
      </w:tr>
      <w:tr w14:paraId="1FA8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7EDFE9C4">
            <w:pPr>
              <w:rPr>
                <w:rFonts w:ascii="Arial"/>
                <w:color w:val="auto"/>
                <w:sz w:val="21"/>
                <w:highlight w:val="none"/>
              </w:rPr>
            </w:pPr>
          </w:p>
        </w:tc>
        <w:tc>
          <w:tcPr>
            <w:tcW w:w="1133" w:type="dxa"/>
            <w:vAlign w:val="top"/>
          </w:tcPr>
          <w:p w14:paraId="248B1A16">
            <w:pPr>
              <w:rPr>
                <w:rFonts w:ascii="Arial"/>
                <w:color w:val="auto"/>
                <w:sz w:val="21"/>
                <w:highlight w:val="none"/>
              </w:rPr>
            </w:pPr>
          </w:p>
        </w:tc>
        <w:tc>
          <w:tcPr>
            <w:tcW w:w="1132" w:type="dxa"/>
            <w:vAlign w:val="top"/>
          </w:tcPr>
          <w:p w14:paraId="776038C4">
            <w:pPr>
              <w:rPr>
                <w:rFonts w:ascii="Arial"/>
                <w:color w:val="auto"/>
                <w:sz w:val="21"/>
                <w:highlight w:val="none"/>
              </w:rPr>
            </w:pPr>
          </w:p>
        </w:tc>
        <w:tc>
          <w:tcPr>
            <w:tcW w:w="1132" w:type="dxa"/>
            <w:vAlign w:val="top"/>
          </w:tcPr>
          <w:p w14:paraId="325CC75A">
            <w:pPr>
              <w:rPr>
                <w:rFonts w:ascii="Arial"/>
                <w:color w:val="auto"/>
                <w:sz w:val="21"/>
                <w:highlight w:val="none"/>
              </w:rPr>
            </w:pPr>
          </w:p>
        </w:tc>
        <w:tc>
          <w:tcPr>
            <w:tcW w:w="1133" w:type="dxa"/>
            <w:vAlign w:val="top"/>
          </w:tcPr>
          <w:p w14:paraId="4CB87F3B">
            <w:pPr>
              <w:rPr>
                <w:rFonts w:ascii="Arial"/>
                <w:color w:val="auto"/>
                <w:sz w:val="21"/>
                <w:highlight w:val="none"/>
              </w:rPr>
            </w:pPr>
          </w:p>
        </w:tc>
        <w:tc>
          <w:tcPr>
            <w:tcW w:w="1132" w:type="dxa"/>
            <w:vAlign w:val="top"/>
          </w:tcPr>
          <w:p w14:paraId="1E6169C2">
            <w:pPr>
              <w:rPr>
                <w:rFonts w:ascii="Arial"/>
                <w:color w:val="auto"/>
                <w:sz w:val="21"/>
                <w:highlight w:val="none"/>
              </w:rPr>
            </w:pPr>
          </w:p>
        </w:tc>
        <w:tc>
          <w:tcPr>
            <w:tcW w:w="1132" w:type="dxa"/>
            <w:vAlign w:val="top"/>
          </w:tcPr>
          <w:p w14:paraId="49D4199E">
            <w:pPr>
              <w:rPr>
                <w:rFonts w:ascii="Arial"/>
                <w:color w:val="auto"/>
                <w:sz w:val="21"/>
                <w:highlight w:val="none"/>
              </w:rPr>
            </w:pPr>
          </w:p>
        </w:tc>
        <w:tc>
          <w:tcPr>
            <w:tcW w:w="1132" w:type="dxa"/>
            <w:vAlign w:val="top"/>
          </w:tcPr>
          <w:p w14:paraId="1756A6F0">
            <w:pPr>
              <w:rPr>
                <w:rFonts w:ascii="Arial"/>
                <w:color w:val="auto"/>
                <w:sz w:val="21"/>
                <w:highlight w:val="none"/>
              </w:rPr>
            </w:pPr>
          </w:p>
        </w:tc>
        <w:tc>
          <w:tcPr>
            <w:tcW w:w="801" w:type="dxa"/>
            <w:vAlign w:val="top"/>
          </w:tcPr>
          <w:p w14:paraId="3D695642">
            <w:pPr>
              <w:rPr>
                <w:rFonts w:ascii="Arial"/>
                <w:color w:val="auto"/>
                <w:sz w:val="21"/>
                <w:highlight w:val="none"/>
              </w:rPr>
            </w:pPr>
          </w:p>
        </w:tc>
        <w:tc>
          <w:tcPr>
            <w:tcW w:w="799" w:type="dxa"/>
            <w:vAlign w:val="top"/>
          </w:tcPr>
          <w:p w14:paraId="1CB2D809">
            <w:pPr>
              <w:rPr>
                <w:rFonts w:ascii="Arial"/>
                <w:color w:val="auto"/>
                <w:sz w:val="21"/>
                <w:highlight w:val="none"/>
              </w:rPr>
            </w:pPr>
          </w:p>
        </w:tc>
      </w:tr>
      <w:tr w14:paraId="70444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72" w:type="dxa"/>
            <w:vAlign w:val="top"/>
          </w:tcPr>
          <w:p w14:paraId="2E3F9C62">
            <w:pPr>
              <w:rPr>
                <w:rFonts w:ascii="Arial"/>
                <w:color w:val="auto"/>
                <w:sz w:val="21"/>
                <w:highlight w:val="none"/>
              </w:rPr>
            </w:pPr>
          </w:p>
        </w:tc>
        <w:tc>
          <w:tcPr>
            <w:tcW w:w="1133" w:type="dxa"/>
            <w:vAlign w:val="top"/>
          </w:tcPr>
          <w:p w14:paraId="6DFCA408">
            <w:pPr>
              <w:rPr>
                <w:rFonts w:ascii="Arial"/>
                <w:color w:val="auto"/>
                <w:sz w:val="21"/>
                <w:highlight w:val="none"/>
              </w:rPr>
            </w:pPr>
          </w:p>
        </w:tc>
        <w:tc>
          <w:tcPr>
            <w:tcW w:w="1132" w:type="dxa"/>
            <w:vAlign w:val="top"/>
          </w:tcPr>
          <w:p w14:paraId="5E433E70">
            <w:pPr>
              <w:rPr>
                <w:rFonts w:ascii="Arial"/>
                <w:color w:val="auto"/>
                <w:sz w:val="21"/>
                <w:highlight w:val="none"/>
              </w:rPr>
            </w:pPr>
          </w:p>
        </w:tc>
        <w:tc>
          <w:tcPr>
            <w:tcW w:w="1132" w:type="dxa"/>
            <w:vAlign w:val="top"/>
          </w:tcPr>
          <w:p w14:paraId="7EAF0BCF">
            <w:pPr>
              <w:rPr>
                <w:rFonts w:ascii="Arial"/>
                <w:color w:val="auto"/>
                <w:sz w:val="21"/>
                <w:highlight w:val="none"/>
              </w:rPr>
            </w:pPr>
          </w:p>
        </w:tc>
        <w:tc>
          <w:tcPr>
            <w:tcW w:w="1133" w:type="dxa"/>
            <w:vAlign w:val="top"/>
          </w:tcPr>
          <w:p w14:paraId="7C8A3F6C">
            <w:pPr>
              <w:rPr>
                <w:rFonts w:ascii="Arial"/>
                <w:color w:val="auto"/>
                <w:sz w:val="21"/>
                <w:highlight w:val="none"/>
              </w:rPr>
            </w:pPr>
          </w:p>
        </w:tc>
        <w:tc>
          <w:tcPr>
            <w:tcW w:w="1132" w:type="dxa"/>
            <w:vAlign w:val="top"/>
          </w:tcPr>
          <w:p w14:paraId="1DB7C23D">
            <w:pPr>
              <w:rPr>
                <w:rFonts w:ascii="Arial"/>
                <w:color w:val="auto"/>
                <w:sz w:val="21"/>
                <w:highlight w:val="none"/>
              </w:rPr>
            </w:pPr>
          </w:p>
        </w:tc>
        <w:tc>
          <w:tcPr>
            <w:tcW w:w="1132" w:type="dxa"/>
            <w:vAlign w:val="top"/>
          </w:tcPr>
          <w:p w14:paraId="6E97F3AF">
            <w:pPr>
              <w:rPr>
                <w:rFonts w:ascii="Arial"/>
                <w:color w:val="auto"/>
                <w:sz w:val="21"/>
                <w:highlight w:val="none"/>
              </w:rPr>
            </w:pPr>
          </w:p>
        </w:tc>
        <w:tc>
          <w:tcPr>
            <w:tcW w:w="1132" w:type="dxa"/>
            <w:vAlign w:val="top"/>
          </w:tcPr>
          <w:p w14:paraId="04F8E180">
            <w:pPr>
              <w:rPr>
                <w:rFonts w:ascii="Arial"/>
                <w:color w:val="auto"/>
                <w:sz w:val="21"/>
                <w:highlight w:val="none"/>
              </w:rPr>
            </w:pPr>
          </w:p>
        </w:tc>
        <w:tc>
          <w:tcPr>
            <w:tcW w:w="801" w:type="dxa"/>
            <w:vAlign w:val="top"/>
          </w:tcPr>
          <w:p w14:paraId="4825DA3D">
            <w:pPr>
              <w:rPr>
                <w:rFonts w:ascii="Arial"/>
                <w:color w:val="auto"/>
                <w:sz w:val="21"/>
                <w:highlight w:val="none"/>
              </w:rPr>
            </w:pPr>
          </w:p>
        </w:tc>
        <w:tc>
          <w:tcPr>
            <w:tcW w:w="799" w:type="dxa"/>
            <w:vAlign w:val="top"/>
          </w:tcPr>
          <w:p w14:paraId="2243D80B">
            <w:pPr>
              <w:rPr>
                <w:rFonts w:ascii="Arial"/>
                <w:color w:val="auto"/>
                <w:sz w:val="21"/>
                <w:highlight w:val="none"/>
              </w:rPr>
            </w:pPr>
          </w:p>
        </w:tc>
      </w:tr>
      <w:tr w14:paraId="7B27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0198" w:type="dxa"/>
            <w:gridSpan w:val="10"/>
            <w:vAlign w:val="top"/>
          </w:tcPr>
          <w:p w14:paraId="4109C2B8">
            <w:pPr>
              <w:pStyle w:val="16"/>
              <w:spacing w:before="35" w:line="232" w:lineRule="auto"/>
              <w:ind w:left="115"/>
              <w:rPr>
                <w:color w:val="auto"/>
                <w:sz w:val="20"/>
                <w:szCs w:val="20"/>
                <w:highlight w:val="none"/>
              </w:rPr>
            </w:pPr>
            <w:r>
              <w:rPr>
                <w:b/>
                <w:bCs/>
                <w:color w:val="auto"/>
                <w:spacing w:val="-2"/>
                <w:sz w:val="20"/>
                <w:szCs w:val="20"/>
                <w:highlight w:val="none"/>
              </w:rPr>
              <w:t>注：</w:t>
            </w:r>
          </w:p>
          <w:p w14:paraId="6914FF82">
            <w:pPr>
              <w:pStyle w:val="16"/>
              <w:spacing w:before="19" w:line="239" w:lineRule="auto"/>
              <w:ind w:left="117" w:right="108" w:firstLine="13"/>
              <w:rPr>
                <w:color w:val="auto"/>
                <w:sz w:val="20"/>
                <w:szCs w:val="20"/>
                <w:highlight w:val="none"/>
              </w:rPr>
            </w:pPr>
            <w:r>
              <w:rPr>
                <w:b/>
                <w:bCs/>
                <w:color w:val="auto"/>
                <w:spacing w:val="12"/>
                <w:sz w:val="20"/>
                <w:szCs w:val="20"/>
                <w:highlight w:val="none"/>
              </w:rPr>
              <w:t>1、在编制投标文件时，投标人须自行填写投标产品参数，并进行详细参数描述</w:t>
            </w:r>
            <w:r>
              <w:rPr>
                <w:rFonts w:hint="eastAsia"/>
                <w:b/>
                <w:bCs/>
                <w:color w:val="auto"/>
                <w:spacing w:val="12"/>
                <w:sz w:val="20"/>
                <w:szCs w:val="20"/>
                <w:highlight w:val="none"/>
                <w:lang w:eastAsia="zh-CN"/>
              </w:rPr>
              <w:t>，</w:t>
            </w:r>
            <w:r>
              <w:rPr>
                <w:rFonts w:hint="eastAsia"/>
                <w:b/>
                <w:bCs/>
                <w:color w:val="auto"/>
                <w:spacing w:val="12"/>
                <w:sz w:val="20"/>
                <w:szCs w:val="20"/>
                <w:highlight w:val="none"/>
                <w:lang w:val="en-US" w:eastAsia="zh-CN"/>
              </w:rPr>
              <w:t>描述不清的参数依据负偏离扣分</w:t>
            </w:r>
            <w:r>
              <w:rPr>
                <w:b/>
                <w:bCs/>
                <w:color w:val="auto"/>
                <w:spacing w:val="12"/>
                <w:sz w:val="20"/>
                <w:szCs w:val="20"/>
                <w:highlight w:val="none"/>
              </w:rPr>
              <w:t>；</w:t>
            </w:r>
            <w:r>
              <w:rPr>
                <w:b/>
                <w:bCs/>
                <w:color w:val="auto"/>
                <w:spacing w:val="11"/>
                <w:sz w:val="20"/>
                <w:szCs w:val="20"/>
                <w:highlight w:val="none"/>
              </w:rPr>
              <w:t>禁止投标人原文复制招标</w:t>
            </w:r>
            <w:r>
              <w:rPr>
                <w:b/>
                <w:bCs/>
                <w:color w:val="auto"/>
                <w:spacing w:val="1"/>
                <w:sz w:val="20"/>
                <w:szCs w:val="20"/>
                <w:highlight w:val="none"/>
              </w:rPr>
              <w:t>参数</w:t>
            </w:r>
            <w:r>
              <w:rPr>
                <w:rFonts w:hint="eastAsia" w:hAnsi="宋体" w:cs="宋体"/>
                <w:color w:val="auto"/>
                <w:sz w:val="24"/>
                <w:highlight w:val="none"/>
              </w:rPr>
              <w:t>，</w:t>
            </w:r>
            <w:r>
              <w:rPr>
                <w:rFonts w:hint="eastAsia"/>
                <w:b/>
                <w:bCs/>
                <w:color w:val="auto"/>
                <w:spacing w:val="8"/>
                <w:sz w:val="20"/>
                <w:szCs w:val="20"/>
                <w:highlight w:val="none"/>
              </w:rPr>
              <w:t>直接复制黏贴参数，视为负偏离。</w:t>
            </w:r>
          </w:p>
          <w:p w14:paraId="4758E852">
            <w:pPr>
              <w:pStyle w:val="16"/>
              <w:spacing w:before="26" w:line="227" w:lineRule="auto"/>
              <w:ind w:left="117"/>
              <w:rPr>
                <w:color w:val="auto"/>
                <w:sz w:val="20"/>
                <w:szCs w:val="20"/>
                <w:highlight w:val="none"/>
              </w:rPr>
            </w:pPr>
            <w:r>
              <w:rPr>
                <w:b/>
                <w:bCs/>
                <w:color w:val="auto"/>
                <w:spacing w:val="8"/>
                <w:sz w:val="20"/>
                <w:szCs w:val="20"/>
                <w:highlight w:val="none"/>
              </w:rPr>
              <w:t>2、投标文件中描述的投标产品参数与投标人提供的产品实物必须完全吻合，严禁以次充好。</w:t>
            </w:r>
          </w:p>
          <w:p w14:paraId="69AEBCFE">
            <w:pPr>
              <w:pStyle w:val="16"/>
              <w:spacing w:before="25" w:line="227" w:lineRule="auto"/>
              <w:ind w:left="119"/>
              <w:rPr>
                <w:color w:val="auto"/>
                <w:sz w:val="20"/>
                <w:szCs w:val="20"/>
                <w:highlight w:val="none"/>
              </w:rPr>
            </w:pPr>
            <w:r>
              <w:rPr>
                <w:b/>
                <w:bCs/>
                <w:color w:val="auto"/>
                <w:spacing w:val="8"/>
                <w:sz w:val="20"/>
                <w:szCs w:val="20"/>
                <w:highlight w:val="none"/>
              </w:rPr>
              <w:t>3、如投标人违反上述规定，评标委员会将否决其投标，并承担由此给采购人造成的一切损失。</w:t>
            </w:r>
          </w:p>
          <w:p w14:paraId="2798C1A9">
            <w:pPr>
              <w:pStyle w:val="16"/>
              <w:spacing w:before="29"/>
              <w:ind w:left="114" w:right="109"/>
              <w:rPr>
                <w:color w:val="auto"/>
                <w:sz w:val="20"/>
                <w:szCs w:val="20"/>
                <w:highlight w:val="none"/>
              </w:rPr>
            </w:pPr>
            <w:r>
              <w:rPr>
                <w:b/>
                <w:bCs/>
                <w:color w:val="auto"/>
                <w:spacing w:val="17"/>
                <w:sz w:val="20"/>
                <w:szCs w:val="20"/>
                <w:highlight w:val="none"/>
              </w:rPr>
              <w:t>4、正偏差的印证资料包括产品说明书或第三方出具的产品检测报告或官网产品</w:t>
            </w:r>
            <w:r>
              <w:rPr>
                <w:b/>
                <w:bCs/>
                <w:color w:val="auto"/>
                <w:spacing w:val="16"/>
                <w:sz w:val="20"/>
                <w:szCs w:val="20"/>
                <w:highlight w:val="none"/>
              </w:rPr>
              <w:t>宣传网页截图及网页链接</w:t>
            </w:r>
            <w:r>
              <w:rPr>
                <w:color w:val="auto"/>
                <w:sz w:val="20"/>
                <w:szCs w:val="20"/>
                <w:highlight w:val="none"/>
              </w:rPr>
              <w:t xml:space="preserve"> </w:t>
            </w:r>
            <w:r>
              <w:rPr>
                <w:b/>
                <w:bCs/>
                <w:color w:val="auto"/>
                <w:spacing w:val="9"/>
                <w:sz w:val="20"/>
                <w:szCs w:val="20"/>
                <w:highlight w:val="none"/>
              </w:rPr>
              <w:t>等；印证资料可以附件形式提供，表格内填写对应附件页码；</w:t>
            </w:r>
            <w:r>
              <w:rPr>
                <w:color w:val="auto"/>
                <w:spacing w:val="-57"/>
                <w:sz w:val="20"/>
                <w:szCs w:val="20"/>
                <w:highlight w:val="none"/>
              </w:rPr>
              <w:t xml:space="preserve"> </w:t>
            </w:r>
            <w:r>
              <w:rPr>
                <w:b/>
                <w:bCs/>
                <w:color w:val="auto"/>
                <w:spacing w:val="9"/>
                <w:sz w:val="20"/>
                <w:szCs w:val="20"/>
                <w:highlight w:val="none"/>
              </w:rPr>
              <w:t>印证资料内容须清晰可辨；正偏离印证资料不</w:t>
            </w:r>
            <w:r>
              <w:rPr>
                <w:color w:val="auto"/>
                <w:sz w:val="20"/>
                <w:szCs w:val="20"/>
                <w:highlight w:val="none"/>
              </w:rPr>
              <w:t xml:space="preserve">  </w:t>
            </w:r>
            <w:r>
              <w:rPr>
                <w:b/>
                <w:bCs/>
                <w:color w:val="auto"/>
                <w:spacing w:val="6"/>
                <w:sz w:val="20"/>
                <w:szCs w:val="20"/>
                <w:highlight w:val="none"/>
              </w:rPr>
              <w:t>满足前述要求的，不得分；</w:t>
            </w:r>
          </w:p>
        </w:tc>
      </w:tr>
    </w:tbl>
    <w:p w14:paraId="4EF81CAA">
      <w:pPr>
        <w:pStyle w:val="8"/>
        <w:spacing w:line="274" w:lineRule="auto"/>
        <w:rPr>
          <w:color w:val="auto"/>
          <w:highlight w:val="none"/>
        </w:rPr>
      </w:pPr>
    </w:p>
    <w:p w14:paraId="45208D8F">
      <w:pPr>
        <w:spacing w:before="65" w:line="228" w:lineRule="auto"/>
        <w:ind w:left="68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法定代表人或其委托代理人签字</w:t>
      </w:r>
      <w:r>
        <w:rPr>
          <w:rFonts w:ascii="宋体" w:hAnsi="宋体" w:eastAsia="宋体" w:cs="宋体"/>
          <w:color w:val="auto"/>
          <w:spacing w:val="-56"/>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z w:val="21"/>
          <w:szCs w:val="21"/>
          <w:highlight w:val="none"/>
          <w:u w:val="single" w:color="auto"/>
        </w:rPr>
        <w:t xml:space="preserve">                         </w:t>
      </w:r>
    </w:p>
    <w:p w14:paraId="7A95E4C9">
      <w:pPr>
        <w:spacing w:before="298" w:line="227" w:lineRule="auto"/>
        <w:ind w:left="6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投标人(盖单位章)</w:t>
      </w:r>
      <w:r>
        <w:rPr>
          <w:rFonts w:ascii="宋体" w:hAnsi="宋体" w:eastAsia="宋体" w:cs="宋体"/>
          <w:color w:val="auto"/>
          <w:spacing w:val="-47"/>
          <w:sz w:val="21"/>
          <w:szCs w:val="21"/>
          <w:highlight w:val="none"/>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p>
    <w:p w14:paraId="2DEB26AF">
      <w:pPr>
        <w:spacing w:line="319" w:lineRule="auto"/>
        <w:ind w:firstLine="630" w:firstLineChars="300"/>
        <w:rPr>
          <w:rFonts w:ascii="Arial"/>
          <w:color w:val="auto"/>
          <w:sz w:val="21"/>
          <w:highlight w:val="none"/>
        </w:rPr>
      </w:pPr>
      <w:r>
        <w:rPr>
          <w:rFonts w:ascii="宋体" w:hAnsi="宋体" w:eastAsia="宋体" w:cs="宋体"/>
          <w:color w:val="auto"/>
          <w:sz w:val="21"/>
          <w:szCs w:val="21"/>
          <w:highlight w:val="none"/>
        </w:rPr>
        <w:t>投标人保证：除技术规格偏差表列出的偏差外，投标人响</w:t>
      </w:r>
      <w:r>
        <w:rPr>
          <w:rFonts w:ascii="宋体" w:hAnsi="宋体" w:eastAsia="宋体" w:cs="宋体"/>
          <w:color w:val="auto"/>
          <w:spacing w:val="-1"/>
          <w:sz w:val="21"/>
          <w:szCs w:val="21"/>
          <w:highlight w:val="none"/>
        </w:rPr>
        <w:t>应招标文件的全部要求</w:t>
      </w:r>
      <w:r>
        <w:rPr>
          <w:rFonts w:ascii="宋体" w:hAnsi="宋体" w:eastAsia="宋体" w:cs="宋体"/>
          <w:color w:val="auto"/>
          <w:spacing w:val="-1"/>
          <w:sz w:val="22"/>
          <w:szCs w:val="22"/>
          <w:highlight w:val="none"/>
        </w:rPr>
        <w:t>。</w:t>
      </w:r>
    </w:p>
    <w:p w14:paraId="48428D98">
      <w:pPr>
        <w:spacing w:line="319" w:lineRule="auto"/>
        <w:rPr>
          <w:rFonts w:ascii="Arial"/>
          <w:color w:val="auto"/>
          <w:sz w:val="21"/>
          <w:highlight w:val="none"/>
        </w:rPr>
      </w:pPr>
    </w:p>
    <w:p w14:paraId="0233476D">
      <w:pPr>
        <w:pStyle w:val="2"/>
        <w:rPr>
          <w:rFonts w:ascii="Arial"/>
          <w:color w:val="auto"/>
          <w:sz w:val="21"/>
          <w:highlight w:val="none"/>
        </w:rPr>
      </w:pPr>
    </w:p>
    <w:p w14:paraId="09341753">
      <w:pPr>
        <w:pStyle w:val="5"/>
        <w:rPr>
          <w:rFonts w:ascii="Arial"/>
          <w:color w:val="auto"/>
          <w:sz w:val="21"/>
          <w:highlight w:val="none"/>
        </w:rPr>
      </w:pPr>
    </w:p>
    <w:p w14:paraId="2C554521">
      <w:pPr>
        <w:rPr>
          <w:color w:val="auto"/>
          <w:highlight w:val="none"/>
        </w:rPr>
      </w:pPr>
    </w:p>
    <w:p w14:paraId="5051659F">
      <w:pPr>
        <w:spacing w:line="320" w:lineRule="auto"/>
        <w:rPr>
          <w:rFonts w:ascii="Arial"/>
          <w:color w:val="auto"/>
          <w:sz w:val="21"/>
          <w:highlight w:val="none"/>
        </w:rPr>
      </w:pPr>
    </w:p>
    <w:p w14:paraId="7ABF07DF">
      <w:pPr>
        <w:pStyle w:val="8"/>
        <w:spacing w:before="120" w:line="188" w:lineRule="auto"/>
        <w:ind w:left="3646"/>
        <w:rPr>
          <w:color w:val="auto"/>
          <w:sz w:val="28"/>
          <w:szCs w:val="28"/>
          <w:highlight w:val="none"/>
        </w:rPr>
      </w:pPr>
      <w:r>
        <w:rPr>
          <w:b/>
          <w:bCs/>
          <w:color w:val="auto"/>
          <w:spacing w:val="-4"/>
          <w:sz w:val="28"/>
          <w:szCs w:val="28"/>
          <w:highlight w:val="none"/>
        </w:rPr>
        <w:t>2、货物的详细配置清单</w:t>
      </w:r>
    </w:p>
    <w:p w14:paraId="4F5585FA">
      <w:pPr>
        <w:spacing w:before="6"/>
        <w:rPr>
          <w:color w:val="auto"/>
          <w:highlight w:val="none"/>
        </w:rPr>
      </w:pPr>
    </w:p>
    <w:tbl>
      <w:tblPr>
        <w:tblStyle w:val="15"/>
        <w:tblW w:w="10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70"/>
        <w:gridCol w:w="1596"/>
        <w:gridCol w:w="1051"/>
        <w:gridCol w:w="1556"/>
        <w:gridCol w:w="1696"/>
        <w:gridCol w:w="2133"/>
      </w:tblGrid>
      <w:tr w14:paraId="3C1A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93" w:type="dxa"/>
            <w:vAlign w:val="top"/>
          </w:tcPr>
          <w:p w14:paraId="2DF16CE0">
            <w:pPr>
              <w:pStyle w:val="16"/>
              <w:spacing w:before="118" w:line="225" w:lineRule="auto"/>
              <w:ind w:left="165"/>
              <w:rPr>
                <w:color w:val="auto"/>
                <w:highlight w:val="none"/>
              </w:rPr>
            </w:pPr>
            <w:r>
              <w:rPr>
                <w:color w:val="auto"/>
                <w:spacing w:val="-4"/>
                <w:highlight w:val="none"/>
              </w:rPr>
              <w:t>序号</w:t>
            </w:r>
          </w:p>
        </w:tc>
        <w:tc>
          <w:tcPr>
            <w:tcW w:w="1370" w:type="dxa"/>
            <w:vAlign w:val="top"/>
          </w:tcPr>
          <w:p w14:paraId="3EB3937F">
            <w:pPr>
              <w:pStyle w:val="16"/>
              <w:spacing w:before="118" w:line="226" w:lineRule="auto"/>
              <w:ind w:left="453"/>
              <w:rPr>
                <w:color w:val="auto"/>
                <w:highlight w:val="none"/>
              </w:rPr>
            </w:pPr>
            <w:r>
              <w:rPr>
                <w:color w:val="auto"/>
                <w:spacing w:val="-5"/>
                <w:highlight w:val="none"/>
              </w:rPr>
              <w:t>名称</w:t>
            </w:r>
          </w:p>
        </w:tc>
        <w:tc>
          <w:tcPr>
            <w:tcW w:w="1596" w:type="dxa"/>
            <w:vAlign w:val="top"/>
          </w:tcPr>
          <w:p w14:paraId="3895FA19">
            <w:pPr>
              <w:pStyle w:val="16"/>
              <w:spacing w:before="118" w:line="224" w:lineRule="auto"/>
              <w:ind w:left="593"/>
              <w:rPr>
                <w:color w:val="auto"/>
                <w:highlight w:val="none"/>
              </w:rPr>
            </w:pPr>
            <w:r>
              <w:rPr>
                <w:color w:val="auto"/>
                <w:spacing w:val="-11"/>
                <w:highlight w:val="none"/>
              </w:rPr>
              <w:t>品牌</w:t>
            </w:r>
          </w:p>
        </w:tc>
        <w:tc>
          <w:tcPr>
            <w:tcW w:w="1051" w:type="dxa"/>
            <w:vAlign w:val="top"/>
          </w:tcPr>
          <w:p w14:paraId="419B723D">
            <w:pPr>
              <w:pStyle w:val="16"/>
              <w:spacing w:before="118" w:line="224" w:lineRule="auto"/>
              <w:ind w:left="297"/>
              <w:rPr>
                <w:color w:val="auto"/>
                <w:highlight w:val="none"/>
              </w:rPr>
            </w:pPr>
            <w:r>
              <w:rPr>
                <w:color w:val="auto"/>
                <w:spacing w:val="-5"/>
                <w:highlight w:val="none"/>
              </w:rPr>
              <w:t>产地</w:t>
            </w:r>
          </w:p>
        </w:tc>
        <w:tc>
          <w:tcPr>
            <w:tcW w:w="1556" w:type="dxa"/>
            <w:vAlign w:val="top"/>
          </w:tcPr>
          <w:p w14:paraId="7851E646">
            <w:pPr>
              <w:pStyle w:val="16"/>
              <w:spacing w:before="118" w:line="224" w:lineRule="auto"/>
              <w:ind w:left="323"/>
              <w:rPr>
                <w:color w:val="auto"/>
                <w:highlight w:val="none"/>
              </w:rPr>
            </w:pPr>
            <w:r>
              <w:rPr>
                <w:color w:val="auto"/>
                <w:spacing w:val="-6"/>
                <w:highlight w:val="none"/>
              </w:rPr>
              <w:t>生产厂家</w:t>
            </w:r>
          </w:p>
        </w:tc>
        <w:tc>
          <w:tcPr>
            <w:tcW w:w="1696" w:type="dxa"/>
            <w:vAlign w:val="top"/>
          </w:tcPr>
          <w:p w14:paraId="3569824B">
            <w:pPr>
              <w:pStyle w:val="16"/>
              <w:spacing w:before="119" w:line="224" w:lineRule="auto"/>
              <w:ind w:left="142"/>
              <w:rPr>
                <w:color w:val="auto"/>
                <w:highlight w:val="none"/>
              </w:rPr>
            </w:pPr>
            <w:r>
              <w:rPr>
                <w:color w:val="auto"/>
                <w:spacing w:val="-3"/>
                <w:highlight w:val="none"/>
              </w:rPr>
              <w:t>详细配置清单</w:t>
            </w:r>
          </w:p>
        </w:tc>
        <w:tc>
          <w:tcPr>
            <w:tcW w:w="2133" w:type="dxa"/>
            <w:vAlign w:val="top"/>
          </w:tcPr>
          <w:p w14:paraId="2F6EB34B">
            <w:pPr>
              <w:pStyle w:val="16"/>
              <w:spacing w:before="118" w:line="224" w:lineRule="auto"/>
              <w:ind w:left="599"/>
              <w:rPr>
                <w:color w:val="auto"/>
                <w:highlight w:val="none"/>
              </w:rPr>
            </w:pPr>
            <w:r>
              <w:rPr>
                <w:color w:val="auto"/>
                <w:spacing w:val="-3"/>
                <w:highlight w:val="none"/>
              </w:rPr>
              <w:t>规格型号</w:t>
            </w:r>
          </w:p>
        </w:tc>
      </w:tr>
      <w:tr w14:paraId="7F9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93" w:type="dxa"/>
            <w:vAlign w:val="top"/>
          </w:tcPr>
          <w:p w14:paraId="2193B4A7">
            <w:pPr>
              <w:rPr>
                <w:rFonts w:ascii="Arial"/>
                <w:color w:val="auto"/>
                <w:sz w:val="21"/>
                <w:highlight w:val="none"/>
              </w:rPr>
            </w:pPr>
          </w:p>
        </w:tc>
        <w:tc>
          <w:tcPr>
            <w:tcW w:w="1370" w:type="dxa"/>
            <w:vAlign w:val="top"/>
          </w:tcPr>
          <w:p w14:paraId="7B131E4C">
            <w:pPr>
              <w:rPr>
                <w:rFonts w:ascii="Arial"/>
                <w:color w:val="auto"/>
                <w:sz w:val="21"/>
                <w:highlight w:val="none"/>
              </w:rPr>
            </w:pPr>
          </w:p>
        </w:tc>
        <w:tc>
          <w:tcPr>
            <w:tcW w:w="1596" w:type="dxa"/>
            <w:vAlign w:val="top"/>
          </w:tcPr>
          <w:p w14:paraId="0FBD23D1">
            <w:pPr>
              <w:rPr>
                <w:rFonts w:ascii="Arial"/>
                <w:color w:val="auto"/>
                <w:sz w:val="21"/>
                <w:highlight w:val="none"/>
              </w:rPr>
            </w:pPr>
          </w:p>
        </w:tc>
        <w:tc>
          <w:tcPr>
            <w:tcW w:w="1051" w:type="dxa"/>
            <w:vAlign w:val="top"/>
          </w:tcPr>
          <w:p w14:paraId="7087FED1">
            <w:pPr>
              <w:rPr>
                <w:rFonts w:ascii="Arial"/>
                <w:color w:val="auto"/>
                <w:sz w:val="21"/>
                <w:highlight w:val="none"/>
              </w:rPr>
            </w:pPr>
          </w:p>
        </w:tc>
        <w:tc>
          <w:tcPr>
            <w:tcW w:w="1556" w:type="dxa"/>
            <w:vAlign w:val="top"/>
          </w:tcPr>
          <w:p w14:paraId="7A5681F7">
            <w:pPr>
              <w:rPr>
                <w:rFonts w:ascii="Arial"/>
                <w:color w:val="auto"/>
                <w:sz w:val="21"/>
                <w:highlight w:val="none"/>
              </w:rPr>
            </w:pPr>
          </w:p>
        </w:tc>
        <w:tc>
          <w:tcPr>
            <w:tcW w:w="1696" w:type="dxa"/>
            <w:vAlign w:val="top"/>
          </w:tcPr>
          <w:p w14:paraId="0C6C5318">
            <w:pPr>
              <w:rPr>
                <w:rFonts w:ascii="Arial"/>
                <w:color w:val="auto"/>
                <w:sz w:val="21"/>
                <w:highlight w:val="none"/>
              </w:rPr>
            </w:pPr>
          </w:p>
        </w:tc>
        <w:tc>
          <w:tcPr>
            <w:tcW w:w="2133" w:type="dxa"/>
            <w:vAlign w:val="top"/>
          </w:tcPr>
          <w:p w14:paraId="34FB84E7">
            <w:pPr>
              <w:rPr>
                <w:rFonts w:ascii="Arial"/>
                <w:color w:val="auto"/>
                <w:sz w:val="21"/>
                <w:highlight w:val="none"/>
              </w:rPr>
            </w:pPr>
          </w:p>
        </w:tc>
      </w:tr>
      <w:tr w14:paraId="08BC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1C385BB4">
            <w:pPr>
              <w:rPr>
                <w:rFonts w:ascii="Arial"/>
                <w:color w:val="auto"/>
                <w:sz w:val="21"/>
                <w:highlight w:val="none"/>
              </w:rPr>
            </w:pPr>
          </w:p>
        </w:tc>
        <w:tc>
          <w:tcPr>
            <w:tcW w:w="1370" w:type="dxa"/>
            <w:vAlign w:val="top"/>
          </w:tcPr>
          <w:p w14:paraId="6D1DA0A5">
            <w:pPr>
              <w:rPr>
                <w:rFonts w:ascii="Arial"/>
                <w:color w:val="auto"/>
                <w:sz w:val="21"/>
                <w:highlight w:val="none"/>
              </w:rPr>
            </w:pPr>
          </w:p>
        </w:tc>
        <w:tc>
          <w:tcPr>
            <w:tcW w:w="1596" w:type="dxa"/>
            <w:vAlign w:val="top"/>
          </w:tcPr>
          <w:p w14:paraId="60257D9F">
            <w:pPr>
              <w:rPr>
                <w:rFonts w:ascii="Arial"/>
                <w:color w:val="auto"/>
                <w:sz w:val="21"/>
                <w:highlight w:val="none"/>
              </w:rPr>
            </w:pPr>
          </w:p>
        </w:tc>
        <w:tc>
          <w:tcPr>
            <w:tcW w:w="1051" w:type="dxa"/>
            <w:vAlign w:val="top"/>
          </w:tcPr>
          <w:p w14:paraId="77455CB9">
            <w:pPr>
              <w:rPr>
                <w:rFonts w:ascii="Arial"/>
                <w:color w:val="auto"/>
                <w:sz w:val="21"/>
                <w:highlight w:val="none"/>
              </w:rPr>
            </w:pPr>
          </w:p>
        </w:tc>
        <w:tc>
          <w:tcPr>
            <w:tcW w:w="1556" w:type="dxa"/>
            <w:vAlign w:val="top"/>
          </w:tcPr>
          <w:p w14:paraId="60985D83">
            <w:pPr>
              <w:rPr>
                <w:rFonts w:ascii="Arial"/>
                <w:color w:val="auto"/>
                <w:sz w:val="21"/>
                <w:highlight w:val="none"/>
              </w:rPr>
            </w:pPr>
          </w:p>
        </w:tc>
        <w:tc>
          <w:tcPr>
            <w:tcW w:w="1696" w:type="dxa"/>
            <w:vAlign w:val="top"/>
          </w:tcPr>
          <w:p w14:paraId="10D86325">
            <w:pPr>
              <w:rPr>
                <w:rFonts w:ascii="Arial"/>
                <w:color w:val="auto"/>
                <w:sz w:val="21"/>
                <w:highlight w:val="none"/>
              </w:rPr>
            </w:pPr>
          </w:p>
        </w:tc>
        <w:tc>
          <w:tcPr>
            <w:tcW w:w="2133" w:type="dxa"/>
            <w:vAlign w:val="top"/>
          </w:tcPr>
          <w:p w14:paraId="43F86726">
            <w:pPr>
              <w:rPr>
                <w:rFonts w:ascii="Arial"/>
                <w:color w:val="auto"/>
                <w:sz w:val="21"/>
                <w:highlight w:val="none"/>
              </w:rPr>
            </w:pPr>
          </w:p>
        </w:tc>
      </w:tr>
      <w:tr w14:paraId="433A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8DA7E20">
            <w:pPr>
              <w:rPr>
                <w:rFonts w:ascii="Arial"/>
                <w:color w:val="auto"/>
                <w:sz w:val="21"/>
                <w:highlight w:val="none"/>
              </w:rPr>
            </w:pPr>
          </w:p>
        </w:tc>
        <w:tc>
          <w:tcPr>
            <w:tcW w:w="1370" w:type="dxa"/>
            <w:vAlign w:val="top"/>
          </w:tcPr>
          <w:p w14:paraId="5987D6CB">
            <w:pPr>
              <w:rPr>
                <w:rFonts w:ascii="Arial"/>
                <w:color w:val="auto"/>
                <w:sz w:val="21"/>
                <w:highlight w:val="none"/>
              </w:rPr>
            </w:pPr>
          </w:p>
        </w:tc>
        <w:tc>
          <w:tcPr>
            <w:tcW w:w="1596" w:type="dxa"/>
            <w:vAlign w:val="top"/>
          </w:tcPr>
          <w:p w14:paraId="73BE40CC">
            <w:pPr>
              <w:rPr>
                <w:rFonts w:ascii="Arial"/>
                <w:color w:val="auto"/>
                <w:sz w:val="21"/>
                <w:highlight w:val="none"/>
              </w:rPr>
            </w:pPr>
          </w:p>
        </w:tc>
        <w:tc>
          <w:tcPr>
            <w:tcW w:w="1051" w:type="dxa"/>
            <w:vAlign w:val="top"/>
          </w:tcPr>
          <w:p w14:paraId="31726953">
            <w:pPr>
              <w:rPr>
                <w:rFonts w:ascii="Arial"/>
                <w:color w:val="auto"/>
                <w:sz w:val="21"/>
                <w:highlight w:val="none"/>
              </w:rPr>
            </w:pPr>
          </w:p>
        </w:tc>
        <w:tc>
          <w:tcPr>
            <w:tcW w:w="1556" w:type="dxa"/>
            <w:vAlign w:val="top"/>
          </w:tcPr>
          <w:p w14:paraId="6EF35E43">
            <w:pPr>
              <w:rPr>
                <w:rFonts w:ascii="Arial"/>
                <w:color w:val="auto"/>
                <w:sz w:val="21"/>
                <w:highlight w:val="none"/>
              </w:rPr>
            </w:pPr>
          </w:p>
        </w:tc>
        <w:tc>
          <w:tcPr>
            <w:tcW w:w="1696" w:type="dxa"/>
            <w:vAlign w:val="top"/>
          </w:tcPr>
          <w:p w14:paraId="2DCB7425">
            <w:pPr>
              <w:rPr>
                <w:rFonts w:ascii="Arial"/>
                <w:color w:val="auto"/>
                <w:sz w:val="21"/>
                <w:highlight w:val="none"/>
              </w:rPr>
            </w:pPr>
          </w:p>
        </w:tc>
        <w:tc>
          <w:tcPr>
            <w:tcW w:w="2133" w:type="dxa"/>
            <w:vAlign w:val="top"/>
          </w:tcPr>
          <w:p w14:paraId="18BB28F1">
            <w:pPr>
              <w:rPr>
                <w:rFonts w:ascii="Arial"/>
                <w:color w:val="auto"/>
                <w:sz w:val="21"/>
                <w:highlight w:val="none"/>
              </w:rPr>
            </w:pPr>
          </w:p>
        </w:tc>
      </w:tr>
      <w:tr w14:paraId="61B8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793" w:type="dxa"/>
            <w:vAlign w:val="top"/>
          </w:tcPr>
          <w:p w14:paraId="3A8876B7">
            <w:pPr>
              <w:rPr>
                <w:rFonts w:ascii="Arial"/>
                <w:color w:val="auto"/>
                <w:sz w:val="21"/>
                <w:highlight w:val="none"/>
              </w:rPr>
            </w:pPr>
          </w:p>
        </w:tc>
        <w:tc>
          <w:tcPr>
            <w:tcW w:w="1370" w:type="dxa"/>
            <w:vAlign w:val="top"/>
          </w:tcPr>
          <w:p w14:paraId="101CCD71">
            <w:pPr>
              <w:rPr>
                <w:rFonts w:ascii="Arial"/>
                <w:color w:val="auto"/>
                <w:sz w:val="21"/>
                <w:highlight w:val="none"/>
              </w:rPr>
            </w:pPr>
          </w:p>
        </w:tc>
        <w:tc>
          <w:tcPr>
            <w:tcW w:w="1596" w:type="dxa"/>
            <w:vAlign w:val="top"/>
          </w:tcPr>
          <w:p w14:paraId="36EA86B7">
            <w:pPr>
              <w:rPr>
                <w:rFonts w:ascii="Arial"/>
                <w:color w:val="auto"/>
                <w:sz w:val="21"/>
                <w:highlight w:val="none"/>
              </w:rPr>
            </w:pPr>
          </w:p>
        </w:tc>
        <w:tc>
          <w:tcPr>
            <w:tcW w:w="1051" w:type="dxa"/>
            <w:vAlign w:val="top"/>
          </w:tcPr>
          <w:p w14:paraId="4CB24B3F">
            <w:pPr>
              <w:rPr>
                <w:rFonts w:ascii="Arial"/>
                <w:color w:val="auto"/>
                <w:sz w:val="21"/>
                <w:highlight w:val="none"/>
              </w:rPr>
            </w:pPr>
          </w:p>
        </w:tc>
        <w:tc>
          <w:tcPr>
            <w:tcW w:w="1556" w:type="dxa"/>
            <w:vAlign w:val="top"/>
          </w:tcPr>
          <w:p w14:paraId="39E3DDD5">
            <w:pPr>
              <w:rPr>
                <w:rFonts w:ascii="Arial"/>
                <w:color w:val="auto"/>
                <w:sz w:val="21"/>
                <w:highlight w:val="none"/>
              </w:rPr>
            </w:pPr>
          </w:p>
        </w:tc>
        <w:tc>
          <w:tcPr>
            <w:tcW w:w="1696" w:type="dxa"/>
            <w:vAlign w:val="top"/>
          </w:tcPr>
          <w:p w14:paraId="252B5553">
            <w:pPr>
              <w:rPr>
                <w:rFonts w:ascii="Arial"/>
                <w:color w:val="auto"/>
                <w:sz w:val="21"/>
                <w:highlight w:val="none"/>
              </w:rPr>
            </w:pPr>
          </w:p>
        </w:tc>
        <w:tc>
          <w:tcPr>
            <w:tcW w:w="2133" w:type="dxa"/>
            <w:vAlign w:val="top"/>
          </w:tcPr>
          <w:p w14:paraId="610A7254">
            <w:pPr>
              <w:rPr>
                <w:rFonts w:ascii="Arial"/>
                <w:color w:val="auto"/>
                <w:sz w:val="21"/>
                <w:highlight w:val="none"/>
              </w:rPr>
            </w:pPr>
          </w:p>
        </w:tc>
      </w:tr>
      <w:tr w14:paraId="65A4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65440FB">
            <w:pPr>
              <w:rPr>
                <w:rFonts w:ascii="Arial"/>
                <w:color w:val="auto"/>
                <w:sz w:val="21"/>
                <w:highlight w:val="none"/>
              </w:rPr>
            </w:pPr>
          </w:p>
        </w:tc>
        <w:tc>
          <w:tcPr>
            <w:tcW w:w="1370" w:type="dxa"/>
            <w:vAlign w:val="top"/>
          </w:tcPr>
          <w:p w14:paraId="64475786">
            <w:pPr>
              <w:rPr>
                <w:rFonts w:ascii="Arial"/>
                <w:color w:val="auto"/>
                <w:sz w:val="21"/>
                <w:highlight w:val="none"/>
              </w:rPr>
            </w:pPr>
          </w:p>
        </w:tc>
        <w:tc>
          <w:tcPr>
            <w:tcW w:w="1596" w:type="dxa"/>
            <w:vAlign w:val="top"/>
          </w:tcPr>
          <w:p w14:paraId="53EEF173">
            <w:pPr>
              <w:rPr>
                <w:rFonts w:ascii="Arial"/>
                <w:color w:val="auto"/>
                <w:sz w:val="21"/>
                <w:highlight w:val="none"/>
              </w:rPr>
            </w:pPr>
          </w:p>
        </w:tc>
        <w:tc>
          <w:tcPr>
            <w:tcW w:w="1051" w:type="dxa"/>
            <w:vAlign w:val="top"/>
          </w:tcPr>
          <w:p w14:paraId="4817EE79">
            <w:pPr>
              <w:rPr>
                <w:rFonts w:ascii="Arial"/>
                <w:color w:val="auto"/>
                <w:sz w:val="21"/>
                <w:highlight w:val="none"/>
              </w:rPr>
            </w:pPr>
          </w:p>
        </w:tc>
        <w:tc>
          <w:tcPr>
            <w:tcW w:w="1556" w:type="dxa"/>
            <w:vAlign w:val="top"/>
          </w:tcPr>
          <w:p w14:paraId="7E7B159B">
            <w:pPr>
              <w:rPr>
                <w:rFonts w:ascii="Arial"/>
                <w:color w:val="auto"/>
                <w:sz w:val="21"/>
                <w:highlight w:val="none"/>
              </w:rPr>
            </w:pPr>
          </w:p>
        </w:tc>
        <w:tc>
          <w:tcPr>
            <w:tcW w:w="1696" w:type="dxa"/>
            <w:vAlign w:val="top"/>
          </w:tcPr>
          <w:p w14:paraId="314521E2">
            <w:pPr>
              <w:rPr>
                <w:rFonts w:ascii="Arial"/>
                <w:color w:val="auto"/>
                <w:sz w:val="21"/>
                <w:highlight w:val="none"/>
              </w:rPr>
            </w:pPr>
          </w:p>
        </w:tc>
        <w:tc>
          <w:tcPr>
            <w:tcW w:w="2133" w:type="dxa"/>
            <w:vAlign w:val="top"/>
          </w:tcPr>
          <w:p w14:paraId="4386A780">
            <w:pPr>
              <w:rPr>
                <w:rFonts w:ascii="Arial"/>
                <w:color w:val="auto"/>
                <w:sz w:val="21"/>
                <w:highlight w:val="none"/>
              </w:rPr>
            </w:pPr>
          </w:p>
        </w:tc>
      </w:tr>
      <w:tr w14:paraId="6D6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3" w:type="dxa"/>
            <w:vAlign w:val="top"/>
          </w:tcPr>
          <w:p w14:paraId="7AE7E123">
            <w:pPr>
              <w:rPr>
                <w:rFonts w:ascii="Arial"/>
                <w:color w:val="auto"/>
                <w:sz w:val="21"/>
                <w:highlight w:val="none"/>
              </w:rPr>
            </w:pPr>
          </w:p>
        </w:tc>
        <w:tc>
          <w:tcPr>
            <w:tcW w:w="1370" w:type="dxa"/>
            <w:vAlign w:val="top"/>
          </w:tcPr>
          <w:p w14:paraId="4A08E95D">
            <w:pPr>
              <w:rPr>
                <w:rFonts w:ascii="Arial"/>
                <w:color w:val="auto"/>
                <w:sz w:val="21"/>
                <w:highlight w:val="none"/>
              </w:rPr>
            </w:pPr>
          </w:p>
        </w:tc>
        <w:tc>
          <w:tcPr>
            <w:tcW w:w="1596" w:type="dxa"/>
            <w:vAlign w:val="top"/>
          </w:tcPr>
          <w:p w14:paraId="49D9508E">
            <w:pPr>
              <w:rPr>
                <w:rFonts w:ascii="Arial"/>
                <w:color w:val="auto"/>
                <w:sz w:val="21"/>
                <w:highlight w:val="none"/>
              </w:rPr>
            </w:pPr>
          </w:p>
        </w:tc>
        <w:tc>
          <w:tcPr>
            <w:tcW w:w="1051" w:type="dxa"/>
            <w:vAlign w:val="top"/>
          </w:tcPr>
          <w:p w14:paraId="1E2CEB09">
            <w:pPr>
              <w:rPr>
                <w:rFonts w:ascii="Arial"/>
                <w:color w:val="auto"/>
                <w:sz w:val="21"/>
                <w:highlight w:val="none"/>
              </w:rPr>
            </w:pPr>
          </w:p>
        </w:tc>
        <w:tc>
          <w:tcPr>
            <w:tcW w:w="1556" w:type="dxa"/>
            <w:vAlign w:val="top"/>
          </w:tcPr>
          <w:p w14:paraId="5BD452EC">
            <w:pPr>
              <w:rPr>
                <w:rFonts w:ascii="Arial"/>
                <w:color w:val="auto"/>
                <w:sz w:val="21"/>
                <w:highlight w:val="none"/>
              </w:rPr>
            </w:pPr>
          </w:p>
        </w:tc>
        <w:tc>
          <w:tcPr>
            <w:tcW w:w="1696" w:type="dxa"/>
            <w:vAlign w:val="top"/>
          </w:tcPr>
          <w:p w14:paraId="0546AB95">
            <w:pPr>
              <w:rPr>
                <w:rFonts w:ascii="Arial"/>
                <w:color w:val="auto"/>
                <w:sz w:val="21"/>
                <w:highlight w:val="none"/>
              </w:rPr>
            </w:pPr>
          </w:p>
        </w:tc>
        <w:tc>
          <w:tcPr>
            <w:tcW w:w="2133" w:type="dxa"/>
            <w:vAlign w:val="top"/>
          </w:tcPr>
          <w:p w14:paraId="2ABF9965">
            <w:pPr>
              <w:rPr>
                <w:rFonts w:ascii="Arial"/>
                <w:color w:val="auto"/>
                <w:sz w:val="21"/>
                <w:highlight w:val="none"/>
              </w:rPr>
            </w:pPr>
          </w:p>
        </w:tc>
      </w:tr>
    </w:tbl>
    <w:p w14:paraId="42764251">
      <w:pPr>
        <w:spacing w:line="249" w:lineRule="auto"/>
        <w:rPr>
          <w:rFonts w:ascii="Arial"/>
          <w:color w:val="auto"/>
          <w:sz w:val="21"/>
          <w:highlight w:val="none"/>
        </w:rPr>
      </w:pPr>
    </w:p>
    <w:p w14:paraId="2169F657">
      <w:pPr>
        <w:spacing w:line="249" w:lineRule="auto"/>
        <w:rPr>
          <w:rFonts w:ascii="Arial"/>
          <w:color w:val="auto"/>
          <w:sz w:val="21"/>
          <w:highlight w:val="none"/>
        </w:rPr>
      </w:pPr>
    </w:p>
    <w:p w14:paraId="26110B6C">
      <w:pPr>
        <w:spacing w:line="249" w:lineRule="auto"/>
        <w:rPr>
          <w:rFonts w:ascii="Arial"/>
          <w:color w:val="auto"/>
          <w:sz w:val="21"/>
          <w:highlight w:val="none"/>
        </w:rPr>
      </w:pPr>
    </w:p>
    <w:p w14:paraId="1991262E">
      <w:pPr>
        <w:spacing w:line="249" w:lineRule="auto"/>
        <w:rPr>
          <w:rFonts w:ascii="Arial"/>
          <w:color w:val="auto"/>
          <w:sz w:val="21"/>
          <w:highlight w:val="none"/>
        </w:rPr>
      </w:pPr>
    </w:p>
    <w:p w14:paraId="7BCA7BDA">
      <w:pPr>
        <w:spacing w:line="249" w:lineRule="auto"/>
        <w:rPr>
          <w:rFonts w:ascii="Arial"/>
          <w:color w:val="auto"/>
          <w:sz w:val="21"/>
          <w:highlight w:val="none"/>
        </w:rPr>
      </w:pPr>
    </w:p>
    <w:p w14:paraId="737BC7C9">
      <w:pPr>
        <w:spacing w:line="249" w:lineRule="auto"/>
        <w:rPr>
          <w:rFonts w:ascii="Arial"/>
          <w:color w:val="auto"/>
          <w:sz w:val="21"/>
          <w:highlight w:val="none"/>
        </w:rPr>
      </w:pPr>
    </w:p>
    <w:p w14:paraId="0DC62A26">
      <w:pPr>
        <w:spacing w:line="249" w:lineRule="auto"/>
        <w:rPr>
          <w:rFonts w:ascii="Arial"/>
          <w:color w:val="auto"/>
          <w:sz w:val="21"/>
          <w:highlight w:val="none"/>
        </w:rPr>
      </w:pPr>
    </w:p>
    <w:p w14:paraId="30C0AF17">
      <w:pPr>
        <w:spacing w:line="249" w:lineRule="auto"/>
        <w:rPr>
          <w:rFonts w:ascii="Arial"/>
          <w:color w:val="auto"/>
          <w:sz w:val="21"/>
          <w:highlight w:val="none"/>
        </w:rPr>
      </w:pPr>
    </w:p>
    <w:p w14:paraId="2EF8BC6A">
      <w:pPr>
        <w:spacing w:line="249" w:lineRule="auto"/>
        <w:rPr>
          <w:rFonts w:ascii="Arial"/>
          <w:color w:val="auto"/>
          <w:sz w:val="21"/>
          <w:highlight w:val="none"/>
        </w:rPr>
      </w:pPr>
    </w:p>
    <w:p w14:paraId="154CF550">
      <w:pPr>
        <w:spacing w:line="250" w:lineRule="auto"/>
        <w:rPr>
          <w:rFonts w:ascii="Arial"/>
          <w:color w:val="auto"/>
          <w:sz w:val="21"/>
          <w:highlight w:val="none"/>
        </w:rPr>
      </w:pPr>
    </w:p>
    <w:p w14:paraId="59DBBFE9">
      <w:pPr>
        <w:spacing w:line="250" w:lineRule="auto"/>
        <w:rPr>
          <w:rFonts w:ascii="Arial"/>
          <w:color w:val="auto"/>
          <w:sz w:val="21"/>
          <w:highlight w:val="none"/>
        </w:rPr>
      </w:pPr>
    </w:p>
    <w:p w14:paraId="17D78C5C">
      <w:pPr>
        <w:spacing w:line="250" w:lineRule="auto"/>
        <w:rPr>
          <w:rFonts w:ascii="Arial"/>
          <w:color w:val="auto"/>
          <w:sz w:val="21"/>
          <w:highlight w:val="none"/>
        </w:rPr>
      </w:pPr>
    </w:p>
    <w:p w14:paraId="419F4F6C">
      <w:pPr>
        <w:spacing w:line="250" w:lineRule="auto"/>
        <w:rPr>
          <w:rFonts w:ascii="Arial"/>
          <w:color w:val="auto"/>
          <w:sz w:val="21"/>
          <w:highlight w:val="none"/>
        </w:rPr>
      </w:pPr>
    </w:p>
    <w:p w14:paraId="0A10B73D">
      <w:pPr>
        <w:spacing w:line="250" w:lineRule="auto"/>
        <w:rPr>
          <w:rFonts w:ascii="Arial"/>
          <w:color w:val="auto"/>
          <w:sz w:val="21"/>
          <w:highlight w:val="none"/>
        </w:rPr>
      </w:pPr>
    </w:p>
    <w:p w14:paraId="18207F61">
      <w:pPr>
        <w:spacing w:line="250" w:lineRule="auto"/>
        <w:rPr>
          <w:rFonts w:ascii="Arial"/>
          <w:color w:val="auto"/>
          <w:sz w:val="21"/>
          <w:highlight w:val="none"/>
        </w:rPr>
      </w:pPr>
    </w:p>
    <w:p w14:paraId="0981DA83">
      <w:pPr>
        <w:spacing w:line="250" w:lineRule="auto"/>
        <w:rPr>
          <w:rFonts w:ascii="Arial"/>
          <w:color w:val="auto"/>
          <w:sz w:val="21"/>
          <w:highlight w:val="none"/>
        </w:rPr>
      </w:pPr>
    </w:p>
    <w:p w14:paraId="16A05042">
      <w:pPr>
        <w:spacing w:line="250" w:lineRule="auto"/>
        <w:rPr>
          <w:rFonts w:ascii="Arial"/>
          <w:color w:val="auto"/>
          <w:sz w:val="21"/>
          <w:highlight w:val="none"/>
        </w:rPr>
      </w:pPr>
    </w:p>
    <w:p w14:paraId="5B0B3636">
      <w:pPr>
        <w:spacing w:line="250" w:lineRule="auto"/>
        <w:rPr>
          <w:rFonts w:ascii="Arial"/>
          <w:color w:val="auto"/>
          <w:sz w:val="21"/>
          <w:highlight w:val="none"/>
        </w:rPr>
      </w:pPr>
    </w:p>
    <w:p w14:paraId="10D3B018">
      <w:pPr>
        <w:spacing w:before="78" w:line="223" w:lineRule="auto"/>
        <w:ind w:left="24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90746F3">
      <w:pPr>
        <w:spacing w:before="177" w:line="345" w:lineRule="auto"/>
        <w:ind w:left="299" w:right="2292"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0093E571">
      <w:pPr>
        <w:spacing w:line="345" w:lineRule="auto"/>
        <w:rPr>
          <w:rFonts w:ascii="新宋体" w:hAnsi="新宋体" w:eastAsia="新宋体" w:cs="新宋体"/>
          <w:color w:val="auto"/>
          <w:sz w:val="24"/>
          <w:szCs w:val="24"/>
          <w:highlight w:val="none"/>
        </w:rPr>
        <w:sectPr>
          <w:footerReference r:id="rId36" w:type="default"/>
          <w:pgSz w:w="11905" w:h="16839"/>
          <w:pgMar w:top="400" w:right="849" w:bottom="1010" w:left="849" w:header="0" w:footer="850" w:gutter="0"/>
          <w:pgNumType w:fmt="numberInDash"/>
          <w:cols w:space="720" w:num="1"/>
        </w:sectPr>
      </w:pPr>
    </w:p>
    <w:p w14:paraId="2D5E99DC">
      <w:pPr>
        <w:spacing w:line="319" w:lineRule="auto"/>
        <w:rPr>
          <w:rFonts w:ascii="Arial"/>
          <w:color w:val="auto"/>
          <w:sz w:val="21"/>
          <w:highlight w:val="none"/>
        </w:rPr>
      </w:pPr>
    </w:p>
    <w:p w14:paraId="0037F7B8">
      <w:pPr>
        <w:spacing w:line="319" w:lineRule="auto"/>
        <w:rPr>
          <w:rFonts w:ascii="Arial"/>
          <w:color w:val="auto"/>
          <w:sz w:val="21"/>
          <w:highlight w:val="none"/>
        </w:rPr>
      </w:pPr>
    </w:p>
    <w:p w14:paraId="553372D8">
      <w:pPr>
        <w:spacing w:line="320" w:lineRule="auto"/>
        <w:rPr>
          <w:rFonts w:ascii="Arial"/>
          <w:color w:val="auto"/>
          <w:sz w:val="21"/>
          <w:highlight w:val="none"/>
        </w:rPr>
      </w:pPr>
    </w:p>
    <w:p w14:paraId="71288D43">
      <w:pPr>
        <w:pStyle w:val="8"/>
        <w:spacing w:before="120" w:line="187" w:lineRule="auto"/>
        <w:ind w:left="3132"/>
        <w:rPr>
          <w:color w:val="auto"/>
          <w:sz w:val="28"/>
          <w:szCs w:val="28"/>
          <w:highlight w:val="none"/>
        </w:rPr>
      </w:pPr>
      <w:r>
        <w:rPr>
          <w:b/>
          <w:bCs/>
          <w:color w:val="auto"/>
          <w:spacing w:val="-6"/>
          <w:sz w:val="28"/>
          <w:szCs w:val="28"/>
          <w:highlight w:val="none"/>
        </w:rPr>
        <w:t>3、项目实施方案</w:t>
      </w:r>
    </w:p>
    <w:p w14:paraId="0E39BDC8">
      <w:pPr>
        <w:spacing w:line="274" w:lineRule="auto"/>
        <w:rPr>
          <w:rFonts w:ascii="Arial"/>
          <w:color w:val="auto"/>
          <w:sz w:val="21"/>
          <w:highlight w:val="none"/>
        </w:rPr>
      </w:pPr>
    </w:p>
    <w:p w14:paraId="7C4BC4EB">
      <w:pPr>
        <w:spacing w:line="274" w:lineRule="auto"/>
        <w:rPr>
          <w:rFonts w:ascii="Arial"/>
          <w:color w:val="auto"/>
          <w:sz w:val="21"/>
          <w:highlight w:val="none"/>
        </w:rPr>
      </w:pPr>
    </w:p>
    <w:p w14:paraId="23681FAF">
      <w:pPr>
        <w:spacing w:before="78" w:line="223" w:lineRule="auto"/>
        <w:ind w:left="3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（格式自拟）</w:t>
      </w:r>
    </w:p>
    <w:p w14:paraId="24558DF3">
      <w:pPr>
        <w:spacing w:line="223" w:lineRule="auto"/>
        <w:rPr>
          <w:rFonts w:ascii="新宋体" w:hAnsi="新宋体" w:eastAsia="新宋体" w:cs="新宋体"/>
          <w:color w:val="auto"/>
          <w:sz w:val="24"/>
          <w:szCs w:val="24"/>
          <w:highlight w:val="none"/>
        </w:rPr>
        <w:sectPr>
          <w:footerReference r:id="rId37" w:type="default"/>
          <w:pgSz w:w="11905" w:h="16839"/>
          <w:pgMar w:top="400" w:right="1785" w:bottom="1010" w:left="1785" w:header="0" w:footer="850" w:gutter="0"/>
          <w:pgNumType w:fmt="numberInDash"/>
          <w:cols w:space="720" w:num="1"/>
        </w:sectPr>
      </w:pPr>
    </w:p>
    <w:p w14:paraId="6E088B43">
      <w:pPr>
        <w:spacing w:line="319" w:lineRule="auto"/>
        <w:rPr>
          <w:rFonts w:ascii="Arial"/>
          <w:color w:val="auto"/>
          <w:sz w:val="21"/>
          <w:highlight w:val="none"/>
        </w:rPr>
      </w:pPr>
    </w:p>
    <w:p w14:paraId="4D71ECB7">
      <w:pPr>
        <w:spacing w:line="319" w:lineRule="auto"/>
        <w:rPr>
          <w:rFonts w:ascii="Arial"/>
          <w:color w:val="auto"/>
          <w:sz w:val="21"/>
          <w:highlight w:val="none"/>
        </w:rPr>
      </w:pPr>
    </w:p>
    <w:p w14:paraId="2E18E76E">
      <w:pPr>
        <w:spacing w:line="320" w:lineRule="auto"/>
        <w:rPr>
          <w:rFonts w:ascii="Arial"/>
          <w:color w:val="auto"/>
          <w:sz w:val="21"/>
          <w:highlight w:val="none"/>
        </w:rPr>
      </w:pPr>
    </w:p>
    <w:p w14:paraId="3E5053F4">
      <w:pPr>
        <w:pStyle w:val="8"/>
        <w:spacing w:before="120" w:line="188" w:lineRule="auto"/>
        <w:ind w:left="3953"/>
        <w:rPr>
          <w:color w:val="auto"/>
          <w:sz w:val="28"/>
          <w:szCs w:val="28"/>
          <w:highlight w:val="none"/>
        </w:rPr>
      </w:pPr>
      <w:r>
        <w:rPr>
          <w:b/>
          <w:bCs/>
          <w:color w:val="auto"/>
          <w:spacing w:val="-6"/>
          <w:sz w:val="28"/>
          <w:szCs w:val="28"/>
          <w:highlight w:val="none"/>
        </w:rPr>
        <w:t>4、服务承诺书</w:t>
      </w:r>
    </w:p>
    <w:p w14:paraId="77DF09FF">
      <w:pPr>
        <w:spacing w:line="267" w:lineRule="auto"/>
        <w:rPr>
          <w:rFonts w:ascii="Arial"/>
          <w:color w:val="auto"/>
          <w:sz w:val="21"/>
          <w:highlight w:val="none"/>
        </w:rPr>
      </w:pPr>
    </w:p>
    <w:p w14:paraId="2AFD9DD7">
      <w:pPr>
        <w:spacing w:line="267" w:lineRule="auto"/>
        <w:rPr>
          <w:rFonts w:ascii="Arial"/>
          <w:color w:val="auto"/>
          <w:sz w:val="21"/>
          <w:highlight w:val="none"/>
        </w:rPr>
      </w:pPr>
    </w:p>
    <w:p w14:paraId="504A9BC9">
      <w:pPr>
        <w:spacing w:line="267" w:lineRule="auto"/>
        <w:rPr>
          <w:rFonts w:ascii="Arial"/>
          <w:color w:val="auto"/>
          <w:sz w:val="21"/>
          <w:highlight w:val="none"/>
        </w:rPr>
      </w:pPr>
    </w:p>
    <w:p w14:paraId="5AB95716">
      <w:pPr>
        <w:spacing w:line="268" w:lineRule="auto"/>
        <w:rPr>
          <w:rFonts w:ascii="Arial"/>
          <w:color w:val="auto"/>
          <w:sz w:val="21"/>
          <w:highlight w:val="none"/>
        </w:rPr>
      </w:pPr>
    </w:p>
    <w:p w14:paraId="2763E72C">
      <w:pPr>
        <w:spacing w:before="78"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363EF93">
      <w:pPr>
        <w:spacing w:before="175" w:line="345" w:lineRule="auto"/>
        <w:ind w:left="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本承诺声明</w:t>
      </w:r>
      <w:r>
        <w:rPr>
          <w:rFonts w:ascii="新宋体" w:hAnsi="新宋体" w:eastAsia="新宋体" w:cs="新宋体"/>
          <w:color w:val="auto"/>
          <w:spacing w:val="-17"/>
          <w:sz w:val="24"/>
          <w:szCs w:val="24"/>
          <w:highlight w:val="none"/>
        </w:rPr>
        <w:t>：</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7"/>
          <w:sz w:val="24"/>
          <w:szCs w:val="24"/>
          <w:highlight w:val="none"/>
          <w:u w:val="single" w:color="auto"/>
        </w:rPr>
        <w:t>（</w:t>
      </w:r>
      <w:r>
        <w:rPr>
          <w:rFonts w:ascii="新宋体" w:hAnsi="新宋体" w:eastAsia="新宋体" w:cs="新宋体"/>
          <w:color w:val="auto"/>
          <w:spacing w:val="1"/>
          <w:sz w:val="24"/>
          <w:szCs w:val="24"/>
          <w:highlight w:val="none"/>
          <w:u w:val="single" w:color="auto"/>
        </w:rPr>
        <w:t>投标人名称）</w:t>
      </w:r>
      <w:r>
        <w:rPr>
          <w:rFonts w:ascii="新宋体" w:hAnsi="新宋体" w:eastAsia="新宋体" w:cs="新宋体"/>
          <w:color w:val="auto"/>
          <w:spacing w:val="1"/>
          <w:sz w:val="24"/>
          <w:szCs w:val="24"/>
          <w:highlight w:val="none"/>
        </w:rPr>
        <w:t>对本招标文件的相关要求完全响应。若有幸中标将严</w:t>
      </w:r>
      <w:r>
        <w:rPr>
          <w:rFonts w:ascii="新宋体" w:hAnsi="新宋体" w:eastAsia="新宋体" w:cs="新宋体"/>
          <w:color w:val="auto"/>
          <w:sz w:val="24"/>
          <w:szCs w:val="24"/>
          <w:highlight w:val="none"/>
        </w:rPr>
        <w:t xml:space="preserve">格按 </w:t>
      </w:r>
      <w:r>
        <w:rPr>
          <w:rFonts w:ascii="新宋体" w:hAnsi="新宋体" w:eastAsia="新宋体" w:cs="新宋体"/>
          <w:color w:val="auto"/>
          <w:spacing w:val="-5"/>
          <w:sz w:val="24"/>
          <w:szCs w:val="24"/>
          <w:highlight w:val="none"/>
        </w:rPr>
        <w:t>照以上承诺进行服务。</w:t>
      </w:r>
    </w:p>
    <w:p w14:paraId="395263B9">
      <w:pPr>
        <w:spacing w:line="422" w:lineRule="auto"/>
        <w:rPr>
          <w:rFonts w:ascii="Arial"/>
          <w:color w:val="auto"/>
          <w:sz w:val="21"/>
          <w:highlight w:val="none"/>
        </w:rPr>
      </w:pPr>
    </w:p>
    <w:p w14:paraId="1229B2AE">
      <w:pPr>
        <w:spacing w:before="78" w:line="224"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特此声明</w:t>
      </w:r>
    </w:p>
    <w:p w14:paraId="210ADCE7">
      <w:pPr>
        <w:spacing w:line="263" w:lineRule="auto"/>
        <w:rPr>
          <w:rFonts w:ascii="Arial"/>
          <w:color w:val="auto"/>
          <w:sz w:val="21"/>
          <w:highlight w:val="none"/>
        </w:rPr>
      </w:pPr>
    </w:p>
    <w:p w14:paraId="0B5D277E">
      <w:pPr>
        <w:spacing w:line="263" w:lineRule="auto"/>
        <w:rPr>
          <w:rFonts w:ascii="Arial"/>
          <w:color w:val="auto"/>
          <w:sz w:val="21"/>
          <w:highlight w:val="none"/>
        </w:rPr>
      </w:pPr>
    </w:p>
    <w:p w14:paraId="168CB8F7">
      <w:pPr>
        <w:spacing w:line="264" w:lineRule="auto"/>
        <w:rPr>
          <w:rFonts w:ascii="Arial"/>
          <w:color w:val="auto"/>
          <w:sz w:val="21"/>
          <w:highlight w:val="none"/>
        </w:rPr>
      </w:pPr>
    </w:p>
    <w:p w14:paraId="3E4836D8">
      <w:pPr>
        <w:spacing w:line="264" w:lineRule="auto"/>
        <w:rPr>
          <w:rFonts w:ascii="Arial"/>
          <w:color w:val="auto"/>
          <w:sz w:val="21"/>
          <w:highlight w:val="none"/>
        </w:rPr>
      </w:pPr>
    </w:p>
    <w:p w14:paraId="1035C09D">
      <w:pPr>
        <w:spacing w:line="264" w:lineRule="auto"/>
        <w:rPr>
          <w:rFonts w:ascii="Arial"/>
          <w:color w:val="auto"/>
          <w:sz w:val="21"/>
          <w:highlight w:val="none"/>
        </w:rPr>
      </w:pPr>
    </w:p>
    <w:p w14:paraId="0B83C977">
      <w:pPr>
        <w:spacing w:line="264" w:lineRule="auto"/>
        <w:rPr>
          <w:rFonts w:ascii="Arial"/>
          <w:color w:val="auto"/>
          <w:sz w:val="21"/>
          <w:highlight w:val="none"/>
        </w:rPr>
      </w:pPr>
    </w:p>
    <w:p w14:paraId="317F4E04">
      <w:pPr>
        <w:spacing w:line="264" w:lineRule="auto"/>
        <w:rPr>
          <w:rFonts w:ascii="Arial"/>
          <w:color w:val="auto"/>
          <w:sz w:val="21"/>
          <w:highlight w:val="none"/>
        </w:rPr>
      </w:pPr>
    </w:p>
    <w:p w14:paraId="68EB3826">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76E3822">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D674E6D">
      <w:pPr>
        <w:spacing w:line="345" w:lineRule="auto"/>
        <w:rPr>
          <w:rFonts w:ascii="新宋体" w:hAnsi="新宋体" w:eastAsia="新宋体" w:cs="新宋体"/>
          <w:color w:val="auto"/>
          <w:sz w:val="24"/>
          <w:szCs w:val="24"/>
          <w:highlight w:val="none"/>
        </w:rPr>
        <w:sectPr>
          <w:footerReference r:id="rId38" w:type="default"/>
          <w:pgSz w:w="11905" w:h="16839"/>
          <w:pgMar w:top="400" w:right="1083" w:bottom="1010" w:left="1098" w:header="0" w:footer="850" w:gutter="0"/>
          <w:pgNumType w:fmt="numberInDash"/>
          <w:cols w:space="720" w:num="1"/>
        </w:sectPr>
      </w:pPr>
    </w:p>
    <w:p w14:paraId="09CF71E7">
      <w:pPr>
        <w:spacing w:line="319" w:lineRule="auto"/>
        <w:rPr>
          <w:rFonts w:ascii="Arial"/>
          <w:color w:val="auto"/>
          <w:sz w:val="21"/>
          <w:highlight w:val="none"/>
        </w:rPr>
      </w:pPr>
    </w:p>
    <w:p w14:paraId="0D53CC75">
      <w:pPr>
        <w:spacing w:line="319" w:lineRule="auto"/>
        <w:rPr>
          <w:rFonts w:ascii="Arial"/>
          <w:color w:val="auto"/>
          <w:sz w:val="21"/>
          <w:highlight w:val="none"/>
        </w:rPr>
      </w:pPr>
    </w:p>
    <w:p w14:paraId="3C9F2C88">
      <w:pPr>
        <w:spacing w:line="319" w:lineRule="auto"/>
        <w:rPr>
          <w:rFonts w:ascii="Arial"/>
          <w:color w:val="auto"/>
          <w:sz w:val="21"/>
          <w:highlight w:val="none"/>
        </w:rPr>
      </w:pPr>
    </w:p>
    <w:p w14:paraId="7C26AFEE">
      <w:pPr>
        <w:pStyle w:val="8"/>
        <w:spacing w:before="121" w:line="188" w:lineRule="auto"/>
        <w:ind w:left="3123"/>
        <w:rPr>
          <w:color w:val="auto"/>
          <w:sz w:val="28"/>
          <w:szCs w:val="28"/>
          <w:highlight w:val="none"/>
        </w:rPr>
      </w:pPr>
      <w:r>
        <w:rPr>
          <w:b/>
          <w:bCs/>
          <w:color w:val="auto"/>
          <w:spacing w:val="-4"/>
          <w:sz w:val="28"/>
          <w:szCs w:val="28"/>
          <w:highlight w:val="none"/>
        </w:rPr>
        <w:t>5、招标文件规定的其它材料</w:t>
      </w:r>
    </w:p>
    <w:p w14:paraId="4A5774C0">
      <w:pPr>
        <w:spacing w:line="312" w:lineRule="auto"/>
        <w:rPr>
          <w:rFonts w:ascii="Arial"/>
          <w:color w:val="auto"/>
          <w:sz w:val="21"/>
          <w:highlight w:val="none"/>
        </w:rPr>
      </w:pPr>
    </w:p>
    <w:p w14:paraId="63E8271E">
      <w:pPr>
        <w:spacing w:line="312" w:lineRule="auto"/>
        <w:rPr>
          <w:rFonts w:ascii="Arial"/>
          <w:color w:val="auto"/>
          <w:sz w:val="21"/>
          <w:highlight w:val="none"/>
        </w:rPr>
      </w:pPr>
    </w:p>
    <w:p w14:paraId="022DA84F">
      <w:pPr>
        <w:spacing w:before="78" w:line="223" w:lineRule="auto"/>
        <w:ind w:left="1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1、所投产品情况，货物符合招标文件规定的证</w:t>
      </w:r>
      <w:r>
        <w:rPr>
          <w:rFonts w:ascii="新宋体" w:hAnsi="新宋体" w:eastAsia="新宋体" w:cs="新宋体"/>
          <w:color w:val="auto"/>
          <w:spacing w:val="-2"/>
          <w:sz w:val="24"/>
          <w:szCs w:val="24"/>
          <w:highlight w:val="none"/>
        </w:rPr>
        <w:t>明材料</w:t>
      </w:r>
    </w:p>
    <w:p w14:paraId="03261AC9">
      <w:pPr>
        <w:spacing w:before="176"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2、技术部分评分细则里需要提供的相关材料及方案。</w:t>
      </w:r>
    </w:p>
    <w:p w14:paraId="3B1DFAC9">
      <w:pPr>
        <w:spacing w:line="223" w:lineRule="auto"/>
        <w:rPr>
          <w:rFonts w:ascii="新宋体" w:hAnsi="新宋体" w:eastAsia="新宋体" w:cs="新宋体"/>
          <w:color w:val="auto"/>
          <w:sz w:val="24"/>
          <w:szCs w:val="24"/>
          <w:highlight w:val="none"/>
        </w:rPr>
        <w:sectPr>
          <w:footerReference r:id="rId39" w:type="default"/>
          <w:pgSz w:w="11905" w:h="16839"/>
          <w:pgMar w:top="400" w:right="1785" w:bottom="1010" w:left="1094" w:header="0" w:footer="850" w:gutter="0"/>
          <w:pgNumType w:fmt="numberInDash"/>
          <w:cols w:space="720" w:num="1"/>
        </w:sectPr>
      </w:pPr>
    </w:p>
    <w:p w14:paraId="47D8D432">
      <w:pPr>
        <w:spacing w:line="305" w:lineRule="auto"/>
        <w:rPr>
          <w:rFonts w:ascii="Arial"/>
          <w:color w:val="auto"/>
          <w:sz w:val="21"/>
          <w:highlight w:val="none"/>
        </w:rPr>
      </w:pPr>
    </w:p>
    <w:p w14:paraId="7185F764">
      <w:pPr>
        <w:spacing w:line="305" w:lineRule="auto"/>
        <w:rPr>
          <w:rFonts w:ascii="Arial"/>
          <w:color w:val="auto"/>
          <w:sz w:val="21"/>
          <w:highlight w:val="none"/>
        </w:rPr>
      </w:pPr>
    </w:p>
    <w:p w14:paraId="5D68C148">
      <w:pPr>
        <w:spacing w:line="305" w:lineRule="auto"/>
        <w:rPr>
          <w:rFonts w:ascii="Arial"/>
          <w:color w:val="auto"/>
          <w:sz w:val="21"/>
          <w:highlight w:val="none"/>
        </w:rPr>
      </w:pPr>
    </w:p>
    <w:p w14:paraId="5E4990C6">
      <w:pPr>
        <w:pStyle w:val="8"/>
        <w:spacing w:before="189" w:line="188" w:lineRule="auto"/>
        <w:ind w:left="2922"/>
        <w:rPr>
          <w:color w:val="auto"/>
          <w:sz w:val="44"/>
          <w:szCs w:val="44"/>
          <w:highlight w:val="none"/>
        </w:rPr>
      </w:pPr>
      <w:r>
        <w:rPr>
          <w:b/>
          <w:bCs/>
          <w:color w:val="auto"/>
          <w:spacing w:val="-5"/>
          <w:sz w:val="44"/>
          <w:szCs w:val="44"/>
          <w:highlight w:val="none"/>
        </w:rPr>
        <w:t>第三部分：经济部分</w:t>
      </w:r>
    </w:p>
    <w:p w14:paraId="2B972CA0">
      <w:pPr>
        <w:pStyle w:val="8"/>
        <w:spacing w:before="238" w:line="178" w:lineRule="auto"/>
        <w:ind w:left="3974"/>
        <w:rPr>
          <w:color w:val="auto"/>
          <w:sz w:val="28"/>
          <w:szCs w:val="28"/>
          <w:highlight w:val="none"/>
        </w:rPr>
      </w:pPr>
      <w:r>
        <w:rPr>
          <w:b/>
          <w:bCs/>
          <w:color w:val="auto"/>
          <w:spacing w:val="-8"/>
          <w:sz w:val="28"/>
          <w:szCs w:val="28"/>
          <w:highlight w:val="none"/>
        </w:rPr>
        <w:t>1、投标承诺书</w:t>
      </w:r>
    </w:p>
    <w:p w14:paraId="61F4131A">
      <w:pPr>
        <w:spacing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致（招标人</w:t>
      </w:r>
      <w:r>
        <w:rPr>
          <w:rFonts w:ascii="新宋体" w:hAnsi="新宋体" w:eastAsia="新宋体" w:cs="新宋体"/>
          <w:color w:val="auto"/>
          <w:spacing w:val="-4"/>
          <w:sz w:val="24"/>
          <w:szCs w:val="24"/>
          <w:highlight w:val="none"/>
        </w:rPr>
        <w:t>）：</w:t>
      </w:r>
    </w:p>
    <w:p w14:paraId="755B248D">
      <w:pPr>
        <w:spacing w:before="175" w:line="345" w:lineRule="auto"/>
        <w:ind w:right="101" w:firstLine="48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根据已收到的</w:t>
      </w:r>
      <w:r>
        <w:rPr>
          <w:rFonts w:ascii="新宋体" w:hAnsi="新宋体" w:eastAsia="新宋体" w:cs="新宋体"/>
          <w:color w:val="auto"/>
          <w:sz w:val="24"/>
          <w:szCs w:val="24"/>
          <w:highlight w:val="none"/>
          <w:u w:val="single" w:color="auto"/>
        </w:rPr>
        <w:t xml:space="preserve">                   （项目名称）</w:t>
      </w:r>
      <w:r>
        <w:rPr>
          <w:rFonts w:ascii="新宋体" w:hAnsi="新宋体" w:eastAsia="新宋体" w:cs="新宋体"/>
          <w:color w:val="auto"/>
          <w:sz w:val="24"/>
          <w:szCs w:val="24"/>
          <w:highlight w:val="none"/>
        </w:rPr>
        <w:t xml:space="preserve">招标文件，我单位经研究贵方的招标文 </w:t>
      </w:r>
      <w:r>
        <w:rPr>
          <w:rFonts w:ascii="新宋体" w:hAnsi="新宋体" w:eastAsia="新宋体" w:cs="新宋体"/>
          <w:color w:val="auto"/>
          <w:spacing w:val="-16"/>
          <w:sz w:val="24"/>
          <w:szCs w:val="24"/>
          <w:highlight w:val="none"/>
        </w:rPr>
        <w:t>件后：</w:t>
      </w:r>
    </w:p>
    <w:p w14:paraId="4A5AC94B">
      <w:pPr>
        <w:spacing w:before="36" w:line="291" w:lineRule="auto"/>
        <w:ind w:firstLine="49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1、我方愿以投标报价</w:t>
      </w:r>
      <w:r>
        <w:rPr>
          <w:rFonts w:ascii="新宋体" w:hAnsi="新宋体" w:eastAsia="新宋体" w:cs="新宋体"/>
          <w:color w:val="auto"/>
          <w:spacing w:val="-1"/>
          <w:sz w:val="24"/>
          <w:szCs w:val="24"/>
          <w:highlight w:val="none"/>
          <w:u w:val="single" w:color="auto"/>
        </w:rPr>
        <w:t xml:space="preserve">           元（大写</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2"/>
          <w:sz w:val="24"/>
          <w:szCs w:val="24"/>
          <w:highlight w:val="none"/>
        </w:rPr>
        <w:t>及投标承诺书的承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诺承包本招标文件中所述招标范围内的全部内</w:t>
      </w:r>
      <w:r>
        <w:rPr>
          <w:rFonts w:ascii="新宋体" w:hAnsi="新宋体" w:eastAsia="新宋体" w:cs="新宋体"/>
          <w:color w:val="auto"/>
          <w:spacing w:val="-3"/>
          <w:sz w:val="24"/>
          <w:szCs w:val="24"/>
          <w:highlight w:val="none"/>
        </w:rPr>
        <w:t>容。</w:t>
      </w:r>
    </w:p>
    <w:p w14:paraId="09F28BAD">
      <w:pPr>
        <w:spacing w:before="1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2、合同履行期限：</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z w:val="24"/>
          <w:szCs w:val="24"/>
          <w:highlight w:val="none"/>
          <w:u w:val="single" w:color="auto"/>
        </w:rPr>
        <w:t xml:space="preserve">                           。</w:t>
      </w:r>
    </w:p>
    <w:p w14:paraId="6FFE265A">
      <w:pPr>
        <w:spacing w:before="175"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3、如果我方中标，非招标人原因，我方保证将按招标</w:t>
      </w:r>
      <w:r>
        <w:rPr>
          <w:rFonts w:ascii="新宋体" w:hAnsi="新宋体" w:eastAsia="新宋体" w:cs="新宋体"/>
          <w:color w:val="auto"/>
          <w:spacing w:val="-1"/>
          <w:sz w:val="24"/>
          <w:szCs w:val="24"/>
          <w:highlight w:val="none"/>
        </w:rPr>
        <w:t>文件要求，完成本项目供货 。</w:t>
      </w:r>
    </w:p>
    <w:p w14:paraId="6E71E5BF">
      <w:pPr>
        <w:spacing w:before="178" w:line="291" w:lineRule="auto"/>
        <w:ind w:left="1" w:right="115" w:firstLine="47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4、如果我方中标，我方将按招标文件规定的时间内签订合同。如果违约，我</w:t>
      </w:r>
      <w:r>
        <w:rPr>
          <w:rFonts w:ascii="新宋体" w:hAnsi="新宋体" w:eastAsia="新宋体" w:cs="新宋体"/>
          <w:color w:val="auto"/>
          <w:spacing w:val="-1"/>
          <w:sz w:val="24"/>
          <w:szCs w:val="24"/>
          <w:highlight w:val="none"/>
        </w:rPr>
        <w:t>方愿以投标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保证金作为赔偿金，同时贵方有权终止我方中标并选择其它投标人。</w:t>
      </w:r>
    </w:p>
    <w:p w14:paraId="459A35AF">
      <w:pPr>
        <w:spacing w:before="177" w:line="291" w:lineRule="auto"/>
        <w:ind w:left="2" w:right="101"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5、如果我方中标，完成项目的货物与招标文件要求不一致的，服务达不到要求，我方将</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进行整改直至贵方对服务满意为止。</w:t>
      </w:r>
    </w:p>
    <w:p w14:paraId="3ADF92D9">
      <w:pPr>
        <w:spacing w:before="177" w:line="291" w:lineRule="auto"/>
        <w:ind w:right="119"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6、贵方的招标文件、答疑文件、招标文件补充、成交通知书</w:t>
      </w:r>
      <w:r>
        <w:rPr>
          <w:rFonts w:ascii="新宋体" w:hAnsi="新宋体" w:eastAsia="新宋体" w:cs="新宋体"/>
          <w:color w:val="auto"/>
          <w:spacing w:val="-1"/>
          <w:sz w:val="24"/>
          <w:szCs w:val="24"/>
          <w:highlight w:val="none"/>
        </w:rPr>
        <w:t>和本投标文件将做为合同附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件，具有同等法律效力。</w:t>
      </w:r>
    </w:p>
    <w:p w14:paraId="5F58D7EA">
      <w:pPr>
        <w:spacing w:before="177" w:line="291" w:lineRule="auto"/>
        <w:ind w:right="119" w:firstLine="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7、如果我方未中标，贵方没有必要对我方做出任何解</w:t>
      </w:r>
      <w:r>
        <w:rPr>
          <w:rFonts w:ascii="新宋体" w:hAnsi="新宋体" w:eastAsia="新宋体" w:cs="新宋体"/>
          <w:color w:val="auto"/>
          <w:spacing w:val="-1"/>
          <w:sz w:val="24"/>
          <w:szCs w:val="24"/>
          <w:highlight w:val="none"/>
        </w:rPr>
        <w:t>释和说明，我方将充分尊重和理解</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贵方的选择。</w:t>
      </w:r>
    </w:p>
    <w:p w14:paraId="0C1A346A">
      <w:pPr>
        <w:spacing w:line="241" w:lineRule="auto"/>
        <w:rPr>
          <w:rFonts w:ascii="Arial"/>
          <w:color w:val="auto"/>
          <w:sz w:val="21"/>
          <w:highlight w:val="none"/>
        </w:rPr>
      </w:pPr>
    </w:p>
    <w:p w14:paraId="6814FBA2">
      <w:pPr>
        <w:spacing w:line="241" w:lineRule="auto"/>
        <w:rPr>
          <w:rFonts w:ascii="Arial"/>
          <w:color w:val="auto"/>
          <w:sz w:val="21"/>
          <w:highlight w:val="none"/>
        </w:rPr>
      </w:pPr>
    </w:p>
    <w:p w14:paraId="01F5409D">
      <w:pPr>
        <w:spacing w:line="241" w:lineRule="auto"/>
        <w:rPr>
          <w:rFonts w:ascii="Arial"/>
          <w:color w:val="auto"/>
          <w:sz w:val="21"/>
          <w:highlight w:val="none"/>
        </w:rPr>
      </w:pPr>
    </w:p>
    <w:p w14:paraId="6FEA2386">
      <w:pPr>
        <w:spacing w:line="242" w:lineRule="auto"/>
        <w:rPr>
          <w:rFonts w:ascii="Arial"/>
          <w:color w:val="auto"/>
          <w:sz w:val="21"/>
          <w:highlight w:val="none"/>
        </w:rPr>
      </w:pPr>
    </w:p>
    <w:p w14:paraId="4CFF225D">
      <w:pPr>
        <w:spacing w:line="242" w:lineRule="auto"/>
        <w:rPr>
          <w:rFonts w:ascii="Arial"/>
          <w:color w:val="auto"/>
          <w:sz w:val="21"/>
          <w:highlight w:val="none"/>
        </w:rPr>
      </w:pPr>
    </w:p>
    <w:p w14:paraId="0864D637">
      <w:pPr>
        <w:spacing w:line="242" w:lineRule="auto"/>
        <w:rPr>
          <w:rFonts w:ascii="Arial"/>
          <w:color w:val="auto"/>
          <w:sz w:val="21"/>
          <w:highlight w:val="none"/>
        </w:rPr>
      </w:pPr>
    </w:p>
    <w:p w14:paraId="2C0E5A11">
      <w:pPr>
        <w:spacing w:line="242" w:lineRule="auto"/>
        <w:rPr>
          <w:rFonts w:ascii="Arial"/>
          <w:color w:val="auto"/>
          <w:sz w:val="21"/>
          <w:highlight w:val="none"/>
        </w:rPr>
      </w:pPr>
    </w:p>
    <w:p w14:paraId="1934ED7C">
      <w:pPr>
        <w:spacing w:line="242" w:lineRule="auto"/>
        <w:rPr>
          <w:rFonts w:ascii="Arial"/>
          <w:color w:val="auto"/>
          <w:sz w:val="21"/>
          <w:highlight w:val="none"/>
        </w:rPr>
      </w:pPr>
    </w:p>
    <w:p w14:paraId="42DD3183">
      <w:pPr>
        <w:spacing w:line="242" w:lineRule="auto"/>
        <w:rPr>
          <w:rFonts w:ascii="Arial"/>
          <w:color w:val="auto"/>
          <w:sz w:val="21"/>
          <w:highlight w:val="none"/>
        </w:rPr>
      </w:pPr>
    </w:p>
    <w:p w14:paraId="38273733">
      <w:pPr>
        <w:spacing w:line="242" w:lineRule="auto"/>
        <w:rPr>
          <w:rFonts w:ascii="Arial"/>
          <w:color w:val="auto"/>
          <w:sz w:val="21"/>
          <w:highlight w:val="none"/>
        </w:rPr>
      </w:pPr>
    </w:p>
    <w:p w14:paraId="620E31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0D22251">
      <w:pPr>
        <w:spacing w:before="177" w:line="345" w:lineRule="auto"/>
        <w:ind w:left="50" w:right="216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37B694D6">
      <w:pPr>
        <w:spacing w:line="345" w:lineRule="auto"/>
        <w:rPr>
          <w:rFonts w:ascii="新宋体" w:hAnsi="新宋体" w:eastAsia="新宋体" w:cs="新宋体"/>
          <w:color w:val="auto"/>
          <w:sz w:val="24"/>
          <w:szCs w:val="24"/>
          <w:highlight w:val="none"/>
        </w:rPr>
        <w:sectPr>
          <w:footerReference r:id="rId40" w:type="default"/>
          <w:pgSz w:w="11905" w:h="16839"/>
          <w:pgMar w:top="400" w:right="981" w:bottom="1010" w:left="1098" w:header="0" w:footer="850" w:gutter="0"/>
          <w:pgNumType w:fmt="numberInDash"/>
          <w:cols w:space="720" w:num="1"/>
        </w:sectPr>
      </w:pPr>
    </w:p>
    <w:p w14:paraId="34A8E74C">
      <w:pPr>
        <w:pStyle w:val="8"/>
        <w:spacing w:before="120" w:line="178" w:lineRule="auto"/>
        <w:ind w:left="3961"/>
        <w:rPr>
          <w:color w:val="auto"/>
          <w:sz w:val="28"/>
          <w:szCs w:val="28"/>
          <w:highlight w:val="none"/>
        </w:rPr>
      </w:pPr>
      <w:r>
        <w:rPr>
          <w:b/>
          <w:bCs/>
          <w:color w:val="auto"/>
          <w:spacing w:val="-7"/>
          <w:sz w:val="28"/>
          <w:szCs w:val="28"/>
          <w:highlight w:val="none"/>
        </w:rPr>
        <w:t>2、开标一览表</w:t>
      </w:r>
    </w:p>
    <w:p w14:paraId="55DE3EF8">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项目名称：</w:t>
      </w:r>
    </w:p>
    <w:p w14:paraId="20C596D3">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项目编号：</w:t>
      </w:r>
    </w:p>
    <w:tbl>
      <w:tblPr>
        <w:tblStyle w:val="12"/>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210"/>
        <w:gridCol w:w="7139"/>
        <w:gridCol w:w="1134"/>
      </w:tblGrid>
      <w:tr w14:paraId="112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6CEDBBF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序号</w:t>
            </w:r>
          </w:p>
        </w:tc>
        <w:tc>
          <w:tcPr>
            <w:tcW w:w="1210" w:type="dxa"/>
            <w:noWrap w:val="0"/>
            <w:vAlign w:val="center"/>
          </w:tcPr>
          <w:p w14:paraId="4B732B5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内容</w:t>
            </w:r>
          </w:p>
        </w:tc>
        <w:tc>
          <w:tcPr>
            <w:tcW w:w="7139" w:type="dxa"/>
            <w:noWrap w:val="0"/>
            <w:vAlign w:val="center"/>
          </w:tcPr>
          <w:p w14:paraId="61A75C7B">
            <w:pPr>
              <w:tabs>
                <w:tab w:val="left" w:pos="8364"/>
              </w:tabs>
              <w:snapToGrid w:val="0"/>
              <w:spacing w:line="360" w:lineRule="auto"/>
              <w:ind w:right="-58"/>
              <w:jc w:val="center"/>
              <w:rPr>
                <w:rFonts w:hint="default" w:ascii="宋体" w:hAnsi="宋体" w:eastAsia="宋体" w:cs="等线"/>
                <w:b/>
                <w:color w:val="auto"/>
                <w:szCs w:val="21"/>
                <w:highlight w:val="none"/>
                <w:lang w:val="en-US" w:eastAsia="zh-CN"/>
              </w:rPr>
            </w:pPr>
            <w:r>
              <w:rPr>
                <w:rFonts w:hint="eastAsia" w:ascii="宋体" w:hAnsi="宋体" w:eastAsia="宋体" w:cs="等线"/>
                <w:b/>
                <w:color w:val="auto"/>
                <w:szCs w:val="21"/>
                <w:highlight w:val="none"/>
                <w:lang w:val="en-US" w:eastAsia="zh-CN"/>
              </w:rPr>
              <w:t>报价金额</w:t>
            </w:r>
          </w:p>
          <w:p w14:paraId="53E854D3">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（小写和小写）</w:t>
            </w:r>
          </w:p>
        </w:tc>
        <w:tc>
          <w:tcPr>
            <w:tcW w:w="1134" w:type="dxa"/>
            <w:noWrap w:val="0"/>
            <w:vAlign w:val="center"/>
          </w:tcPr>
          <w:p w14:paraId="330264A9">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币种/单位</w:t>
            </w:r>
          </w:p>
        </w:tc>
      </w:tr>
      <w:tr w14:paraId="0B8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3" w:hRule="atLeast"/>
          <w:jc w:val="center"/>
        </w:trPr>
        <w:tc>
          <w:tcPr>
            <w:tcW w:w="568" w:type="dxa"/>
            <w:noWrap w:val="0"/>
            <w:vAlign w:val="center"/>
          </w:tcPr>
          <w:p w14:paraId="53C5EBD0">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1</w:t>
            </w:r>
          </w:p>
        </w:tc>
        <w:tc>
          <w:tcPr>
            <w:tcW w:w="1210" w:type="dxa"/>
            <w:noWrap w:val="0"/>
            <w:vAlign w:val="center"/>
          </w:tcPr>
          <w:p w14:paraId="6B89EEDF">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投标价</w:t>
            </w:r>
          </w:p>
        </w:tc>
        <w:tc>
          <w:tcPr>
            <w:tcW w:w="7139" w:type="dxa"/>
            <w:noWrap w:val="0"/>
            <w:vAlign w:val="center"/>
          </w:tcPr>
          <w:p w14:paraId="3C39154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 xml:space="preserve">小写：￥               </w:t>
            </w:r>
          </w:p>
          <w:p w14:paraId="038D05A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大写：                 元</w:t>
            </w:r>
          </w:p>
          <w:p w14:paraId="3A6B867D">
            <w:pPr>
              <w:rPr>
                <w:rFonts w:ascii="宋体" w:hAnsi="宋体"/>
                <w:color w:val="auto"/>
                <w:highlight w:val="none"/>
              </w:rPr>
            </w:pPr>
            <w:bookmarkStart w:id="18" w:name="_Toc28837"/>
            <w:bookmarkStart w:id="19" w:name="_Toc14346"/>
            <w:bookmarkStart w:id="20" w:name="_Toc29835"/>
            <w:bookmarkStart w:id="21" w:name="_Toc20049"/>
            <w:r>
              <w:rPr>
                <w:rFonts w:hint="eastAsia" w:ascii="宋体" w:hAnsi="宋体"/>
                <w:b/>
                <w:bCs/>
                <w:color w:val="auto"/>
                <w:highlight w:val="none"/>
              </w:rPr>
              <w:t>（请核对大小写是否一致）</w:t>
            </w:r>
            <w:bookmarkEnd w:id="18"/>
            <w:bookmarkEnd w:id="19"/>
            <w:bookmarkEnd w:id="20"/>
            <w:bookmarkEnd w:id="21"/>
          </w:p>
        </w:tc>
        <w:tc>
          <w:tcPr>
            <w:tcW w:w="1134" w:type="dxa"/>
            <w:noWrap w:val="0"/>
            <w:vAlign w:val="center"/>
          </w:tcPr>
          <w:p w14:paraId="6329612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人民币/元</w:t>
            </w:r>
          </w:p>
        </w:tc>
      </w:tr>
      <w:tr w14:paraId="0708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FD6518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2</w:t>
            </w:r>
          </w:p>
        </w:tc>
        <w:tc>
          <w:tcPr>
            <w:tcW w:w="1210" w:type="dxa"/>
            <w:noWrap w:val="0"/>
            <w:vAlign w:val="center"/>
          </w:tcPr>
          <w:p w14:paraId="4AD9CC86">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各种税费</w:t>
            </w:r>
          </w:p>
        </w:tc>
        <w:tc>
          <w:tcPr>
            <w:tcW w:w="8273" w:type="dxa"/>
            <w:gridSpan w:val="2"/>
            <w:noWrap w:val="0"/>
            <w:vAlign w:val="center"/>
          </w:tcPr>
          <w:p w14:paraId="2B959237">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4939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8AEAB3D">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3</w:t>
            </w:r>
          </w:p>
        </w:tc>
        <w:tc>
          <w:tcPr>
            <w:tcW w:w="1210" w:type="dxa"/>
            <w:noWrap w:val="0"/>
            <w:vAlign w:val="center"/>
          </w:tcPr>
          <w:p w14:paraId="22C6A7B2">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运输费</w:t>
            </w:r>
          </w:p>
        </w:tc>
        <w:tc>
          <w:tcPr>
            <w:tcW w:w="8273" w:type="dxa"/>
            <w:gridSpan w:val="2"/>
            <w:noWrap w:val="0"/>
            <w:vAlign w:val="center"/>
          </w:tcPr>
          <w:p w14:paraId="61644FF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2C5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7AB0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4</w:t>
            </w:r>
          </w:p>
        </w:tc>
        <w:tc>
          <w:tcPr>
            <w:tcW w:w="1210" w:type="dxa"/>
            <w:noWrap w:val="0"/>
            <w:vAlign w:val="center"/>
          </w:tcPr>
          <w:p w14:paraId="03347FA4">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其他费用</w:t>
            </w:r>
          </w:p>
        </w:tc>
        <w:tc>
          <w:tcPr>
            <w:tcW w:w="8273" w:type="dxa"/>
            <w:gridSpan w:val="2"/>
            <w:noWrap w:val="0"/>
            <w:vAlign w:val="center"/>
          </w:tcPr>
          <w:p w14:paraId="22D34765">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0A33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4EC350B8">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5</w:t>
            </w:r>
          </w:p>
        </w:tc>
        <w:tc>
          <w:tcPr>
            <w:tcW w:w="1210" w:type="dxa"/>
            <w:noWrap w:val="0"/>
            <w:vAlign w:val="center"/>
          </w:tcPr>
          <w:p w14:paraId="70ABC2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供货期</w:t>
            </w:r>
          </w:p>
        </w:tc>
        <w:tc>
          <w:tcPr>
            <w:tcW w:w="8273" w:type="dxa"/>
            <w:gridSpan w:val="2"/>
            <w:noWrap w:val="0"/>
            <w:vAlign w:val="center"/>
          </w:tcPr>
          <w:p w14:paraId="06444DD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479E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1132DA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6</w:t>
            </w:r>
          </w:p>
        </w:tc>
        <w:tc>
          <w:tcPr>
            <w:tcW w:w="1210" w:type="dxa"/>
            <w:noWrap w:val="0"/>
            <w:vAlign w:val="center"/>
          </w:tcPr>
          <w:p w14:paraId="26BE31B2">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交货期</w:t>
            </w:r>
          </w:p>
        </w:tc>
        <w:tc>
          <w:tcPr>
            <w:tcW w:w="8273" w:type="dxa"/>
            <w:gridSpan w:val="2"/>
            <w:noWrap w:val="0"/>
            <w:vAlign w:val="center"/>
          </w:tcPr>
          <w:p w14:paraId="64F0AEA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3B0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6E63E77">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7</w:t>
            </w:r>
          </w:p>
        </w:tc>
        <w:tc>
          <w:tcPr>
            <w:tcW w:w="1210" w:type="dxa"/>
            <w:noWrap w:val="0"/>
            <w:vAlign w:val="center"/>
          </w:tcPr>
          <w:p w14:paraId="237EC273">
            <w:pPr>
              <w:tabs>
                <w:tab w:val="left" w:pos="8364"/>
              </w:tabs>
              <w:snapToGrid w:val="0"/>
              <w:spacing w:line="360" w:lineRule="auto"/>
              <w:ind w:right="-58"/>
              <w:jc w:val="center"/>
              <w:rPr>
                <w:rFonts w:hint="eastAsia" w:ascii="宋体" w:hAnsi="宋体" w:eastAsia="宋体" w:cs="等线"/>
                <w:b/>
                <w:color w:val="auto"/>
                <w:szCs w:val="21"/>
                <w:highlight w:val="none"/>
                <w:lang w:eastAsia="zh-CN"/>
              </w:rPr>
            </w:pPr>
            <w:r>
              <w:rPr>
                <w:rFonts w:hint="eastAsia" w:ascii="宋体" w:hAnsi="宋体" w:eastAsia="宋体" w:cs="等线"/>
                <w:b/>
                <w:color w:val="auto"/>
                <w:szCs w:val="21"/>
                <w:highlight w:val="none"/>
                <w:lang w:val="en-US" w:eastAsia="zh-CN"/>
              </w:rPr>
              <w:t>保修期</w:t>
            </w:r>
          </w:p>
        </w:tc>
        <w:tc>
          <w:tcPr>
            <w:tcW w:w="8273" w:type="dxa"/>
            <w:gridSpan w:val="2"/>
            <w:noWrap w:val="0"/>
            <w:vAlign w:val="center"/>
          </w:tcPr>
          <w:p w14:paraId="0F0911FC">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29E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4BFBF1B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8</w:t>
            </w:r>
          </w:p>
        </w:tc>
        <w:tc>
          <w:tcPr>
            <w:tcW w:w="1210" w:type="dxa"/>
            <w:noWrap w:val="0"/>
            <w:vAlign w:val="center"/>
          </w:tcPr>
          <w:p w14:paraId="41082C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投标保证金</w:t>
            </w:r>
          </w:p>
        </w:tc>
        <w:tc>
          <w:tcPr>
            <w:tcW w:w="8273" w:type="dxa"/>
            <w:gridSpan w:val="2"/>
            <w:noWrap w:val="0"/>
            <w:vAlign w:val="center"/>
          </w:tcPr>
          <w:p w14:paraId="0D56B2C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详见《保证金缴纳凭证》</w:t>
            </w:r>
          </w:p>
        </w:tc>
      </w:tr>
      <w:tr w14:paraId="7DA6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F4C72D7">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9</w:t>
            </w:r>
          </w:p>
        </w:tc>
        <w:tc>
          <w:tcPr>
            <w:tcW w:w="1210" w:type="dxa"/>
            <w:noWrap w:val="0"/>
            <w:vAlign w:val="center"/>
          </w:tcPr>
          <w:p w14:paraId="7E8FB36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投标有效期</w:t>
            </w:r>
          </w:p>
        </w:tc>
        <w:tc>
          <w:tcPr>
            <w:tcW w:w="8273" w:type="dxa"/>
            <w:gridSpan w:val="2"/>
            <w:noWrap w:val="0"/>
            <w:vAlign w:val="center"/>
          </w:tcPr>
          <w:p w14:paraId="3CEE7B6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自提交投标文件截止之日起90日</w:t>
            </w:r>
          </w:p>
        </w:tc>
      </w:tr>
      <w:tr w14:paraId="16E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BB1ADD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10</w:t>
            </w:r>
          </w:p>
        </w:tc>
        <w:tc>
          <w:tcPr>
            <w:tcW w:w="1210" w:type="dxa"/>
            <w:noWrap w:val="0"/>
            <w:vAlign w:val="center"/>
          </w:tcPr>
          <w:p w14:paraId="255B76C7">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备注</w:t>
            </w:r>
          </w:p>
        </w:tc>
        <w:tc>
          <w:tcPr>
            <w:tcW w:w="8273" w:type="dxa"/>
            <w:gridSpan w:val="2"/>
            <w:noWrap w:val="0"/>
            <w:vAlign w:val="center"/>
          </w:tcPr>
          <w:p w14:paraId="4E2C1CC2">
            <w:pPr>
              <w:tabs>
                <w:tab w:val="left" w:pos="8364"/>
              </w:tabs>
              <w:snapToGrid w:val="0"/>
              <w:spacing w:line="360" w:lineRule="auto"/>
              <w:ind w:right="-58"/>
              <w:jc w:val="center"/>
              <w:rPr>
                <w:rFonts w:ascii="宋体" w:hAnsi="宋体" w:cs="等线"/>
                <w:color w:val="auto"/>
                <w:szCs w:val="21"/>
                <w:highlight w:val="none"/>
              </w:rPr>
            </w:pPr>
          </w:p>
        </w:tc>
      </w:tr>
    </w:tbl>
    <w:p w14:paraId="443C648E">
      <w:pPr>
        <w:widowControl w:val="0"/>
        <w:spacing w:line="360" w:lineRule="auto"/>
        <w:jc w:val="both"/>
        <w:rPr>
          <w:rFonts w:ascii="宋体" w:hAnsi="宋体" w:cs="等线"/>
          <w:color w:val="auto"/>
          <w:szCs w:val="21"/>
          <w:highlight w:val="none"/>
        </w:rPr>
      </w:pPr>
    </w:p>
    <w:p w14:paraId="32256C91">
      <w:pPr>
        <w:widowControl w:val="0"/>
        <w:jc w:val="both"/>
        <w:rPr>
          <w:rFonts w:ascii="宋体" w:hAnsi="宋体" w:cs="等线"/>
          <w:color w:val="auto"/>
          <w:szCs w:val="21"/>
          <w:highlight w:val="none"/>
        </w:rPr>
      </w:pPr>
      <w:r>
        <w:rPr>
          <w:rFonts w:hint="eastAsia" w:ascii="宋体" w:hAnsi="宋体" w:cs="等线"/>
          <w:color w:val="auto"/>
          <w:szCs w:val="21"/>
          <w:highlight w:val="none"/>
        </w:rPr>
        <w:t>注：1.投标人须按要求填写所有信息，不得随意更改本表格式。</w:t>
      </w:r>
    </w:p>
    <w:p w14:paraId="1F733B67">
      <w:pPr>
        <w:widowControl w:val="0"/>
        <w:ind w:firstLine="420" w:firstLineChars="200"/>
        <w:jc w:val="both"/>
        <w:rPr>
          <w:rFonts w:ascii="宋体" w:hAnsi="宋体" w:cs="等线"/>
          <w:color w:val="auto"/>
          <w:szCs w:val="21"/>
          <w:highlight w:val="none"/>
        </w:rPr>
      </w:pPr>
      <w:r>
        <w:rPr>
          <w:rFonts w:hint="eastAsia" w:ascii="宋体" w:hAnsi="宋体" w:cs="等线"/>
          <w:color w:val="auto"/>
          <w:szCs w:val="21"/>
          <w:highlight w:val="none"/>
        </w:rPr>
        <w:t>2、</w:t>
      </w:r>
      <w:r>
        <w:rPr>
          <w:rFonts w:hint="eastAsia" w:ascii="宋体" w:hAnsi="宋体"/>
          <w:color w:val="auto"/>
          <w:highlight w:val="none"/>
        </w:rPr>
        <w:t>投标人报价应为货到采购人用户指定地点含税全包价，金额包含但不限于</w:t>
      </w:r>
      <w:r>
        <w:rPr>
          <w:rFonts w:hint="eastAsia" w:ascii="宋体" w:hAnsi="宋体"/>
          <w:color w:val="auto"/>
          <w:highlight w:val="none"/>
          <w:lang w:val="zh-TW"/>
        </w:rPr>
        <w:t>税费、运输费、各种线材辅材配件、保险费及所配套的土建、吊装就位，培训、安装、调试等所有相关费用，最终达到甲方使用要求</w:t>
      </w:r>
      <w:r>
        <w:rPr>
          <w:rFonts w:hint="eastAsia" w:ascii="宋体" w:hAnsi="宋体"/>
          <w:color w:val="auto"/>
          <w:highlight w:val="none"/>
        </w:rPr>
        <w:t>。</w:t>
      </w:r>
    </w:p>
    <w:p w14:paraId="550366A5">
      <w:pPr>
        <w:widowControl w:val="0"/>
        <w:ind w:firstLine="420" w:firstLineChars="200"/>
        <w:jc w:val="both"/>
        <w:rPr>
          <w:rFonts w:ascii="宋体" w:hAnsi="宋体" w:cs="等线"/>
          <w:color w:val="auto"/>
          <w:szCs w:val="21"/>
          <w:highlight w:val="none"/>
        </w:rPr>
      </w:pPr>
      <w:r>
        <w:rPr>
          <w:rFonts w:ascii="宋体" w:hAnsi="宋体" w:cs="等线"/>
          <w:color w:val="auto"/>
          <w:szCs w:val="21"/>
          <w:highlight w:val="none"/>
        </w:rPr>
        <w:t>3</w:t>
      </w:r>
      <w:r>
        <w:rPr>
          <w:rFonts w:hint="eastAsia" w:ascii="宋体" w:hAnsi="宋体" w:cs="等线"/>
          <w:color w:val="auto"/>
          <w:szCs w:val="21"/>
          <w:highlight w:val="none"/>
        </w:rPr>
        <w:t>.报价四舍五入，精确到小数点后两位。</w:t>
      </w:r>
    </w:p>
    <w:p w14:paraId="1F60E4D1">
      <w:pPr>
        <w:widowControl w:val="0"/>
        <w:ind w:firstLine="420" w:firstLineChars="200"/>
        <w:jc w:val="both"/>
        <w:rPr>
          <w:rFonts w:ascii="宋体" w:hAnsi="宋体" w:cs="等线"/>
          <w:color w:val="auto"/>
          <w:szCs w:val="21"/>
          <w:highlight w:val="none"/>
        </w:rPr>
      </w:pPr>
    </w:p>
    <w:p w14:paraId="4671A565">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投标人法定代表人（或法定代表人授权代表）签字（或签章）：</w:t>
      </w:r>
    </w:p>
    <w:p w14:paraId="2CA437AE">
      <w:pPr>
        <w:widowControl w:val="0"/>
        <w:adjustRightInd w:val="0"/>
        <w:snapToGrid w:val="0"/>
        <w:jc w:val="both"/>
        <w:rPr>
          <w:rFonts w:ascii="宋体" w:hAnsi="宋体" w:cs="等线"/>
          <w:color w:val="auto"/>
          <w:szCs w:val="21"/>
          <w:highlight w:val="none"/>
          <w:u w:val="single"/>
        </w:rPr>
      </w:pPr>
      <w:r>
        <w:rPr>
          <w:rFonts w:hint="eastAsia" w:ascii="宋体" w:hAnsi="宋体" w:cs="等线"/>
          <w:color w:val="auto"/>
          <w:szCs w:val="21"/>
          <w:highlight w:val="none"/>
        </w:rPr>
        <w:t>投标人名称（加盖公章）：</w:t>
      </w:r>
    </w:p>
    <w:p w14:paraId="347F03FB">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 xml:space="preserve">日期： </w:t>
      </w:r>
      <w:r>
        <w:rPr>
          <w:rFonts w:ascii="宋体" w:hAnsi="宋体" w:cs="等线"/>
          <w:color w:val="auto"/>
          <w:szCs w:val="21"/>
          <w:highlight w:val="none"/>
        </w:rPr>
        <w:t xml:space="preserve">  </w:t>
      </w:r>
      <w:r>
        <w:rPr>
          <w:rFonts w:hint="eastAsia" w:ascii="宋体" w:hAnsi="宋体" w:cs="等线"/>
          <w:color w:val="auto"/>
          <w:szCs w:val="21"/>
          <w:highlight w:val="none"/>
        </w:rPr>
        <w:t xml:space="preserve">年 </w:t>
      </w:r>
      <w:r>
        <w:rPr>
          <w:rFonts w:ascii="宋体" w:hAnsi="宋体" w:cs="等线"/>
          <w:color w:val="auto"/>
          <w:szCs w:val="21"/>
          <w:highlight w:val="none"/>
        </w:rPr>
        <w:t xml:space="preserve">  </w:t>
      </w:r>
      <w:r>
        <w:rPr>
          <w:rFonts w:hint="eastAsia" w:ascii="宋体" w:hAnsi="宋体" w:cs="等线"/>
          <w:color w:val="auto"/>
          <w:szCs w:val="21"/>
          <w:highlight w:val="none"/>
        </w:rPr>
        <w:t xml:space="preserve">月 </w:t>
      </w:r>
      <w:r>
        <w:rPr>
          <w:rFonts w:ascii="宋体" w:hAnsi="宋体" w:cs="等线"/>
          <w:color w:val="auto"/>
          <w:szCs w:val="21"/>
          <w:highlight w:val="none"/>
        </w:rPr>
        <w:t xml:space="preserve">  </w:t>
      </w:r>
      <w:r>
        <w:rPr>
          <w:rFonts w:hint="eastAsia" w:ascii="宋体" w:hAnsi="宋体" w:cs="等线"/>
          <w:color w:val="auto"/>
          <w:szCs w:val="21"/>
          <w:highlight w:val="none"/>
        </w:rPr>
        <w:t>日</w:t>
      </w:r>
    </w:p>
    <w:p w14:paraId="6E138989">
      <w:pPr>
        <w:jc w:val="center"/>
        <w:rPr>
          <w:rFonts w:ascii="宋体" w:hAnsi="宋体" w:cs="等线"/>
          <w:color w:val="auto"/>
          <w:highlight w:val="none"/>
        </w:rPr>
        <w:sectPr>
          <w:footerReference r:id="rId41" w:type="default"/>
          <w:pgSz w:w="11906" w:h="16838"/>
          <w:pgMar w:top="1418" w:right="1134" w:bottom="1418" w:left="1134" w:header="426" w:footer="992" w:gutter="0"/>
          <w:pgNumType w:fmt="numberInDash"/>
          <w:cols w:space="720" w:num="1"/>
          <w:docGrid w:type="linesAndChars" w:linePitch="312" w:charSpace="0"/>
        </w:sectPr>
      </w:pPr>
    </w:p>
    <w:p w14:paraId="50004D6A">
      <w:pPr>
        <w:pStyle w:val="8"/>
        <w:spacing w:before="120" w:line="187" w:lineRule="auto"/>
        <w:jc w:val="center"/>
        <w:rPr>
          <w:b/>
          <w:bCs/>
          <w:color w:val="auto"/>
          <w:spacing w:val="-6"/>
          <w:sz w:val="28"/>
          <w:szCs w:val="28"/>
          <w:highlight w:val="none"/>
        </w:rPr>
      </w:pPr>
    </w:p>
    <w:p w14:paraId="58969AD7">
      <w:pPr>
        <w:pStyle w:val="8"/>
        <w:spacing w:before="120" w:line="187" w:lineRule="auto"/>
        <w:jc w:val="center"/>
        <w:rPr>
          <w:color w:val="auto"/>
          <w:sz w:val="28"/>
          <w:szCs w:val="28"/>
          <w:highlight w:val="none"/>
        </w:rPr>
      </w:pPr>
      <w:r>
        <w:rPr>
          <w:b/>
          <w:bCs/>
          <w:color w:val="auto"/>
          <w:spacing w:val="-6"/>
          <w:sz w:val="28"/>
          <w:szCs w:val="28"/>
          <w:highlight w:val="none"/>
        </w:rPr>
        <w:t>3、</w:t>
      </w:r>
      <w:r>
        <w:rPr>
          <w:rFonts w:ascii="Times New Roman" w:hAnsi="Times New Roman" w:eastAsia="宋体" w:cs="Times New Roman"/>
          <w:b/>
          <w:color w:val="auto"/>
          <w:kern w:val="2"/>
          <w:sz w:val="28"/>
          <w:szCs w:val="20"/>
          <w:highlight w:val="none"/>
          <w:lang w:val="en-US" w:eastAsia="zh-CN" w:bidi="ar-SA"/>
        </w:rPr>
        <w:t>投标明细报价表</w:t>
      </w:r>
    </w:p>
    <w:p w14:paraId="43D470A1">
      <w:pPr>
        <w:kinsoku/>
        <w:autoSpaceDE/>
        <w:autoSpaceDN/>
        <w:adjustRightInd/>
        <w:snapToGrid/>
        <w:spacing w:line="240" w:lineRule="auto"/>
        <w:jc w:val="both"/>
        <w:textAlignment w:val="auto"/>
        <w:rPr>
          <w:rFonts w:hint="eastAsia"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项目名称：</w:t>
      </w:r>
    </w:p>
    <w:p w14:paraId="59A48D62">
      <w:pPr>
        <w:kinsoku/>
        <w:autoSpaceDE/>
        <w:autoSpaceDN/>
        <w:adjustRightInd/>
        <w:snapToGrid/>
        <w:spacing w:line="240" w:lineRule="auto"/>
        <w:jc w:val="both"/>
        <w:textAlignment w:val="auto"/>
        <w:rPr>
          <w:rFonts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项目编号：</w:t>
      </w:r>
    </w:p>
    <w:tbl>
      <w:tblPr>
        <w:tblStyle w:val="12"/>
        <w:tblW w:w="1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460"/>
        <w:gridCol w:w="1080"/>
        <w:gridCol w:w="1419"/>
        <w:gridCol w:w="1581"/>
        <w:gridCol w:w="2160"/>
        <w:gridCol w:w="1080"/>
        <w:gridCol w:w="2040"/>
        <w:gridCol w:w="1503"/>
        <w:gridCol w:w="777"/>
      </w:tblGrid>
      <w:tr w14:paraId="1966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14:paraId="345C3B62">
            <w:pPr>
              <w:kinsoku/>
              <w:autoSpaceDE/>
              <w:autoSpaceDN/>
              <w:adjustRightInd/>
              <w:snapToGrid/>
              <w:spacing w:line="360" w:lineRule="auto"/>
              <w:jc w:val="center"/>
              <w:textAlignment w:val="auto"/>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440" w:type="dxa"/>
            <w:noWrap w:val="0"/>
            <w:vAlign w:val="center"/>
          </w:tcPr>
          <w:p w14:paraId="0054EA1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产品名称</w:t>
            </w:r>
          </w:p>
        </w:tc>
        <w:tc>
          <w:tcPr>
            <w:tcW w:w="1460" w:type="dxa"/>
            <w:noWrap w:val="0"/>
            <w:vAlign w:val="center"/>
          </w:tcPr>
          <w:p w14:paraId="4ECFE74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品牌</w:t>
            </w:r>
          </w:p>
        </w:tc>
        <w:tc>
          <w:tcPr>
            <w:tcW w:w="1080" w:type="dxa"/>
            <w:noWrap w:val="0"/>
            <w:vAlign w:val="center"/>
          </w:tcPr>
          <w:p w14:paraId="6F830BE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规格型号</w:t>
            </w:r>
          </w:p>
        </w:tc>
        <w:tc>
          <w:tcPr>
            <w:tcW w:w="1419" w:type="dxa"/>
            <w:noWrap w:val="0"/>
            <w:vAlign w:val="center"/>
          </w:tcPr>
          <w:p w14:paraId="608A0F2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生产厂家或产地</w:t>
            </w:r>
          </w:p>
        </w:tc>
        <w:tc>
          <w:tcPr>
            <w:tcW w:w="1581" w:type="dxa"/>
            <w:noWrap w:val="0"/>
            <w:vAlign w:val="center"/>
          </w:tcPr>
          <w:p w14:paraId="36E90D7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产品注册证名称</w:t>
            </w:r>
          </w:p>
        </w:tc>
        <w:tc>
          <w:tcPr>
            <w:tcW w:w="2160" w:type="dxa"/>
            <w:noWrap w:val="0"/>
            <w:vAlign w:val="center"/>
          </w:tcPr>
          <w:p w14:paraId="4D47838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产品注册证号</w:t>
            </w:r>
          </w:p>
        </w:tc>
        <w:tc>
          <w:tcPr>
            <w:tcW w:w="1080" w:type="dxa"/>
            <w:noWrap w:val="0"/>
            <w:vAlign w:val="center"/>
          </w:tcPr>
          <w:p w14:paraId="21178C0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w:t>
            </w:r>
          </w:p>
        </w:tc>
        <w:tc>
          <w:tcPr>
            <w:tcW w:w="2040" w:type="dxa"/>
            <w:noWrap w:val="0"/>
            <w:vAlign w:val="center"/>
          </w:tcPr>
          <w:p w14:paraId="28B64E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含税单价（元）</w:t>
            </w:r>
          </w:p>
        </w:tc>
        <w:tc>
          <w:tcPr>
            <w:tcW w:w="1503" w:type="dxa"/>
            <w:noWrap w:val="0"/>
            <w:vAlign w:val="center"/>
          </w:tcPr>
          <w:p w14:paraId="62AAABF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包装价（元）</w:t>
            </w:r>
          </w:p>
        </w:tc>
        <w:tc>
          <w:tcPr>
            <w:tcW w:w="777" w:type="dxa"/>
            <w:noWrap w:val="0"/>
            <w:vAlign w:val="center"/>
          </w:tcPr>
          <w:p w14:paraId="0F76606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14:paraId="25E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973EEB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440" w:type="dxa"/>
            <w:noWrap w:val="0"/>
            <w:vAlign w:val="center"/>
          </w:tcPr>
          <w:p w14:paraId="706AD43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36CB786">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F6B3BB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165FDA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94A6C6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37748C3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ED84E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AF79A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6A3D250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308EFC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730D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5482DD6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440" w:type="dxa"/>
            <w:noWrap w:val="0"/>
            <w:vAlign w:val="center"/>
          </w:tcPr>
          <w:p w14:paraId="54A522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1903B10">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01FFBA2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59B6B4E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15B44DF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17D56E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4F7CFA9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57252B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422A7E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9423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F8E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2603FE1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440" w:type="dxa"/>
            <w:noWrap w:val="0"/>
            <w:vAlign w:val="center"/>
          </w:tcPr>
          <w:p w14:paraId="2C7BAD0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17FA99F8">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2E2FF7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6B8943C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71A2D5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189FC34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2397905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562DA8A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2D30682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1EA80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261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0E12EFF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440" w:type="dxa"/>
            <w:noWrap w:val="0"/>
            <w:vAlign w:val="center"/>
          </w:tcPr>
          <w:p w14:paraId="351AF46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0FA1B401">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7FA5F3F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718A37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558348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5780AD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6168E1D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C0610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118B9A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77036D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A6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E8AB21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440" w:type="dxa"/>
            <w:noWrap w:val="0"/>
            <w:vAlign w:val="center"/>
          </w:tcPr>
          <w:p w14:paraId="4B94318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71D1E23A">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3697DB0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2B29D8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39361BE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09C6B9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95F1D9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4CF3C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3F036B8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2C7F52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45CB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20" w:type="dxa"/>
            <w:gridSpan w:val="2"/>
            <w:noWrap w:val="0"/>
            <w:vAlign w:val="center"/>
          </w:tcPr>
          <w:p w14:paraId="253675ED">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合计：人民币（大写）</w:t>
            </w:r>
          </w:p>
        </w:tc>
        <w:tc>
          <w:tcPr>
            <w:tcW w:w="7700" w:type="dxa"/>
            <w:gridSpan w:val="5"/>
            <w:noWrap w:val="0"/>
            <w:vAlign w:val="center"/>
          </w:tcPr>
          <w:p w14:paraId="378B691C">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c>
          <w:tcPr>
            <w:tcW w:w="1080" w:type="dxa"/>
            <w:noWrap w:val="0"/>
            <w:vAlign w:val="center"/>
          </w:tcPr>
          <w:p w14:paraId="2717CEB8">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小写：￥</w:t>
            </w:r>
          </w:p>
        </w:tc>
        <w:tc>
          <w:tcPr>
            <w:tcW w:w="4320" w:type="dxa"/>
            <w:gridSpan w:val="3"/>
            <w:noWrap w:val="0"/>
            <w:vAlign w:val="center"/>
          </w:tcPr>
          <w:p w14:paraId="06696AA7">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r>
      <w:tr w14:paraId="0921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20" w:type="dxa"/>
            <w:gridSpan w:val="11"/>
            <w:noWrap w:val="0"/>
            <w:vAlign w:val="center"/>
          </w:tcPr>
          <w:p w14:paraId="5AE36C0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说明：包括全部设备价、税费、包装费、运输、调试（简单安装）必不可少的部件等费用，以及已支付或将支付的营业税和其它税费等所有费用</w:t>
            </w:r>
          </w:p>
        </w:tc>
      </w:tr>
    </w:tbl>
    <w:p w14:paraId="1C80B53B">
      <w:pPr>
        <w:widowControl w:val="0"/>
        <w:kinsoku/>
        <w:autoSpaceDE/>
        <w:autoSpaceDN/>
        <w:adjustRightInd/>
        <w:snapToGrid/>
        <w:spacing w:line="240" w:lineRule="auto"/>
        <w:jc w:val="both"/>
        <w:textAlignment w:val="auto"/>
        <w:rPr>
          <w:rFonts w:hint="default" w:ascii="宋体" w:hAnsi="宋体" w:eastAsia="宋体" w:cs="Times New Roman"/>
          <w:snapToGrid/>
          <w:color w:val="auto"/>
          <w:kern w:val="2"/>
          <w:szCs w:val="24"/>
          <w:highlight w:val="none"/>
          <w:lang w:val="en-US" w:eastAsia="zh-CN"/>
        </w:rPr>
      </w:pPr>
      <w:r>
        <w:rPr>
          <w:rFonts w:hint="eastAsia" w:ascii="宋体" w:hAnsi="宋体" w:eastAsia="宋体" w:cs="等线"/>
          <w:snapToGrid/>
          <w:color w:val="auto"/>
          <w:kern w:val="2"/>
          <w:szCs w:val="24"/>
          <w:highlight w:val="none"/>
          <w:lang w:eastAsia="zh-CN"/>
        </w:rPr>
        <w:t>注：</w:t>
      </w:r>
      <w:r>
        <w:rPr>
          <w:rFonts w:hint="eastAsia" w:ascii="宋体" w:hAnsi="宋体" w:eastAsia="宋体" w:cs="等线"/>
          <w:snapToGrid/>
          <w:color w:val="auto"/>
          <w:kern w:val="2"/>
          <w:szCs w:val="24"/>
          <w:highlight w:val="none"/>
          <w:lang w:val="en-US" w:eastAsia="zh-CN"/>
        </w:rPr>
        <w:t>1、</w:t>
      </w:r>
      <w:r>
        <w:rPr>
          <w:rFonts w:hint="eastAsia" w:ascii="宋体" w:hAnsi="宋体" w:eastAsia="宋体" w:cs="Times New Roman"/>
          <w:snapToGrid/>
          <w:color w:val="auto"/>
          <w:kern w:val="2"/>
          <w:szCs w:val="24"/>
          <w:highlight w:val="none"/>
          <w:lang w:eastAsia="zh-CN"/>
        </w:rPr>
        <w:t>投标人报价应为货到采购人用户指定地点含税全包价，金额包含但不限于</w:t>
      </w:r>
      <w:r>
        <w:rPr>
          <w:rFonts w:hint="eastAsia" w:ascii="宋体" w:hAnsi="宋体" w:eastAsia="宋体" w:cs="Times New Roman"/>
          <w:snapToGrid/>
          <w:color w:val="auto"/>
          <w:kern w:val="2"/>
          <w:szCs w:val="24"/>
          <w:highlight w:val="none"/>
          <w:lang w:val="zh-TW" w:eastAsia="zh-CN"/>
        </w:rPr>
        <w:t>税费、运输费、各种线材辅材配件、保险费及培训、安装、调试等所有相关费用，最终达到甲方使用要求</w:t>
      </w:r>
      <w:r>
        <w:rPr>
          <w:rFonts w:hint="eastAsia" w:ascii="宋体" w:hAnsi="宋体" w:eastAsia="宋体" w:cs="Times New Roman"/>
          <w:snapToGrid/>
          <w:color w:val="auto"/>
          <w:kern w:val="2"/>
          <w:szCs w:val="24"/>
          <w:highlight w:val="none"/>
          <w:lang w:val="en-US" w:eastAsia="zh-CN"/>
        </w:rPr>
        <w:t>。</w:t>
      </w:r>
    </w:p>
    <w:p w14:paraId="26B79D50">
      <w:pPr>
        <w:widowControl w:val="0"/>
        <w:kinsoku/>
        <w:autoSpaceDE/>
        <w:autoSpaceDN/>
        <w:adjustRightInd/>
        <w:snapToGrid/>
        <w:spacing w:line="240" w:lineRule="auto"/>
        <w:jc w:val="both"/>
        <w:textAlignment w:val="auto"/>
        <w:rPr>
          <w:rFonts w:hint="eastAsia" w:ascii="Calibri" w:hAnsi="Calibri" w:eastAsia="宋体" w:cs="Times New Roman"/>
          <w:snapToGrid/>
          <w:color w:val="auto"/>
          <w:kern w:val="2"/>
          <w:szCs w:val="22"/>
          <w:highlight w:val="none"/>
          <w:lang w:eastAsia="zh-CN"/>
        </w:rPr>
      </w:pPr>
    </w:p>
    <w:p w14:paraId="6E17A854">
      <w:pPr>
        <w:widowControl w:val="0"/>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lang w:eastAsia="zh-CN"/>
        </w:rPr>
      </w:pPr>
      <w:r>
        <w:rPr>
          <w:rFonts w:hint="eastAsia" w:ascii="宋体" w:hAnsi="宋体" w:eastAsia="宋体" w:cs="等线"/>
          <w:snapToGrid/>
          <w:color w:val="auto"/>
          <w:kern w:val="2"/>
          <w:szCs w:val="21"/>
          <w:highlight w:val="none"/>
          <w:lang w:eastAsia="zh-CN"/>
        </w:rPr>
        <w:t>投标人法定代表人（或法定代表人授权代表）签字（或签章）：</w:t>
      </w:r>
    </w:p>
    <w:p w14:paraId="22E5DC95">
      <w:pPr>
        <w:widowControl w:val="0"/>
        <w:tabs>
          <w:tab w:val="left" w:pos="4410"/>
        </w:tabs>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u w:val="single"/>
          <w:lang w:eastAsia="zh-CN"/>
        </w:rPr>
      </w:pPr>
      <w:r>
        <w:rPr>
          <w:rFonts w:hint="eastAsia" w:ascii="宋体" w:hAnsi="宋体" w:eastAsia="宋体" w:cs="等线"/>
          <w:snapToGrid/>
          <w:color w:val="auto"/>
          <w:kern w:val="2"/>
          <w:szCs w:val="21"/>
          <w:highlight w:val="none"/>
          <w:lang w:eastAsia="zh-CN"/>
        </w:rPr>
        <w:t>投标人名称（加盖公章）：</w:t>
      </w:r>
      <w:r>
        <w:rPr>
          <w:rFonts w:ascii="宋体" w:hAnsi="宋体" w:eastAsia="宋体" w:cs="等线"/>
          <w:snapToGrid/>
          <w:color w:val="auto"/>
          <w:kern w:val="2"/>
          <w:szCs w:val="21"/>
          <w:highlight w:val="none"/>
          <w:lang w:eastAsia="zh-CN"/>
        </w:rPr>
        <w:tab/>
      </w:r>
    </w:p>
    <w:p w14:paraId="51089F82">
      <w:pPr>
        <w:widowControl w:val="0"/>
        <w:adjustRightInd w:val="0"/>
        <w:snapToGrid w:val="0"/>
        <w:jc w:val="both"/>
        <w:rPr>
          <w:rFonts w:hint="eastAsia" w:ascii="宋体" w:hAnsi="宋体" w:cs="等线"/>
          <w:color w:val="auto"/>
          <w:szCs w:val="21"/>
          <w:highlight w:val="none"/>
        </w:rPr>
        <w:sectPr>
          <w:footerReference r:id="rId42" w:type="default"/>
          <w:pgSz w:w="16838" w:h="11906" w:orient="landscape"/>
          <w:pgMar w:top="1134" w:right="1418" w:bottom="1134" w:left="1418" w:header="426" w:footer="992" w:gutter="0"/>
          <w:pgNumType w:fmt="numberInDash"/>
          <w:cols w:space="720" w:num="1"/>
          <w:docGrid w:type="lines" w:linePitch="312" w:charSpace="0"/>
        </w:sectPr>
      </w:pPr>
      <w:r>
        <w:rPr>
          <w:rFonts w:hint="eastAsia" w:ascii="宋体" w:hAnsi="宋体" w:eastAsia="宋体" w:cs="等线"/>
          <w:snapToGrid/>
          <w:color w:val="auto"/>
          <w:kern w:val="2"/>
          <w:szCs w:val="21"/>
          <w:highlight w:val="none"/>
          <w:lang w:eastAsia="zh-CN"/>
        </w:rPr>
        <w:t>日期：   年   月  日</w:t>
      </w:r>
    </w:p>
    <w:p w14:paraId="499A64B2">
      <w:pPr>
        <w:spacing w:before="164" w:line="345" w:lineRule="auto"/>
        <w:ind w:left="6" w:right="2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注：1、投标人不可更改采购清单中的数量，否侧投标将被否决。招标人清标时发现报价数量</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4"/>
          <w:sz w:val="24"/>
          <w:szCs w:val="24"/>
          <w:highlight w:val="none"/>
        </w:rPr>
        <w:t>不一致，可取消投标人中标资格。</w:t>
      </w:r>
    </w:p>
    <w:p w14:paraId="687857F1">
      <w:pPr>
        <w:spacing w:before="36" w:line="314" w:lineRule="auto"/>
        <w:ind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2、投标总报价为投标人完成招标范围所述的全部工程内容的体现和完成该项目的成本、</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管理费、技术措施费、利润、风险费及政策性文件规定的不可竞争费用、规费和税金等所有费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
          <w:sz w:val="24"/>
          <w:szCs w:val="24"/>
          <w:highlight w:val="none"/>
        </w:rPr>
        <w:t>用，以及所有根据合同或其它原因由投标人支</w:t>
      </w:r>
      <w:r>
        <w:rPr>
          <w:rFonts w:ascii="新宋体" w:hAnsi="新宋体" w:eastAsia="新宋体" w:cs="新宋体"/>
          <w:color w:val="auto"/>
          <w:spacing w:val="-2"/>
          <w:sz w:val="24"/>
          <w:szCs w:val="24"/>
          <w:highlight w:val="none"/>
        </w:rPr>
        <w:t>付的税金和其它应缴纳的费用。</w:t>
      </w:r>
    </w:p>
    <w:p w14:paraId="21CC58A7">
      <w:pPr>
        <w:spacing w:before="177" w:line="291" w:lineRule="auto"/>
        <w:ind w:right="38" w:firstLine="478"/>
        <w:rPr>
          <w:rFonts w:ascii="Arial"/>
          <w:color w:val="auto"/>
          <w:sz w:val="21"/>
          <w:highlight w:val="none"/>
        </w:rPr>
        <w:sectPr>
          <w:footerReference r:id="rId43" w:type="default"/>
          <w:pgSz w:w="11905" w:h="16839"/>
          <w:pgMar w:top="400" w:right="1020" w:bottom="1010" w:left="1096" w:header="0" w:footer="850" w:gutter="0"/>
          <w:pgNumType w:fmt="numberInDash"/>
          <w:cols w:space="720" w:num="1"/>
        </w:sectPr>
      </w:pPr>
      <w:r>
        <w:rPr>
          <w:rFonts w:ascii="新宋体" w:hAnsi="新宋体" w:eastAsia="新宋体" w:cs="新宋体"/>
          <w:color w:val="auto"/>
          <w:spacing w:val="-1"/>
          <w:sz w:val="24"/>
          <w:szCs w:val="24"/>
          <w:highlight w:val="none"/>
        </w:rPr>
        <w:t>3、采购清单中的设备及货物报价均需包含人工、供货、运输费、装卸费、售后服务费、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
          <w:sz w:val="24"/>
          <w:szCs w:val="24"/>
          <w:highlight w:val="none"/>
        </w:rPr>
        <w:t>验收费用、安装调试费、运费及税金等相关伴随服务以及售后服务</w:t>
      </w:r>
      <w:r>
        <w:rPr>
          <w:rFonts w:ascii="新宋体" w:hAnsi="新宋体" w:eastAsia="新宋体" w:cs="新宋体"/>
          <w:color w:val="auto"/>
          <w:spacing w:val="-2"/>
          <w:sz w:val="24"/>
          <w:szCs w:val="24"/>
          <w:highlight w:val="none"/>
        </w:rPr>
        <w:t>等一切费用。</w:t>
      </w:r>
    </w:p>
    <w:p w14:paraId="7663DE09">
      <w:pPr>
        <w:pStyle w:val="8"/>
        <w:spacing w:before="120" w:line="188" w:lineRule="auto"/>
        <w:rPr>
          <w:color w:val="auto"/>
          <w:sz w:val="28"/>
          <w:szCs w:val="28"/>
          <w:highlight w:val="none"/>
        </w:rPr>
      </w:pPr>
      <w:r>
        <w:rPr>
          <w:b/>
          <w:bCs/>
          <w:color w:val="auto"/>
          <w:spacing w:val="-5"/>
          <w:sz w:val="28"/>
          <w:szCs w:val="28"/>
          <w:highlight w:val="none"/>
        </w:rPr>
        <w:t>4、诚信投标承诺书</w:t>
      </w:r>
    </w:p>
    <w:p w14:paraId="18949A31">
      <w:pPr>
        <w:spacing w:line="262" w:lineRule="auto"/>
        <w:rPr>
          <w:rFonts w:ascii="Arial"/>
          <w:color w:val="auto"/>
          <w:sz w:val="21"/>
          <w:highlight w:val="none"/>
        </w:rPr>
      </w:pPr>
    </w:p>
    <w:p w14:paraId="16834FBB">
      <w:pPr>
        <w:spacing w:line="262" w:lineRule="auto"/>
        <w:rPr>
          <w:rFonts w:ascii="Arial"/>
          <w:color w:val="auto"/>
          <w:sz w:val="21"/>
          <w:highlight w:val="none"/>
        </w:rPr>
      </w:pPr>
    </w:p>
    <w:p w14:paraId="67ECD85E">
      <w:pPr>
        <w:spacing w:line="262" w:lineRule="auto"/>
        <w:rPr>
          <w:rFonts w:ascii="Arial"/>
          <w:color w:val="auto"/>
          <w:sz w:val="21"/>
          <w:highlight w:val="none"/>
        </w:rPr>
      </w:pPr>
    </w:p>
    <w:p w14:paraId="42F11F25">
      <w:pPr>
        <w:spacing w:before="78" w:line="223"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2007438A">
      <w:pPr>
        <w:spacing w:before="176" w:line="345" w:lineRule="auto"/>
        <w:ind w:left="489" w:right="374" w:hanging="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一、将遵循公开、公正和诚实信用的原则自愿参加</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4"/>
          <w:sz w:val="24"/>
          <w:szCs w:val="24"/>
          <w:highlight w:val="none"/>
        </w:rPr>
        <w:t>项目的</w:t>
      </w:r>
      <w:r>
        <w:rPr>
          <w:rFonts w:ascii="新宋体" w:hAnsi="新宋体" w:eastAsia="新宋体" w:cs="新宋体"/>
          <w:color w:val="auto"/>
          <w:spacing w:val="-5"/>
          <w:sz w:val="24"/>
          <w:szCs w:val="24"/>
          <w:highlight w:val="none"/>
        </w:rPr>
        <w:t>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二、所提供的一切材料都是真实、有效、合法的；</w:t>
      </w:r>
    </w:p>
    <w:p w14:paraId="07813B2E">
      <w:pPr>
        <w:spacing w:before="37" w:line="291" w:lineRule="auto"/>
        <w:ind w:left="6" w:right="62" w:firstLine="48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三、不出借、转让资质证书， 不让他人挂靠投标，不以他人名义投标或者以其</w:t>
      </w:r>
      <w:r>
        <w:rPr>
          <w:rFonts w:ascii="新宋体" w:hAnsi="新宋体" w:eastAsia="新宋体" w:cs="新宋体"/>
          <w:color w:val="auto"/>
          <w:spacing w:val="-7"/>
          <w:sz w:val="24"/>
          <w:szCs w:val="24"/>
          <w:highlight w:val="none"/>
        </w:rPr>
        <w:t>他方式弄虚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作假，骗取中标；</w:t>
      </w:r>
    </w:p>
    <w:p w14:paraId="04241FC4">
      <w:pPr>
        <w:spacing w:before="178" w:line="291" w:lineRule="auto"/>
        <w:ind w:left="10" w:right="62" w:firstLine="50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四、不与其他投标人相互串通投标报价， 不排挤其他投标人的公平竞争、损害招标人的合</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5"/>
          <w:sz w:val="24"/>
          <w:szCs w:val="24"/>
          <w:highlight w:val="none"/>
        </w:rPr>
        <w:t>法权益；</w:t>
      </w:r>
    </w:p>
    <w:p w14:paraId="20D5A01A">
      <w:pPr>
        <w:spacing w:before="177" w:line="291" w:lineRule="auto"/>
        <w:ind w:left="6" w:right="62" w:firstLine="480"/>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五、不与招标人、招标代理机构或其他投标人串通投标， 损害国家利益、社会公共利</w:t>
      </w:r>
      <w:r>
        <w:rPr>
          <w:rFonts w:ascii="新宋体" w:hAnsi="新宋体" w:eastAsia="新宋体" w:cs="新宋体"/>
          <w:color w:val="auto"/>
          <w:spacing w:val="-7"/>
          <w:sz w:val="24"/>
          <w:szCs w:val="24"/>
          <w:highlight w:val="none"/>
        </w:rPr>
        <w:t>益或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者他人的合法权益；</w:t>
      </w:r>
    </w:p>
    <w:p w14:paraId="09E88B74">
      <w:pPr>
        <w:spacing w:before="175" w:line="224"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六、严格遵守开标现场纪律，服从监管人员</w:t>
      </w:r>
      <w:r>
        <w:rPr>
          <w:rFonts w:ascii="新宋体" w:hAnsi="新宋体" w:eastAsia="新宋体" w:cs="新宋体"/>
          <w:color w:val="auto"/>
          <w:spacing w:val="-4"/>
          <w:sz w:val="24"/>
          <w:szCs w:val="24"/>
          <w:highlight w:val="none"/>
        </w:rPr>
        <w:t>管理；</w:t>
      </w:r>
    </w:p>
    <w:p w14:paraId="62B2EBCF">
      <w:pPr>
        <w:spacing w:before="176"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七、保证中标后不转包，若有分包征得招标人</w:t>
      </w:r>
      <w:r>
        <w:rPr>
          <w:rFonts w:ascii="新宋体" w:hAnsi="新宋体" w:eastAsia="新宋体" w:cs="新宋体"/>
          <w:color w:val="auto"/>
          <w:spacing w:val="-4"/>
          <w:sz w:val="24"/>
          <w:szCs w:val="24"/>
          <w:highlight w:val="none"/>
        </w:rPr>
        <w:t>同意；</w:t>
      </w:r>
    </w:p>
    <w:p w14:paraId="66057FD7">
      <w:pPr>
        <w:spacing w:before="17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八、保证中标之后，按照投标文件要求提供相关后续服务；</w:t>
      </w:r>
    </w:p>
    <w:p w14:paraId="58743801">
      <w:pPr>
        <w:spacing w:before="177" w:line="223" w:lineRule="auto"/>
        <w:ind w:left="49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九、保证企业及所属相关人员在本次投标中无行贿等犯罪行为；</w:t>
      </w:r>
    </w:p>
    <w:p w14:paraId="36A3169C">
      <w:pPr>
        <w:spacing w:before="178" w:line="325" w:lineRule="auto"/>
        <w:ind w:left="3" w:right="62" w:firstLine="485"/>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十、如在投标过程和公示期间发生投诉行为， 保证按照《伊犁州招标采购活动投诉处理暂</w:t>
      </w:r>
      <w:r>
        <w:rPr>
          <w:rFonts w:ascii="新宋体" w:hAnsi="新宋体" w:eastAsia="新宋体" w:cs="新宋体"/>
          <w:color w:val="auto"/>
          <w:spacing w:val="17"/>
          <w:sz w:val="24"/>
          <w:szCs w:val="24"/>
          <w:highlight w:val="none"/>
        </w:rPr>
        <w:t xml:space="preserve"> </w:t>
      </w:r>
      <w:r>
        <w:rPr>
          <w:rFonts w:ascii="新宋体" w:hAnsi="新宋体" w:eastAsia="新宋体" w:cs="新宋体"/>
          <w:color w:val="auto"/>
          <w:spacing w:val="-6"/>
          <w:sz w:val="24"/>
          <w:szCs w:val="24"/>
          <w:highlight w:val="none"/>
        </w:rPr>
        <w:t>行办法》要求进行。投诉内容符合要求， 投诉材料加盖企业公章或由法定代表人授权委托人签</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6"/>
          <w:sz w:val="24"/>
          <w:szCs w:val="24"/>
          <w:highlight w:val="none"/>
        </w:rPr>
        <w:t>字，并附有关身份证明复印件。不恶意投诉， 对本公司提供的投诉线索的真实性负责，否则愿</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接受有关部门的处罚。</w:t>
      </w:r>
    </w:p>
    <w:p w14:paraId="7A8016BA">
      <w:pPr>
        <w:spacing w:before="174" w:line="350" w:lineRule="auto"/>
        <w:ind w:firstLine="507"/>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以上内容我已仔细阅读，本公司若有违反承诺内容的行为，自愿依法接受取消投标资</w:t>
      </w:r>
      <w:r>
        <w:rPr>
          <w:rFonts w:ascii="新宋体" w:hAnsi="新宋体" w:eastAsia="新宋体" w:cs="新宋体"/>
          <w:color w:val="auto"/>
          <w:spacing w:val="-3"/>
          <w:sz w:val="24"/>
          <w:szCs w:val="24"/>
          <w:highlight w:val="none"/>
        </w:rPr>
        <w:t>格、</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记入不良信用档案、取消中标资格、没收投标保证金等有关处理， 愿意承担法律责任，给招标</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3"/>
          <w:sz w:val="24"/>
          <w:szCs w:val="24"/>
          <w:highlight w:val="none"/>
        </w:rPr>
        <w:t>人造成损失的，依法承担赔偿责任。</w:t>
      </w:r>
    </w:p>
    <w:p w14:paraId="57B5CCEE">
      <w:pPr>
        <w:spacing w:line="295" w:lineRule="auto"/>
        <w:rPr>
          <w:rFonts w:ascii="Arial"/>
          <w:color w:val="auto"/>
          <w:sz w:val="21"/>
          <w:highlight w:val="none"/>
        </w:rPr>
      </w:pPr>
    </w:p>
    <w:p w14:paraId="5E52240A">
      <w:pPr>
        <w:spacing w:line="296" w:lineRule="auto"/>
        <w:rPr>
          <w:rFonts w:ascii="Arial"/>
          <w:color w:val="auto"/>
          <w:sz w:val="21"/>
          <w:highlight w:val="none"/>
        </w:rPr>
      </w:pPr>
    </w:p>
    <w:p w14:paraId="08B9DA09">
      <w:pPr>
        <w:spacing w:line="296" w:lineRule="auto"/>
        <w:rPr>
          <w:rFonts w:ascii="Arial"/>
          <w:color w:val="auto"/>
          <w:sz w:val="21"/>
          <w:highlight w:val="none"/>
        </w:rPr>
      </w:pPr>
    </w:p>
    <w:p w14:paraId="23062DB7">
      <w:pPr>
        <w:spacing w:before="79"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A472188">
      <w:pPr>
        <w:spacing w:before="177" w:line="345" w:lineRule="auto"/>
        <w:ind w:left="52" w:right="2121"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16D6DDA">
      <w:pPr>
        <w:spacing w:line="345" w:lineRule="auto"/>
        <w:rPr>
          <w:rFonts w:ascii="新宋体" w:hAnsi="新宋体" w:eastAsia="新宋体" w:cs="新宋体"/>
          <w:color w:val="auto"/>
          <w:sz w:val="24"/>
          <w:szCs w:val="24"/>
          <w:highlight w:val="none"/>
        </w:rPr>
        <w:sectPr>
          <w:pgSz w:w="11905" w:h="16839"/>
          <w:pgMar w:top="400" w:right="1020" w:bottom="1010" w:left="1096" w:header="0" w:footer="850" w:gutter="0"/>
          <w:pgNumType w:fmt="numberInDash"/>
          <w:cols w:space="720" w:num="1"/>
        </w:sectPr>
      </w:pPr>
    </w:p>
    <w:p w14:paraId="7FE9F83E">
      <w:pPr>
        <w:spacing w:line="319" w:lineRule="auto"/>
        <w:rPr>
          <w:rFonts w:ascii="Arial"/>
          <w:color w:val="auto"/>
          <w:sz w:val="21"/>
          <w:highlight w:val="none"/>
        </w:rPr>
      </w:pPr>
    </w:p>
    <w:p w14:paraId="1F341B2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74" w:firstLineChars="100"/>
        <w:textAlignment w:val="baseline"/>
        <w:rPr>
          <w:b/>
          <w:bCs/>
          <w:color w:val="auto"/>
          <w:spacing w:val="-3"/>
          <w:sz w:val="28"/>
          <w:szCs w:val="28"/>
          <w:highlight w:val="none"/>
        </w:rPr>
      </w:pPr>
    </w:p>
    <w:p w14:paraId="7E2DA01A">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274" w:firstLineChars="100"/>
        <w:jc w:val="center"/>
        <w:textAlignment w:val="baseline"/>
        <w:rPr>
          <w:color w:val="auto"/>
          <w:sz w:val="28"/>
          <w:szCs w:val="28"/>
          <w:highlight w:val="none"/>
        </w:rPr>
      </w:pPr>
      <w:r>
        <w:rPr>
          <w:b/>
          <w:bCs/>
          <w:color w:val="auto"/>
          <w:spacing w:val="-3"/>
          <w:sz w:val="28"/>
          <w:szCs w:val="28"/>
          <w:highlight w:val="none"/>
        </w:rPr>
        <w:t>5、投标人认为需要提供的其他材料</w:t>
      </w:r>
    </w:p>
    <w:p w14:paraId="2D7E76E2">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b/>
          <w:bCs/>
          <w:color w:val="auto"/>
          <w:spacing w:val="-7"/>
          <w:sz w:val="28"/>
          <w:szCs w:val="28"/>
          <w:highlight w:val="none"/>
        </w:rPr>
      </w:pPr>
      <w:r>
        <w:rPr>
          <w:b/>
          <w:bCs/>
          <w:color w:val="auto"/>
          <w:spacing w:val="-7"/>
          <w:sz w:val="28"/>
          <w:szCs w:val="28"/>
          <w:highlight w:val="none"/>
        </w:rPr>
        <w:t>附件 1</w:t>
      </w:r>
    </w:p>
    <w:p w14:paraId="7CD4D7FB">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color w:val="auto"/>
          <w:sz w:val="28"/>
          <w:szCs w:val="28"/>
          <w:highlight w:val="none"/>
        </w:rPr>
      </w:pPr>
      <w:r>
        <w:rPr>
          <w:b/>
          <w:bCs/>
          <w:color w:val="auto"/>
          <w:spacing w:val="-7"/>
          <w:sz w:val="28"/>
          <w:szCs w:val="28"/>
          <w:highlight w:val="none"/>
        </w:rPr>
        <w:t>中小企业声明函（货物）</w:t>
      </w:r>
    </w:p>
    <w:p w14:paraId="4FF545C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3C3C7BD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714" w:firstLineChars="3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本公司（联合体）郑重声明，根据《政府采购促进中小企业发展管理办法》（财库</w:t>
      </w:r>
    </w:p>
    <w:p w14:paraId="7713AA6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1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〔2020〕[2020]46</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号）的规定</w:t>
      </w:r>
      <w:r>
        <w:rPr>
          <w:rFonts w:ascii="新宋体" w:hAnsi="新宋体" w:eastAsia="新宋体" w:cs="新宋体"/>
          <w:color w:val="auto"/>
          <w:spacing w:val="-2"/>
          <w:sz w:val="24"/>
          <w:szCs w:val="24"/>
          <w:highlight w:val="none"/>
        </w:rPr>
        <w:t>，本公司（联合体）参加（单位名称）的（项目名称）采购活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动，提供的货物全部由符合政策要求的中小企业制造。相关企业（含联合体中的中小企业、签</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4"/>
          <w:sz w:val="24"/>
          <w:szCs w:val="24"/>
          <w:highlight w:val="none"/>
        </w:rPr>
        <w:t>订分包意向协议的中小企业）的具体情况如下：</w:t>
      </w:r>
    </w:p>
    <w:p w14:paraId="4F3E1B1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91"/>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w:t>
      </w:r>
      <w:r>
        <w:rPr>
          <w:rFonts w:ascii="新宋体" w:hAnsi="新宋体" w:eastAsia="新宋体" w:cs="新宋体"/>
          <w:color w:val="auto"/>
          <w:spacing w:val="-4"/>
          <w:sz w:val="24"/>
          <w:szCs w:val="24"/>
          <w:highlight w:val="none"/>
          <w:u w:val="single" w:color="auto"/>
        </w:rPr>
        <w:t>（标的名称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属于</w:t>
      </w:r>
      <w:r>
        <w:rPr>
          <w:rFonts w:ascii="新宋体" w:hAnsi="新宋体" w:eastAsia="新宋体" w:cs="新宋体"/>
          <w:color w:val="auto"/>
          <w:spacing w:val="-4"/>
          <w:sz w:val="24"/>
          <w:szCs w:val="24"/>
          <w:highlight w:val="none"/>
          <w:u w:val="single" w:color="auto"/>
        </w:rPr>
        <w:t>（采购文件中明确的所属行业</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制造商为</w:t>
      </w:r>
      <w:r>
        <w:rPr>
          <w:rFonts w:ascii="新宋体" w:hAnsi="新宋体" w:eastAsia="新宋体" w:cs="新宋体"/>
          <w:color w:val="auto"/>
          <w:spacing w:val="-4"/>
          <w:sz w:val="24"/>
          <w:szCs w:val="24"/>
          <w:highlight w:val="none"/>
          <w:u w:val="single" w:color="auto"/>
        </w:rPr>
        <w:t>（企业名称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从业人</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4"/>
          <w:sz w:val="24"/>
          <w:szCs w:val="24"/>
          <w:highlight w:val="none"/>
        </w:rPr>
        <w:t>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40F0B8D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3"/>
          <w:sz w:val="24"/>
          <w:szCs w:val="24"/>
          <w:highlight w:val="none"/>
        </w:rPr>
        <w:t>2.</w:t>
      </w:r>
      <w:r>
        <w:rPr>
          <w:rFonts w:ascii="新宋体" w:hAnsi="新宋体" w:eastAsia="新宋体" w:cs="新宋体"/>
          <w:color w:val="auto"/>
          <w:spacing w:val="-3"/>
          <w:sz w:val="24"/>
          <w:szCs w:val="24"/>
          <w:highlight w:val="none"/>
          <w:u w:val="single" w:color="auto"/>
        </w:rPr>
        <w:t>（标的名称</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属于</w:t>
      </w:r>
      <w:r>
        <w:rPr>
          <w:rFonts w:ascii="新宋体" w:hAnsi="新宋体" w:eastAsia="新宋体" w:cs="新宋体"/>
          <w:color w:val="auto"/>
          <w:spacing w:val="-3"/>
          <w:sz w:val="24"/>
          <w:szCs w:val="24"/>
          <w:highlight w:val="none"/>
          <w:u w:val="single" w:color="auto"/>
        </w:rPr>
        <w:t>（采购文件中明确的所属行业</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制造商为</w:t>
      </w:r>
      <w:r>
        <w:rPr>
          <w:rFonts w:ascii="新宋体" w:hAnsi="新宋体" w:eastAsia="新宋体" w:cs="新宋体"/>
          <w:color w:val="auto"/>
          <w:spacing w:val="-3"/>
          <w:sz w:val="24"/>
          <w:szCs w:val="24"/>
          <w:highlight w:val="none"/>
          <w:u w:val="single" w:color="auto"/>
        </w:rPr>
        <w:t>（企</w:t>
      </w:r>
      <w:r>
        <w:rPr>
          <w:rFonts w:ascii="新宋体" w:hAnsi="新宋体" w:eastAsia="新宋体" w:cs="新宋体"/>
          <w:color w:val="auto"/>
          <w:spacing w:val="-4"/>
          <w:sz w:val="24"/>
          <w:szCs w:val="24"/>
          <w:highlight w:val="none"/>
          <w:u w:val="single" w:color="auto"/>
        </w:rPr>
        <w:t>业名称）</w:t>
      </w:r>
      <w:r>
        <w:rPr>
          <w:rFonts w:ascii="新宋体" w:hAnsi="新宋体" w:eastAsia="新宋体" w:cs="新宋体"/>
          <w:color w:val="auto"/>
          <w:spacing w:val="-4"/>
          <w:sz w:val="24"/>
          <w:szCs w:val="24"/>
          <w:highlight w:val="none"/>
        </w:rPr>
        <w:t>，从业人</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4"/>
          <w:sz w:val="24"/>
          <w:szCs w:val="24"/>
          <w:highlight w:val="none"/>
        </w:rPr>
        <w:t>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57C448BE">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Arial"/>
          <w:color w:val="auto"/>
          <w:sz w:val="21"/>
          <w:highlight w:val="none"/>
        </w:rPr>
      </w:pPr>
      <w:r>
        <w:rPr>
          <w:rFonts w:ascii="新宋体" w:hAnsi="新宋体" w:eastAsia="新宋体" w:cs="新宋体"/>
          <w:color w:val="auto"/>
          <w:spacing w:val="-7"/>
          <w:position w:val="3"/>
          <w:sz w:val="24"/>
          <w:szCs w:val="24"/>
          <w:highlight w:val="none"/>
        </w:rPr>
        <w:t>……</w:t>
      </w:r>
    </w:p>
    <w:p w14:paraId="27F3982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0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以上企业，不属于大企业的分支机构，不存在控股股东为大企业的情形，也不存在与大企</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业的负责人为同一人的情形。</w:t>
      </w:r>
    </w:p>
    <w:p w14:paraId="329D60D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r>
        <w:rPr>
          <w:rFonts w:ascii="新宋体" w:hAnsi="新宋体" w:eastAsia="新宋体" w:cs="新宋体"/>
          <w:color w:val="auto"/>
          <w:spacing w:val="-2"/>
          <w:sz w:val="24"/>
          <w:szCs w:val="24"/>
          <w:highlight w:val="none"/>
        </w:rPr>
        <w:t>本企业对上述声明内容的真实性负责。如有虚假，将依法承担相应责任。</w:t>
      </w:r>
    </w:p>
    <w:p w14:paraId="617BF87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0BE3C18F">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162" w:firstLineChars="1875"/>
        <w:textAlignment w:val="baseline"/>
        <w:rPr>
          <w:rFonts w:hint="eastAsia" w:ascii="新宋体" w:hAnsi="新宋体" w:eastAsia="新宋体" w:cs="新宋体"/>
          <w:color w:val="auto"/>
          <w:spacing w:val="1"/>
          <w:sz w:val="24"/>
          <w:szCs w:val="24"/>
          <w:highlight w:val="none"/>
          <w:lang w:val="en-US" w:eastAsia="zh-CN"/>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pacing w:val="1"/>
          <w:sz w:val="24"/>
          <w:szCs w:val="24"/>
          <w:highlight w:val="none"/>
          <w:lang w:val="en-US" w:eastAsia="zh-CN"/>
        </w:rPr>
        <w:t xml:space="preserve"> </w:t>
      </w:r>
    </w:p>
    <w:p w14:paraId="2838ED76">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257" w:firstLineChars="247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hint="eastAsia" w:ascii="新宋体" w:hAnsi="新宋体" w:eastAsia="新宋体" w:cs="新宋体"/>
          <w:color w:val="auto"/>
          <w:spacing w:val="7"/>
          <w:sz w:val="24"/>
          <w:szCs w:val="24"/>
          <w:highlight w:val="none"/>
          <w:lang w:val="en-US" w:eastAsia="zh-CN"/>
        </w:rPr>
        <w:t xml:space="preserve">       </w:t>
      </w:r>
      <w:r>
        <w:rPr>
          <w:rFonts w:ascii="新宋体" w:hAnsi="新宋体" w:eastAsia="新宋体" w:cs="新宋体"/>
          <w:color w:val="auto"/>
          <w:spacing w:val="-34"/>
          <w:sz w:val="24"/>
          <w:szCs w:val="24"/>
          <w:highlight w:val="none"/>
        </w:rPr>
        <w:t>期：</w:t>
      </w:r>
    </w:p>
    <w:p w14:paraId="20B430FA">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pacing w:val="-9"/>
          <w:sz w:val="21"/>
          <w:szCs w:val="21"/>
          <w:highlight w:val="none"/>
        </w:rPr>
      </w:pPr>
      <w:r>
        <w:rPr>
          <w:rFonts w:ascii="新宋体" w:hAnsi="新宋体" w:eastAsia="新宋体" w:cs="新宋体"/>
          <w:color w:val="auto"/>
          <w:spacing w:val="-2"/>
          <w:sz w:val="21"/>
          <w:szCs w:val="21"/>
          <w:highlight w:val="none"/>
        </w:rPr>
        <w:t>注</w:t>
      </w:r>
      <w:r>
        <w:rPr>
          <w:rFonts w:ascii="新宋体" w:hAnsi="新宋体" w:eastAsia="新宋体" w:cs="新宋体"/>
          <w:color w:val="auto"/>
          <w:spacing w:val="-34"/>
          <w:sz w:val="21"/>
          <w:szCs w:val="21"/>
          <w:highlight w:val="none"/>
        </w:rPr>
        <w:t xml:space="preserve"> </w:t>
      </w:r>
      <w:r>
        <w:rPr>
          <w:rFonts w:ascii="新宋体" w:hAnsi="新宋体" w:eastAsia="新宋体" w:cs="新宋体"/>
          <w:color w:val="auto"/>
          <w:spacing w:val="-2"/>
          <w:sz w:val="21"/>
          <w:szCs w:val="21"/>
          <w:highlight w:val="none"/>
        </w:rPr>
        <w:t>1：从业人员、营业收入、资产总额填报上一年度数据，</w:t>
      </w:r>
      <w:r>
        <w:rPr>
          <w:rFonts w:ascii="新宋体" w:hAnsi="新宋体" w:eastAsia="新宋体" w:cs="新宋体"/>
          <w:color w:val="auto"/>
          <w:spacing w:val="-3"/>
          <w:sz w:val="21"/>
          <w:szCs w:val="21"/>
          <w:highlight w:val="none"/>
        </w:rPr>
        <w:t>无上一年度数据的新成立企业</w:t>
      </w:r>
      <w:r>
        <w:rPr>
          <w:rFonts w:ascii="新宋体" w:hAnsi="新宋体" w:eastAsia="新宋体" w:cs="新宋体"/>
          <w:color w:val="auto"/>
          <w:sz w:val="21"/>
          <w:szCs w:val="21"/>
          <w:highlight w:val="none"/>
        </w:rPr>
        <w:t xml:space="preserve"> </w:t>
      </w:r>
      <w:r>
        <w:rPr>
          <w:rFonts w:ascii="新宋体" w:hAnsi="新宋体" w:eastAsia="新宋体" w:cs="新宋体"/>
          <w:color w:val="auto"/>
          <w:spacing w:val="-9"/>
          <w:sz w:val="21"/>
          <w:szCs w:val="21"/>
          <w:highlight w:val="none"/>
        </w:rPr>
        <w:t>可不填报。</w:t>
      </w:r>
    </w:p>
    <w:p w14:paraId="6BDD771D">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z w:val="21"/>
          <w:szCs w:val="21"/>
          <w:highlight w:val="none"/>
        </w:rPr>
      </w:pPr>
      <w:r>
        <w:rPr>
          <w:rFonts w:ascii="新宋体" w:hAnsi="新宋体" w:eastAsia="新宋体" w:cs="新宋体"/>
          <w:color w:val="auto"/>
          <w:spacing w:val="-3"/>
          <w:sz w:val="21"/>
          <w:szCs w:val="21"/>
          <w:highlight w:val="none"/>
        </w:rPr>
        <w:t>2：请在本表中填写前附表中写明的中小企业行业类别。</w:t>
      </w:r>
      <w:r>
        <w:rPr>
          <w:rFonts w:hint="eastAsia" w:ascii="新宋体" w:hAnsi="新宋体" w:eastAsia="新宋体" w:cs="新宋体"/>
          <w:color w:val="auto"/>
          <w:spacing w:val="-3"/>
          <w:sz w:val="21"/>
          <w:szCs w:val="21"/>
          <w:highlight w:val="none"/>
        </w:rPr>
        <w:t>中小企业声明函中，标的名称为所投产品的名称，采购文件中明确的所属行业为必填项（详见招标文件第二章须知表），各位投标人请仔细阅读清楚，不得有遗漏。如有遗漏以不满足实质性要求废标。中、小、微企业投标的请正确填写中小企业声明函，如填写错误或未填报或缺项、漏项则不享受《政府采购促进中小企业发展管理办法》规定的企业扶持政策，评审时造成的资格审查不通过或价格评审时的价格扣除不予认定等后果，由投标人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79AC57F0">
      <w:pPr>
        <w:spacing w:line="223" w:lineRule="auto"/>
        <w:rPr>
          <w:rFonts w:ascii="新宋体" w:hAnsi="新宋体" w:eastAsia="新宋体" w:cs="新宋体"/>
          <w:color w:val="auto"/>
          <w:sz w:val="24"/>
          <w:szCs w:val="24"/>
          <w:highlight w:val="none"/>
        </w:rPr>
        <w:sectPr>
          <w:footerReference r:id="rId44" w:type="default"/>
          <w:pgSz w:w="11905" w:h="16839"/>
          <w:pgMar w:top="400" w:right="981" w:bottom="1010" w:left="1098" w:header="0" w:footer="850" w:gutter="0"/>
          <w:pgNumType w:fmt="numberInDash"/>
          <w:cols w:space="720" w:num="1"/>
        </w:sectPr>
      </w:pPr>
    </w:p>
    <w:p w14:paraId="011B361B">
      <w:pPr>
        <w:spacing w:line="242" w:lineRule="auto"/>
        <w:rPr>
          <w:rFonts w:ascii="Arial"/>
          <w:color w:val="auto"/>
          <w:sz w:val="21"/>
          <w:highlight w:val="none"/>
        </w:rPr>
      </w:pPr>
    </w:p>
    <w:p w14:paraId="74357999">
      <w:pPr>
        <w:spacing w:line="242" w:lineRule="auto"/>
        <w:rPr>
          <w:rFonts w:ascii="Arial"/>
          <w:color w:val="auto"/>
          <w:sz w:val="21"/>
          <w:highlight w:val="none"/>
        </w:rPr>
      </w:pPr>
    </w:p>
    <w:p w14:paraId="78674869">
      <w:pPr>
        <w:spacing w:line="242" w:lineRule="auto"/>
        <w:rPr>
          <w:rFonts w:ascii="Arial"/>
          <w:color w:val="auto"/>
          <w:sz w:val="21"/>
          <w:highlight w:val="none"/>
        </w:rPr>
      </w:pPr>
    </w:p>
    <w:p w14:paraId="6A9FC4F6">
      <w:pPr>
        <w:spacing w:line="242" w:lineRule="auto"/>
        <w:rPr>
          <w:rFonts w:ascii="Arial"/>
          <w:color w:val="auto"/>
          <w:sz w:val="21"/>
          <w:highlight w:val="none"/>
        </w:rPr>
      </w:pPr>
    </w:p>
    <w:p w14:paraId="75D4BE66">
      <w:pPr>
        <w:pStyle w:val="8"/>
        <w:spacing w:before="103" w:line="189" w:lineRule="auto"/>
        <w:ind w:left="11"/>
        <w:rPr>
          <w:color w:val="auto"/>
          <w:sz w:val="24"/>
          <w:szCs w:val="24"/>
          <w:highlight w:val="none"/>
        </w:rPr>
      </w:pPr>
      <w:r>
        <w:rPr>
          <w:b/>
          <w:bCs/>
          <w:color w:val="auto"/>
          <w:spacing w:val="-7"/>
          <w:sz w:val="24"/>
          <w:szCs w:val="24"/>
          <w:highlight w:val="none"/>
        </w:rPr>
        <w:t>附件 2</w:t>
      </w:r>
    </w:p>
    <w:p w14:paraId="3BA3779C">
      <w:pPr>
        <w:pStyle w:val="8"/>
        <w:spacing w:before="148" w:line="184" w:lineRule="auto"/>
        <w:ind w:left="3340"/>
        <w:rPr>
          <w:color w:val="auto"/>
          <w:sz w:val="28"/>
          <w:szCs w:val="28"/>
          <w:highlight w:val="none"/>
        </w:rPr>
      </w:pPr>
      <w:r>
        <w:rPr>
          <w:b/>
          <w:bCs/>
          <w:color w:val="auto"/>
          <w:spacing w:val="-4"/>
          <w:sz w:val="28"/>
          <w:szCs w:val="28"/>
          <w:highlight w:val="none"/>
        </w:rPr>
        <w:t>监狱企业声明函（如有）</w:t>
      </w:r>
    </w:p>
    <w:p w14:paraId="23D24A48">
      <w:pPr>
        <w:spacing w:line="369" w:lineRule="auto"/>
        <w:rPr>
          <w:rFonts w:ascii="Arial"/>
          <w:color w:val="auto"/>
          <w:sz w:val="21"/>
          <w:highlight w:val="none"/>
        </w:rPr>
      </w:pPr>
    </w:p>
    <w:p w14:paraId="383C3155">
      <w:pPr>
        <w:spacing w:before="78" w:line="350"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本单位郑重声明，本单位在参加</w:t>
      </w:r>
      <w:r>
        <w:rPr>
          <w:rFonts w:ascii="新宋体" w:hAnsi="新宋体" w:eastAsia="新宋体" w:cs="新宋体"/>
          <w:color w:val="auto"/>
          <w:spacing w:val="-3"/>
          <w:sz w:val="24"/>
          <w:szCs w:val="24"/>
          <w:highlight w:val="none"/>
          <w:u w:val="single" w:color="auto"/>
        </w:rPr>
        <w:t>（采购人名称）</w:t>
      </w:r>
      <w:r>
        <w:rPr>
          <w:rFonts w:ascii="新宋体" w:hAnsi="新宋体" w:eastAsia="新宋体" w:cs="新宋体"/>
          <w:color w:val="auto"/>
          <w:spacing w:val="-3"/>
          <w:sz w:val="24"/>
          <w:szCs w:val="24"/>
          <w:highlight w:val="none"/>
        </w:rPr>
        <w:t>的</w:t>
      </w:r>
      <w:r>
        <w:rPr>
          <w:rFonts w:ascii="新宋体" w:hAnsi="新宋体" w:eastAsia="新宋体" w:cs="新宋体"/>
          <w:color w:val="auto"/>
          <w:spacing w:val="-3"/>
          <w:sz w:val="24"/>
          <w:szCs w:val="24"/>
          <w:highlight w:val="none"/>
          <w:u w:val="single" w:color="auto"/>
        </w:rPr>
        <w:t>（招标项目名称）</w:t>
      </w:r>
      <w:r>
        <w:rPr>
          <w:rFonts w:ascii="新宋体" w:hAnsi="新宋体" w:eastAsia="新宋体" w:cs="新宋体"/>
          <w:color w:val="auto"/>
          <w:spacing w:val="-3"/>
          <w:sz w:val="24"/>
          <w:szCs w:val="24"/>
          <w:highlight w:val="none"/>
        </w:rPr>
        <w:t>项目采购活动提</w:t>
      </w:r>
      <w:r>
        <w:rPr>
          <w:rFonts w:ascii="新宋体" w:hAnsi="新宋体" w:eastAsia="新宋体" w:cs="新宋体"/>
          <w:color w:val="auto"/>
          <w:spacing w:val="-4"/>
          <w:sz w:val="24"/>
          <w:szCs w:val="24"/>
          <w:highlight w:val="none"/>
        </w:rPr>
        <w:t>供以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下监狱企业制造的货物（或监狱企业承担的工程、或监狱企业承接的服务</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具体情况如下：</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
          <w:sz w:val="24"/>
          <w:szCs w:val="24"/>
          <w:highlight w:val="none"/>
        </w:rPr>
        <w:t>（按照实际情况勾选或填空）</w:t>
      </w:r>
    </w:p>
    <w:p w14:paraId="0EA05486">
      <w:pPr>
        <w:spacing w:before="317" w:line="291" w:lineRule="auto"/>
        <w:ind w:left="2" w:firstLine="35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w:t>
      </w:r>
      <w:r>
        <w:rPr>
          <w:rFonts w:ascii="新宋体" w:hAnsi="新宋体" w:eastAsia="新宋体" w:cs="新宋体"/>
          <w:color w:val="auto"/>
          <w:spacing w:val="-3"/>
          <w:sz w:val="24"/>
          <w:szCs w:val="24"/>
          <w:highlight w:val="none"/>
          <w:u w:val="single" w:color="auto"/>
        </w:rPr>
        <w:t>（制造商名称）</w:t>
      </w:r>
      <w:r>
        <w:rPr>
          <w:rFonts w:ascii="新宋体" w:hAnsi="新宋体" w:eastAsia="新宋体" w:cs="新宋体"/>
          <w:color w:val="auto"/>
          <w:spacing w:val="-3"/>
          <w:sz w:val="24"/>
          <w:szCs w:val="24"/>
          <w:highlight w:val="none"/>
        </w:rPr>
        <w:t>属于监狱企业，后附省级以上监狱管理局、戒毒管理局（含新疆生</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产建设兵团）出具的属于监狱企业的证明文件。</w:t>
      </w:r>
    </w:p>
    <w:p w14:paraId="49763A64">
      <w:pPr>
        <w:spacing w:line="374" w:lineRule="auto"/>
        <w:rPr>
          <w:rFonts w:ascii="Arial"/>
          <w:color w:val="auto"/>
          <w:sz w:val="21"/>
          <w:highlight w:val="none"/>
        </w:rPr>
      </w:pPr>
    </w:p>
    <w:p w14:paraId="0634AA3F">
      <w:pPr>
        <w:spacing w:before="78" w:line="350" w:lineRule="auto"/>
        <w:ind w:right="44" w:firstLine="42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属于监狱企业并作为联合体一方，</w:t>
      </w:r>
      <w:r>
        <w:rPr>
          <w:rFonts w:ascii="新宋体" w:hAnsi="新宋体" w:eastAsia="新宋体" w:cs="新宋体"/>
          <w:color w:val="auto"/>
          <w:spacing w:val="-2"/>
          <w:sz w:val="24"/>
          <w:szCs w:val="24"/>
          <w:highlight w:val="none"/>
        </w:rPr>
        <w:t>其提供协议合同金额占到共同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投标协议合同总金额的比例为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建设兵团）出具的属于监狱企业的证明文件。</w:t>
      </w:r>
    </w:p>
    <w:p w14:paraId="2E33201C">
      <w:pPr>
        <w:spacing w:before="316" w:line="350" w:lineRule="auto"/>
        <w:ind w:left="1" w:right="35" w:firstLine="419"/>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属于监狱企业并作为分包方，其提</w:t>
      </w:r>
      <w:r>
        <w:rPr>
          <w:rFonts w:ascii="新宋体" w:hAnsi="新宋体" w:eastAsia="新宋体" w:cs="新宋体"/>
          <w:color w:val="auto"/>
          <w:spacing w:val="-2"/>
          <w:sz w:val="24"/>
          <w:szCs w:val="24"/>
          <w:highlight w:val="none"/>
        </w:rPr>
        <w:t>供协议合同金额占到分包意向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。后附省级以上监狱管理局、戒毒管理局（含新疆生产建设</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兵团）出具的属于监狱企业的证明文件。</w:t>
      </w:r>
    </w:p>
    <w:p w14:paraId="76B0E78F">
      <w:pPr>
        <w:spacing w:before="31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4052EEBD">
      <w:pPr>
        <w:spacing w:line="263" w:lineRule="auto"/>
        <w:rPr>
          <w:rFonts w:ascii="Arial"/>
          <w:color w:val="auto"/>
          <w:sz w:val="21"/>
          <w:highlight w:val="none"/>
        </w:rPr>
      </w:pPr>
    </w:p>
    <w:p w14:paraId="47D52566">
      <w:pPr>
        <w:spacing w:line="263" w:lineRule="auto"/>
        <w:rPr>
          <w:rFonts w:ascii="Arial"/>
          <w:color w:val="auto"/>
          <w:sz w:val="21"/>
          <w:highlight w:val="none"/>
        </w:rPr>
      </w:pPr>
    </w:p>
    <w:p w14:paraId="540C5107">
      <w:pPr>
        <w:spacing w:line="264" w:lineRule="auto"/>
        <w:rPr>
          <w:rFonts w:ascii="Arial"/>
          <w:color w:val="auto"/>
          <w:sz w:val="21"/>
          <w:highlight w:val="none"/>
        </w:rPr>
      </w:pPr>
    </w:p>
    <w:p w14:paraId="0E467DF0">
      <w:pPr>
        <w:spacing w:line="264" w:lineRule="auto"/>
        <w:rPr>
          <w:rFonts w:ascii="Arial"/>
          <w:color w:val="auto"/>
          <w:sz w:val="21"/>
          <w:highlight w:val="none"/>
        </w:rPr>
      </w:pPr>
    </w:p>
    <w:p w14:paraId="7D8D4EE6">
      <w:pPr>
        <w:spacing w:line="264" w:lineRule="auto"/>
        <w:rPr>
          <w:rFonts w:ascii="Arial"/>
          <w:color w:val="auto"/>
          <w:sz w:val="21"/>
          <w:highlight w:val="none"/>
        </w:rPr>
      </w:pPr>
    </w:p>
    <w:p w14:paraId="6FCF51F6">
      <w:pPr>
        <w:spacing w:line="264" w:lineRule="auto"/>
        <w:rPr>
          <w:rFonts w:ascii="Arial"/>
          <w:color w:val="auto"/>
          <w:sz w:val="21"/>
          <w:highlight w:val="none"/>
        </w:rPr>
      </w:pPr>
    </w:p>
    <w:p w14:paraId="2A6E5723">
      <w:pPr>
        <w:spacing w:before="79" w:line="561" w:lineRule="auto"/>
        <w:ind w:left="5330" w:right="2352" w:hanging="45"/>
        <w:rPr>
          <w:rFonts w:ascii="新宋体" w:hAnsi="新宋体" w:eastAsia="新宋体" w:cs="新宋体"/>
          <w:color w:val="auto"/>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0FB0BFE">
      <w:pPr>
        <w:spacing w:line="561" w:lineRule="auto"/>
        <w:rPr>
          <w:rFonts w:ascii="新宋体" w:hAnsi="新宋体" w:eastAsia="新宋体" w:cs="新宋体"/>
          <w:color w:val="auto"/>
          <w:sz w:val="24"/>
          <w:szCs w:val="24"/>
          <w:highlight w:val="none"/>
        </w:rPr>
        <w:sectPr>
          <w:footerReference r:id="rId45" w:type="default"/>
          <w:pgSz w:w="11905" w:h="16839"/>
          <w:pgMar w:top="400" w:right="1083" w:bottom="1010" w:left="1098" w:header="0" w:footer="850" w:gutter="0"/>
          <w:pgNumType w:fmt="numberInDash"/>
          <w:cols w:space="720" w:num="1"/>
        </w:sectPr>
      </w:pPr>
    </w:p>
    <w:p w14:paraId="6DB1A1AF">
      <w:pPr>
        <w:spacing w:line="242" w:lineRule="auto"/>
        <w:rPr>
          <w:rFonts w:ascii="Arial"/>
          <w:color w:val="auto"/>
          <w:sz w:val="21"/>
          <w:highlight w:val="none"/>
        </w:rPr>
      </w:pPr>
    </w:p>
    <w:p w14:paraId="68AD74D3">
      <w:pPr>
        <w:spacing w:line="242" w:lineRule="auto"/>
        <w:rPr>
          <w:rFonts w:ascii="Arial"/>
          <w:color w:val="auto"/>
          <w:sz w:val="21"/>
          <w:highlight w:val="none"/>
        </w:rPr>
      </w:pPr>
    </w:p>
    <w:p w14:paraId="42A711F6">
      <w:pPr>
        <w:spacing w:line="242" w:lineRule="auto"/>
        <w:rPr>
          <w:rFonts w:ascii="Arial"/>
          <w:color w:val="auto"/>
          <w:sz w:val="21"/>
          <w:highlight w:val="none"/>
        </w:rPr>
      </w:pPr>
    </w:p>
    <w:p w14:paraId="433FC114">
      <w:pPr>
        <w:spacing w:line="242" w:lineRule="auto"/>
        <w:rPr>
          <w:rFonts w:ascii="Arial"/>
          <w:color w:val="auto"/>
          <w:sz w:val="21"/>
          <w:highlight w:val="none"/>
        </w:rPr>
      </w:pPr>
    </w:p>
    <w:p w14:paraId="085CDE9B">
      <w:pPr>
        <w:pStyle w:val="8"/>
        <w:spacing w:before="103" w:line="189" w:lineRule="auto"/>
        <w:ind w:left="11"/>
        <w:rPr>
          <w:color w:val="auto"/>
          <w:sz w:val="24"/>
          <w:szCs w:val="24"/>
          <w:highlight w:val="none"/>
        </w:rPr>
      </w:pPr>
      <w:r>
        <w:rPr>
          <w:b/>
          <w:bCs/>
          <w:color w:val="auto"/>
          <w:spacing w:val="-7"/>
          <w:sz w:val="24"/>
          <w:szCs w:val="24"/>
          <w:highlight w:val="none"/>
        </w:rPr>
        <w:t>附件 3</w:t>
      </w:r>
    </w:p>
    <w:p w14:paraId="2A53F5C5">
      <w:pPr>
        <w:pStyle w:val="8"/>
        <w:spacing w:before="148" w:line="184" w:lineRule="auto"/>
        <w:ind w:left="2916"/>
        <w:rPr>
          <w:color w:val="auto"/>
          <w:sz w:val="28"/>
          <w:szCs w:val="28"/>
          <w:highlight w:val="none"/>
        </w:rPr>
      </w:pPr>
      <w:r>
        <w:rPr>
          <w:b/>
          <w:bCs/>
          <w:color w:val="auto"/>
          <w:spacing w:val="-3"/>
          <w:sz w:val="28"/>
          <w:szCs w:val="28"/>
          <w:highlight w:val="none"/>
        </w:rPr>
        <w:t>疾人福利性单位声明函（如有）</w:t>
      </w:r>
    </w:p>
    <w:p w14:paraId="23F4FEB4">
      <w:pPr>
        <w:spacing w:line="256" w:lineRule="auto"/>
        <w:rPr>
          <w:rFonts w:ascii="Arial"/>
          <w:color w:val="auto"/>
          <w:sz w:val="21"/>
          <w:highlight w:val="none"/>
        </w:rPr>
      </w:pPr>
    </w:p>
    <w:p w14:paraId="29429E85">
      <w:pPr>
        <w:spacing w:line="256" w:lineRule="auto"/>
        <w:rPr>
          <w:rFonts w:ascii="Arial"/>
          <w:color w:val="auto"/>
          <w:sz w:val="21"/>
          <w:highlight w:val="none"/>
        </w:rPr>
      </w:pPr>
    </w:p>
    <w:p w14:paraId="17DFC109">
      <w:pPr>
        <w:spacing w:line="256" w:lineRule="auto"/>
        <w:rPr>
          <w:rFonts w:ascii="Arial"/>
          <w:color w:val="auto"/>
          <w:sz w:val="21"/>
          <w:highlight w:val="none"/>
        </w:rPr>
      </w:pPr>
    </w:p>
    <w:p w14:paraId="2FD61A75">
      <w:pPr>
        <w:spacing w:line="256" w:lineRule="auto"/>
        <w:rPr>
          <w:rFonts w:ascii="Arial"/>
          <w:color w:val="auto"/>
          <w:sz w:val="21"/>
          <w:highlight w:val="none"/>
        </w:rPr>
      </w:pPr>
    </w:p>
    <w:p w14:paraId="5FDAD9D5">
      <w:pPr>
        <w:spacing w:before="78" w:line="353" w:lineRule="auto"/>
        <w:ind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本单位郑重声明，根据《财政部</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3"/>
          <w:sz w:val="24"/>
          <w:szCs w:val="24"/>
          <w:highlight w:val="none"/>
        </w:rPr>
        <w:t>民政部</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中国残疾人联合会关于促进残疾人就业政府采购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政策的通知》（财库〔2017〕 141</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号）的规定，本</w:t>
      </w:r>
      <w:r>
        <w:rPr>
          <w:rFonts w:ascii="新宋体" w:hAnsi="新宋体" w:eastAsia="新宋体" w:cs="新宋体"/>
          <w:color w:val="auto"/>
          <w:spacing w:val="-5"/>
          <w:sz w:val="24"/>
          <w:szCs w:val="24"/>
          <w:highlight w:val="none"/>
        </w:rPr>
        <w:t>单位为符合条件的残疾人福利性单位，且本</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单位参加</w:t>
      </w:r>
      <w:r>
        <w:rPr>
          <w:rFonts w:ascii="新宋体" w:hAnsi="新宋体" w:eastAsia="新宋体" w:cs="新宋体"/>
          <w:color w:val="auto"/>
          <w:spacing w:val="-120"/>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1"/>
          <w:sz w:val="24"/>
          <w:szCs w:val="24"/>
          <w:highlight w:val="none"/>
        </w:rPr>
        <w:t>单位的</w:t>
      </w:r>
      <w:r>
        <w:rPr>
          <w:rFonts w:ascii="新宋体" w:hAnsi="新宋体" w:eastAsia="新宋体" w:cs="新宋体"/>
          <w:color w:val="auto"/>
          <w:spacing w:val="-11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1"/>
          <w:sz w:val="24"/>
          <w:szCs w:val="24"/>
          <w:highlight w:val="none"/>
        </w:rPr>
        <w:t>项目采购活动提供本单位制造的货物（由本单位承担工程/</w:t>
      </w:r>
      <w:r>
        <w:rPr>
          <w:rFonts w:ascii="新宋体" w:hAnsi="新宋体" w:eastAsia="新宋体" w:cs="新宋体"/>
          <w:color w:val="auto"/>
          <w:spacing w:val="-2"/>
          <w:sz w:val="24"/>
          <w:szCs w:val="24"/>
          <w:highlight w:val="none"/>
        </w:rPr>
        <w:t>提供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w:t>
      </w:r>
      <w:r>
        <w:rPr>
          <w:rFonts w:ascii="新宋体" w:hAnsi="新宋体" w:eastAsia="新宋体" w:cs="新宋体"/>
          <w:color w:val="auto"/>
          <w:spacing w:val="-24"/>
          <w:sz w:val="24"/>
          <w:szCs w:val="24"/>
          <w:highlight w:val="none"/>
        </w:rPr>
        <w:t>），</w:t>
      </w:r>
      <w:r>
        <w:rPr>
          <w:rFonts w:ascii="新宋体" w:hAnsi="新宋体" w:eastAsia="新宋体" w:cs="新宋体"/>
          <w:color w:val="auto"/>
          <w:spacing w:val="-2"/>
          <w:sz w:val="24"/>
          <w:szCs w:val="24"/>
          <w:highlight w:val="none"/>
        </w:rPr>
        <w:t>或者提供其他残疾人福利性单位制造的货物（不包括使用非</w:t>
      </w:r>
      <w:r>
        <w:rPr>
          <w:rFonts w:ascii="新宋体" w:hAnsi="新宋体" w:eastAsia="新宋体" w:cs="新宋体"/>
          <w:color w:val="auto"/>
          <w:spacing w:val="-3"/>
          <w:sz w:val="24"/>
          <w:szCs w:val="24"/>
          <w:highlight w:val="none"/>
        </w:rPr>
        <w:t>残疾人福利性单位注册商</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标的货物）。</w:t>
      </w:r>
    </w:p>
    <w:p w14:paraId="065C9F47">
      <w:pPr>
        <w:spacing w:before="37"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16327C20">
      <w:pPr>
        <w:pStyle w:val="7"/>
        <w:ind w:left="0" w:leftChars="0" w:firstLine="0" w:firstLineChars="0"/>
        <w:rPr>
          <w:color w:val="auto"/>
          <w:highlight w:val="none"/>
        </w:rPr>
      </w:pPr>
    </w:p>
    <w:p w14:paraId="1591BBC2">
      <w:pPr>
        <w:spacing w:line="286" w:lineRule="auto"/>
        <w:rPr>
          <w:rFonts w:ascii="Arial"/>
          <w:color w:val="auto"/>
          <w:sz w:val="21"/>
          <w:highlight w:val="none"/>
        </w:rPr>
      </w:pPr>
    </w:p>
    <w:p w14:paraId="185F581D">
      <w:pPr>
        <w:spacing w:line="286" w:lineRule="auto"/>
        <w:rPr>
          <w:rFonts w:ascii="Arial"/>
          <w:color w:val="auto"/>
          <w:sz w:val="21"/>
          <w:highlight w:val="none"/>
        </w:rPr>
      </w:pPr>
    </w:p>
    <w:p w14:paraId="2E545561">
      <w:pPr>
        <w:spacing w:line="286" w:lineRule="auto"/>
        <w:rPr>
          <w:rFonts w:ascii="Arial"/>
          <w:color w:val="auto"/>
          <w:sz w:val="21"/>
          <w:highlight w:val="none"/>
        </w:rPr>
      </w:pPr>
    </w:p>
    <w:p w14:paraId="501E21DB">
      <w:pPr>
        <w:spacing w:before="78" w:line="345" w:lineRule="auto"/>
        <w:ind w:left="4970" w:right="2813" w:hanging="45"/>
        <w:rPr>
          <w:rFonts w:ascii="新宋体" w:hAnsi="新宋体" w:eastAsia="新宋体" w:cs="新宋体"/>
          <w:color w:val="auto"/>
          <w:spacing w:val="-34"/>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408BEB5">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34C044C7">
      <w:pPr>
        <w:spacing w:line="440" w:lineRule="exact"/>
        <w:ind w:firstLine="240" w:firstLineChars="100"/>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20F3FDD9">
      <w:pPr>
        <w:spacing w:line="440" w:lineRule="exact"/>
        <w:ind w:firstLine="240" w:firstLineChars="100"/>
        <w:jc w:val="left"/>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01359BE4">
      <w:pPr>
        <w:pStyle w:val="7"/>
        <w:rPr>
          <w:color w:val="auto"/>
          <w:highlight w:val="none"/>
        </w:rPr>
      </w:pPr>
    </w:p>
    <w:p w14:paraId="5B5BCE6E">
      <w:pPr>
        <w:pStyle w:val="2"/>
        <w:rPr>
          <w:rFonts w:ascii="新宋体" w:hAnsi="新宋体" w:eastAsia="新宋体" w:cs="新宋体"/>
          <w:color w:val="auto"/>
          <w:spacing w:val="-34"/>
          <w:sz w:val="24"/>
          <w:szCs w:val="24"/>
          <w:highlight w:val="none"/>
        </w:rPr>
      </w:pPr>
    </w:p>
    <w:p w14:paraId="7DF186C2">
      <w:pPr>
        <w:pStyle w:val="5"/>
        <w:rPr>
          <w:rFonts w:ascii="新宋体" w:hAnsi="新宋体" w:eastAsia="新宋体" w:cs="新宋体"/>
          <w:color w:val="auto"/>
          <w:spacing w:val="-34"/>
          <w:sz w:val="24"/>
          <w:szCs w:val="24"/>
          <w:highlight w:val="none"/>
        </w:rPr>
      </w:pPr>
    </w:p>
    <w:p w14:paraId="2BEC9D13">
      <w:pPr>
        <w:rPr>
          <w:rFonts w:ascii="新宋体" w:hAnsi="新宋体" w:eastAsia="新宋体" w:cs="新宋体"/>
          <w:color w:val="auto"/>
          <w:spacing w:val="-34"/>
          <w:sz w:val="24"/>
          <w:szCs w:val="24"/>
          <w:highlight w:val="none"/>
        </w:rPr>
      </w:pPr>
    </w:p>
    <w:p w14:paraId="1DA536CD">
      <w:pPr>
        <w:pStyle w:val="2"/>
        <w:rPr>
          <w:rFonts w:ascii="新宋体" w:hAnsi="新宋体" w:eastAsia="新宋体" w:cs="新宋体"/>
          <w:color w:val="auto"/>
          <w:spacing w:val="-34"/>
          <w:sz w:val="24"/>
          <w:szCs w:val="24"/>
          <w:highlight w:val="none"/>
        </w:rPr>
      </w:pPr>
    </w:p>
    <w:p w14:paraId="0B0F7AF5">
      <w:pPr>
        <w:pStyle w:val="5"/>
        <w:rPr>
          <w:rFonts w:ascii="新宋体" w:hAnsi="新宋体" w:eastAsia="新宋体" w:cs="新宋体"/>
          <w:color w:val="auto"/>
          <w:spacing w:val="-34"/>
          <w:sz w:val="24"/>
          <w:szCs w:val="24"/>
          <w:highlight w:val="none"/>
        </w:rPr>
      </w:pPr>
    </w:p>
    <w:p w14:paraId="1ACC3BF1">
      <w:pPr>
        <w:rPr>
          <w:rFonts w:ascii="新宋体" w:hAnsi="新宋体" w:eastAsia="新宋体" w:cs="新宋体"/>
          <w:color w:val="auto"/>
          <w:spacing w:val="-34"/>
          <w:sz w:val="24"/>
          <w:szCs w:val="24"/>
          <w:highlight w:val="none"/>
        </w:rPr>
      </w:pPr>
    </w:p>
    <w:p w14:paraId="2A94DDB1">
      <w:pPr>
        <w:pStyle w:val="2"/>
        <w:rPr>
          <w:rFonts w:ascii="新宋体" w:hAnsi="新宋体" w:eastAsia="新宋体" w:cs="新宋体"/>
          <w:color w:val="auto"/>
          <w:spacing w:val="-34"/>
          <w:sz w:val="24"/>
          <w:szCs w:val="24"/>
          <w:highlight w:val="none"/>
        </w:rPr>
      </w:pPr>
    </w:p>
    <w:p w14:paraId="655831BF">
      <w:pPr>
        <w:pStyle w:val="5"/>
        <w:rPr>
          <w:rFonts w:ascii="新宋体" w:hAnsi="新宋体" w:eastAsia="新宋体" w:cs="新宋体"/>
          <w:color w:val="auto"/>
          <w:spacing w:val="-34"/>
          <w:sz w:val="24"/>
          <w:szCs w:val="24"/>
          <w:highlight w:val="none"/>
        </w:rPr>
      </w:pPr>
    </w:p>
    <w:p w14:paraId="515FC775">
      <w:pPr>
        <w:rPr>
          <w:rFonts w:ascii="新宋体" w:hAnsi="新宋体" w:eastAsia="新宋体" w:cs="新宋体"/>
          <w:color w:val="auto"/>
          <w:spacing w:val="-34"/>
          <w:sz w:val="24"/>
          <w:szCs w:val="24"/>
          <w:highlight w:val="none"/>
        </w:rPr>
      </w:pPr>
    </w:p>
    <w:p w14:paraId="4138B508">
      <w:pPr>
        <w:pStyle w:val="2"/>
        <w:rPr>
          <w:rFonts w:ascii="新宋体" w:hAnsi="新宋体" w:eastAsia="新宋体" w:cs="新宋体"/>
          <w:color w:val="auto"/>
          <w:spacing w:val="-34"/>
          <w:sz w:val="24"/>
          <w:szCs w:val="24"/>
          <w:highlight w:val="none"/>
        </w:rPr>
      </w:pPr>
    </w:p>
    <w:p w14:paraId="582C34E6">
      <w:pPr>
        <w:pStyle w:val="5"/>
        <w:rPr>
          <w:rFonts w:ascii="新宋体" w:hAnsi="新宋体" w:eastAsia="新宋体" w:cs="新宋体"/>
          <w:color w:val="auto"/>
          <w:spacing w:val="-34"/>
          <w:sz w:val="24"/>
          <w:szCs w:val="24"/>
          <w:highlight w:val="none"/>
        </w:rPr>
      </w:pPr>
    </w:p>
    <w:p w14:paraId="441A8C83">
      <w:pPr>
        <w:rPr>
          <w:rFonts w:ascii="新宋体" w:hAnsi="新宋体" w:eastAsia="新宋体" w:cs="新宋体"/>
          <w:color w:val="auto"/>
          <w:spacing w:val="-34"/>
          <w:sz w:val="24"/>
          <w:szCs w:val="24"/>
          <w:highlight w:val="none"/>
        </w:rPr>
      </w:pPr>
    </w:p>
    <w:p w14:paraId="2FEACA20">
      <w:pPr>
        <w:pStyle w:val="2"/>
        <w:rPr>
          <w:rFonts w:ascii="新宋体" w:hAnsi="新宋体" w:eastAsia="新宋体" w:cs="新宋体"/>
          <w:color w:val="auto"/>
          <w:spacing w:val="-34"/>
          <w:sz w:val="24"/>
          <w:szCs w:val="24"/>
          <w:highlight w:val="none"/>
        </w:rPr>
      </w:pPr>
    </w:p>
    <w:p w14:paraId="0F2AE3AD">
      <w:pPr>
        <w:pStyle w:val="5"/>
        <w:rPr>
          <w:rFonts w:ascii="新宋体" w:hAnsi="新宋体" w:eastAsia="新宋体" w:cs="新宋体"/>
          <w:color w:val="auto"/>
          <w:spacing w:val="-34"/>
          <w:sz w:val="24"/>
          <w:szCs w:val="24"/>
          <w:highlight w:val="none"/>
        </w:rPr>
      </w:pPr>
    </w:p>
    <w:p w14:paraId="15009E22">
      <w:pPr>
        <w:rPr>
          <w:rFonts w:ascii="新宋体" w:hAnsi="新宋体" w:eastAsia="新宋体" w:cs="新宋体"/>
          <w:color w:val="auto"/>
          <w:spacing w:val="-34"/>
          <w:sz w:val="24"/>
          <w:szCs w:val="24"/>
          <w:highlight w:val="none"/>
        </w:rPr>
      </w:pPr>
    </w:p>
    <w:p w14:paraId="701657E1">
      <w:pPr>
        <w:pStyle w:val="2"/>
        <w:rPr>
          <w:rFonts w:ascii="新宋体" w:hAnsi="新宋体" w:eastAsia="新宋体" w:cs="新宋体"/>
          <w:color w:val="auto"/>
          <w:spacing w:val="-34"/>
          <w:sz w:val="24"/>
          <w:szCs w:val="24"/>
          <w:highlight w:val="none"/>
        </w:rPr>
      </w:pPr>
    </w:p>
    <w:p w14:paraId="4058CFA9">
      <w:pPr>
        <w:pStyle w:val="5"/>
        <w:rPr>
          <w:rFonts w:ascii="新宋体" w:hAnsi="新宋体" w:eastAsia="新宋体" w:cs="新宋体"/>
          <w:color w:val="auto"/>
          <w:spacing w:val="-34"/>
          <w:sz w:val="24"/>
          <w:szCs w:val="24"/>
          <w:highlight w:val="none"/>
        </w:rPr>
      </w:pPr>
    </w:p>
    <w:p w14:paraId="7084AF14">
      <w:pPr>
        <w:rPr>
          <w:rFonts w:ascii="新宋体" w:hAnsi="新宋体" w:eastAsia="新宋体" w:cs="新宋体"/>
          <w:color w:val="auto"/>
          <w:spacing w:val="-34"/>
          <w:sz w:val="24"/>
          <w:szCs w:val="24"/>
          <w:highlight w:val="none"/>
        </w:rPr>
      </w:pPr>
    </w:p>
    <w:p w14:paraId="7D882D08">
      <w:pPr>
        <w:pStyle w:val="2"/>
        <w:rPr>
          <w:rFonts w:ascii="新宋体" w:hAnsi="新宋体" w:eastAsia="新宋体" w:cs="新宋体"/>
          <w:color w:val="auto"/>
          <w:spacing w:val="-34"/>
          <w:sz w:val="24"/>
          <w:szCs w:val="24"/>
          <w:highlight w:val="none"/>
        </w:rPr>
      </w:pPr>
    </w:p>
    <w:p w14:paraId="3D65B428">
      <w:pPr>
        <w:widowControl w:val="0"/>
        <w:autoSpaceDE w:val="0"/>
        <w:autoSpaceDN w:val="0"/>
        <w:spacing w:line="400" w:lineRule="exact"/>
        <w:jc w:val="center"/>
        <w:rPr>
          <w:rFonts w:hint="eastAsia" w:ascii="宋体" w:hAnsi="宋体"/>
          <w:b/>
          <w:color w:val="auto"/>
          <w:szCs w:val="21"/>
          <w:highlight w:val="none"/>
        </w:rPr>
      </w:pPr>
    </w:p>
    <w:p w14:paraId="52825B13">
      <w:pPr>
        <w:widowControl w:val="0"/>
        <w:autoSpaceDE w:val="0"/>
        <w:autoSpaceDN w:val="0"/>
        <w:spacing w:line="400" w:lineRule="exact"/>
        <w:jc w:val="center"/>
        <w:rPr>
          <w:rFonts w:ascii="宋体" w:hAnsi="宋体"/>
          <w:b/>
          <w:color w:val="auto"/>
          <w:szCs w:val="21"/>
          <w:highlight w:val="none"/>
        </w:rPr>
      </w:pPr>
      <w:r>
        <w:rPr>
          <w:rFonts w:hint="eastAsia" w:ascii="宋体" w:hAnsi="宋体"/>
          <w:b/>
          <w:color w:val="auto"/>
          <w:szCs w:val="21"/>
          <w:highlight w:val="none"/>
        </w:rPr>
        <w:t>质疑函格式</w:t>
      </w:r>
    </w:p>
    <w:p w14:paraId="2D50C283">
      <w:pPr>
        <w:widowControl w:val="0"/>
        <w:tabs>
          <w:tab w:val="left" w:pos="567"/>
          <w:tab w:val="left" w:pos="993"/>
        </w:tabs>
        <w:spacing w:line="400" w:lineRule="exact"/>
        <w:jc w:val="both"/>
        <w:rPr>
          <w:rFonts w:ascii="宋体" w:hAnsi="宋体"/>
          <w:b/>
          <w:color w:val="auto"/>
          <w:szCs w:val="21"/>
          <w:highlight w:val="none"/>
        </w:rPr>
      </w:pPr>
      <w:r>
        <w:rPr>
          <w:rFonts w:hint="eastAsia" w:ascii="宋体" w:hAnsi="宋体"/>
          <w:b/>
          <w:color w:val="auto"/>
          <w:szCs w:val="21"/>
          <w:highlight w:val="none"/>
        </w:rPr>
        <w:t>说明：本部分格式文件为投标人提交质疑函时使用，不属于投标文件格式的组成部分。</w:t>
      </w:r>
    </w:p>
    <w:p w14:paraId="459C11EA">
      <w:pPr>
        <w:widowControl w:val="0"/>
        <w:spacing w:line="400" w:lineRule="exact"/>
        <w:ind w:right="840"/>
        <w:rPr>
          <w:rFonts w:ascii="宋体" w:hAnsi="宋体"/>
          <w:color w:val="auto"/>
          <w:szCs w:val="21"/>
          <w:highlight w:val="none"/>
        </w:rPr>
      </w:pPr>
    </w:p>
    <w:p w14:paraId="2BC5B992">
      <w:pPr>
        <w:widowControl w:val="0"/>
        <w:spacing w:line="400" w:lineRule="exact"/>
        <w:jc w:val="center"/>
        <w:rPr>
          <w:rFonts w:ascii="宋体" w:hAnsi="宋体" w:cs="仿宋"/>
          <w:b/>
          <w:bCs/>
          <w:color w:val="auto"/>
          <w:szCs w:val="21"/>
          <w:highlight w:val="none"/>
        </w:rPr>
      </w:pPr>
      <w:r>
        <w:rPr>
          <w:rFonts w:hint="eastAsia" w:ascii="宋体" w:hAnsi="宋体" w:cs="仿宋"/>
          <w:b/>
          <w:bCs/>
          <w:color w:val="auto"/>
          <w:szCs w:val="21"/>
          <w:highlight w:val="none"/>
        </w:rPr>
        <w:t>质疑函</w:t>
      </w:r>
    </w:p>
    <w:p w14:paraId="79F6B813">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一、质疑投标人基本信息</w:t>
      </w:r>
    </w:p>
    <w:p w14:paraId="15AFEAE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质疑投标人：</w:t>
      </w:r>
    </w:p>
    <w:p w14:paraId="0D87FFAA">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是否参与所质疑项目的采购活动： □是    □否</w:t>
      </w:r>
    </w:p>
    <w:p w14:paraId="626D9A9F">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09B3911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联系人：联系电话：</w:t>
      </w:r>
    </w:p>
    <w:p w14:paraId="7C0EA80C">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授权代表：</w:t>
      </w:r>
    </w:p>
    <w:p w14:paraId="6AB6BD08">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联系电话：</w:t>
      </w:r>
    </w:p>
    <w:p w14:paraId="4D55658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24CD35C1">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二、质疑项目基本情况</w:t>
      </w:r>
    </w:p>
    <w:p w14:paraId="326F33C4">
      <w:pPr>
        <w:widowControl w:val="0"/>
        <w:adjustRightInd w:val="0"/>
        <w:snapToGrid w:val="0"/>
        <w:spacing w:line="400" w:lineRule="exact"/>
        <w:jc w:val="both"/>
        <w:rPr>
          <w:rFonts w:hint="eastAsia" w:ascii="宋体" w:hAnsi="宋体" w:cs="仿宋"/>
          <w:color w:val="auto"/>
          <w:szCs w:val="21"/>
          <w:highlight w:val="none"/>
        </w:rPr>
      </w:pPr>
      <w:r>
        <w:rPr>
          <w:rFonts w:hint="eastAsia" w:ascii="宋体" w:hAnsi="宋体" w:cs="仿宋"/>
          <w:color w:val="auto"/>
          <w:szCs w:val="21"/>
          <w:highlight w:val="none"/>
        </w:rPr>
        <w:t xml:space="preserve">质疑项目的名称： </w:t>
      </w:r>
      <w:r>
        <w:rPr>
          <w:rFonts w:ascii="宋体" w:hAnsi="宋体" w:cs="仿宋"/>
          <w:color w:val="auto"/>
          <w:szCs w:val="21"/>
          <w:highlight w:val="none"/>
        </w:rPr>
        <w:t xml:space="preserve">   </w:t>
      </w:r>
      <w:r>
        <w:rPr>
          <w:rFonts w:hint="eastAsia" w:ascii="宋体" w:hAnsi="宋体" w:cs="仿宋"/>
          <w:color w:val="auto"/>
          <w:szCs w:val="21"/>
          <w:highlight w:val="none"/>
        </w:rPr>
        <w:t>包号：</w:t>
      </w:r>
    </w:p>
    <w:p w14:paraId="6DD59317">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质疑项目的编号：</w:t>
      </w:r>
    </w:p>
    <w:p w14:paraId="2CA122F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采购人名称：</w:t>
      </w:r>
    </w:p>
    <w:p w14:paraId="26EAEF41">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采购文件获取日期：</w:t>
      </w:r>
    </w:p>
    <w:p w14:paraId="224CC1A0">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三、质疑事项具体内容</w:t>
      </w:r>
    </w:p>
    <w:p w14:paraId="3011F660">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质疑事项1：</w:t>
      </w:r>
    </w:p>
    <w:p w14:paraId="0F9F3203">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事实依据：</w:t>
      </w:r>
    </w:p>
    <w:p w14:paraId="63DC18C1">
      <w:pPr>
        <w:widowControl w:val="0"/>
        <w:adjustRightInd w:val="0"/>
        <w:snapToGrid w:val="0"/>
        <w:spacing w:line="400" w:lineRule="exact"/>
        <w:jc w:val="both"/>
        <w:rPr>
          <w:rFonts w:ascii="宋体" w:hAnsi="宋体" w:cs="仿宋"/>
          <w:color w:val="auto"/>
          <w:szCs w:val="21"/>
          <w:highlight w:val="none"/>
        </w:rPr>
      </w:pPr>
    </w:p>
    <w:p w14:paraId="39CD811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法律依据：</w:t>
      </w:r>
    </w:p>
    <w:p w14:paraId="25336A49">
      <w:pPr>
        <w:widowControl w:val="0"/>
        <w:adjustRightInd w:val="0"/>
        <w:snapToGrid w:val="0"/>
        <w:spacing w:line="400" w:lineRule="exact"/>
        <w:jc w:val="both"/>
        <w:rPr>
          <w:rFonts w:ascii="宋体" w:hAnsi="宋体" w:cs="仿宋"/>
          <w:color w:val="auto"/>
          <w:szCs w:val="21"/>
          <w:highlight w:val="none"/>
          <w:u w:val="dotted"/>
        </w:rPr>
      </w:pPr>
    </w:p>
    <w:p w14:paraId="1A2E4E6D">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质疑事项2</w:t>
      </w:r>
    </w:p>
    <w:p w14:paraId="15D4CEC3">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w:t>
      </w:r>
    </w:p>
    <w:p w14:paraId="3B003F5A">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四、与质疑事项相关的质疑请求</w:t>
      </w:r>
    </w:p>
    <w:p w14:paraId="75AAE13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请求：</w:t>
      </w:r>
    </w:p>
    <w:p w14:paraId="4DC6F4A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签字(签章)：                   公章：                      </w:t>
      </w:r>
    </w:p>
    <w:p w14:paraId="72B2DBE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日期：    </w:t>
      </w:r>
    </w:p>
    <w:p w14:paraId="4A9C9B29">
      <w:pPr>
        <w:widowControl w:val="0"/>
        <w:spacing w:line="400" w:lineRule="exact"/>
        <w:jc w:val="both"/>
        <w:rPr>
          <w:rFonts w:ascii="宋体" w:hAnsi="宋体"/>
          <w:b/>
          <w:color w:val="auto"/>
          <w:szCs w:val="21"/>
          <w:highlight w:val="none"/>
        </w:rPr>
      </w:pPr>
      <w:r>
        <w:rPr>
          <w:rFonts w:hint="eastAsia" w:ascii="宋体" w:hAnsi="宋体"/>
          <w:b/>
          <w:color w:val="auto"/>
          <w:szCs w:val="21"/>
          <w:highlight w:val="none"/>
        </w:rPr>
        <w:t>说明：</w:t>
      </w:r>
    </w:p>
    <w:p w14:paraId="735FB5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1.投标人提出质疑时，应提交质疑函和必要的证明材料，投标人在法定质疑期内应一次性提出针对同一采购程序环节的质疑。</w:t>
      </w:r>
    </w:p>
    <w:p w14:paraId="0573AC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2.质疑投标人若委托代理人进行质疑的，质疑函应按要求列明“授权代表”的有关内容，并在附件中提交由质疑</w:t>
      </w:r>
      <w:r>
        <w:rPr>
          <w:rFonts w:hint="eastAsia" w:ascii="宋体" w:hAnsi="宋体" w:cs="宋体"/>
          <w:color w:val="auto"/>
          <w:kern w:val="0"/>
          <w:szCs w:val="21"/>
          <w:highlight w:val="none"/>
        </w:rPr>
        <w:t>投标人签署的授权委托书。授权委托书应载明代理人的姓名或者名称、代理事项、具体权限、期限和相关事项。</w:t>
      </w:r>
    </w:p>
    <w:p w14:paraId="6A85BD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3.质疑投标人若对项目的某一分包进行质疑，质疑函中应列明具体分包号。</w:t>
      </w:r>
    </w:p>
    <w:p w14:paraId="1C8786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2877B5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27B488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6.质疑投标人为自然人的，质疑函应由本人签字；质疑投标人为法人或者其他组织的，需提供加盖公章的营业执照、质疑函应由法定代表人、主要负责人，或者其授权代表签字或者盖章，并加盖公章。</w:t>
      </w:r>
    </w:p>
    <w:p w14:paraId="7F19D718">
      <w:pPr>
        <w:pStyle w:val="5"/>
        <w:rPr>
          <w:color w:val="auto"/>
          <w:highlight w:val="none"/>
        </w:rPr>
      </w:pPr>
    </w:p>
    <w:p w14:paraId="3A5001FC">
      <w:pPr>
        <w:pStyle w:val="5"/>
        <w:ind w:left="0" w:leftChars="0" w:firstLine="0" w:firstLineChars="0"/>
        <w:rPr>
          <w:color w:val="auto"/>
          <w:highlight w:val="none"/>
        </w:rPr>
      </w:pPr>
    </w:p>
    <w:sectPr>
      <w:footerReference r:id="rId46" w:type="default"/>
      <w:pgSz w:w="11905" w:h="16839"/>
      <w:pgMar w:top="400" w:right="981" w:bottom="1010" w:left="1098" w:header="0" w:footer="85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69E">
    <w:pPr>
      <w:spacing w:line="174"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DAE08">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0DAE08">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468C">
    <w:pPr>
      <w:tabs>
        <w:tab w:val="center" w:pos="4167"/>
      </w:tabs>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posOffset>2700020</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F18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6pt;margin-top:0pt;height:144pt;width:144pt;mso-position-horizontal-relative:margin;mso-wrap-style:none;z-index:251677696;mso-width-relative:page;mso-height-relative:page;" filled="f" stroked="f" coordsize="21600,21600" o:gfxdata="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0lom3VAAAACA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14:paraId="2E67F18D"/>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FF4F1">
                          <w:pPr>
                            <w:pStyle w:val="10"/>
                            <w:rPr>
                              <w:rFonts w:hint="default" w:eastAsia="宋体"/>
                              <w:lang w:val="en-US" w:eastAsia="zh-CN"/>
                            </w:rPr>
                          </w:pPr>
                          <w:r>
                            <w:rPr>
                              <w:rFonts w:hint="eastAsia" w:eastAsia="宋体"/>
                              <w:lang w:val="en-US" w:eastAsia="zh-CN"/>
                            </w:rPr>
                            <w:t>41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3FF4F1">
                    <w:pPr>
                      <w:pStyle w:val="10"/>
                      <w:rPr>
                        <w:rFonts w:hint="default" w:eastAsia="宋体"/>
                        <w:lang w:val="en-US" w:eastAsia="zh-CN"/>
                      </w:rPr>
                    </w:pPr>
                    <w:r>
                      <w:rPr>
                        <w:rFonts w:hint="eastAsia" w:eastAsia="宋体"/>
                        <w:lang w:val="en-US" w:eastAsia="zh-CN"/>
                      </w:rPr>
                      <w:t>41</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5854">
    <w:pPr>
      <w:spacing w:line="174" w:lineRule="auto"/>
      <w:ind w:left="408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6843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36843D">
                    <w:pPr>
                      <w:pStyle w:val="10"/>
                      <w:rPr>
                        <w:rFonts w:hint="default" w:eastAsia="宋体"/>
                        <w:lang w:val="en-US" w:eastAsia="zh-CN"/>
                      </w:rPr>
                    </w:pPr>
                  </w:p>
                </w:txbxContent>
              </v:textbox>
            </v:shape>
          </w:pict>
        </mc:Fallback>
      </mc:AlternateContent>
    </w:r>
    <w:r>
      <w:rPr>
        <w:rFonts w:hint="eastAsia" w:ascii="Times New Roman" w:hAnsi="Times New Roman" w:eastAsia="宋体" w:cs="Times New Roman"/>
        <w:sz w:val="18"/>
        <w:szCs w:val="18"/>
        <w:lang w:val="en-US" w:eastAsia="zh-CN"/>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04F0">
    <w:pPr>
      <w:tabs>
        <w:tab w:val="left" w:pos="5397"/>
      </w:tabs>
      <w:spacing w:line="174"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6774">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AA6774">
                    <w:pPr>
                      <w:pStyle w:val="10"/>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F87FB">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FF87FB">
                    <w:pPr>
                      <w:pStyle w:val="10"/>
                      <w:rPr>
                        <w:rFonts w:hint="default" w:eastAsia="宋体"/>
                        <w:lang w:val="en-US"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61D9">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A82B">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83DA82B">
                    <w:pPr>
                      <w:pStyle w:val="10"/>
                    </w:pPr>
                    <w:r>
                      <w:fldChar w:fldCharType="begin"/>
                    </w:r>
                    <w:r>
                      <w:instrText xml:space="preserve"> PAGE  \* MERGEFORMAT </w:instrText>
                    </w:r>
                    <w:r>
                      <w:fldChar w:fldCharType="separate"/>
                    </w:r>
                    <w:r>
                      <w:t>44</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35EE1">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335EE1">
                    <w:pPr>
                      <w:pStyle w:val="10"/>
                      <w:rPr>
                        <w:rFonts w:hint="default" w:eastAsia="宋体"/>
                        <w:lang w:val="en-US"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992">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B3702">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7B3702">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F8E5">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DA35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2DA35B">
                    <w:pPr>
                      <w:pStyle w:val="10"/>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37BA0">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2E37BA0">
                    <w:pPr>
                      <w:pStyle w:val="10"/>
                      <w:rPr>
                        <w:rFonts w:hint="default" w:eastAsia="宋体"/>
                        <w:lang w:val="en-US"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3926">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33EA3">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E33EA3">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F96E">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F3025">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0F3025">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62DE">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405F0">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A8405F0">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1593">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3BA05">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6E3BA05">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FEA1">
    <w:pPr>
      <w:spacing w:line="174" w:lineRule="auto"/>
      <w:ind w:left="5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733E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7733E0">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BEF">
    <w:pPr>
      <w:spacing w:line="174"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90A12">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2690A12">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A702">
    <w:pPr>
      <w:spacing w:line="174"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756C">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BCF756C">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9A5">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CB5A">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31CB5A">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D270">
    <w:pPr>
      <w:spacing w:line="174"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F98">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929CF98">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46D2">
    <w:pPr>
      <w:spacing w:line="174"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1008">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3E51008">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6644">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8CB5">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EC68CB5">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8397">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A348F">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3A348F">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723">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CCF6">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52CCF6">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D558">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3F89">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8543F89">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1D26">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973F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51973F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A90A">
    <w:pPr>
      <w:spacing w:line="174"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7D59">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B77D59">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DE55">
    <w:pPr>
      <w:spacing w:line="174" w:lineRule="auto"/>
      <w:ind w:left="5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46B8">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F546B8">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9023">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D761E">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9FD761E">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D8F">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9F6A">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899F6A">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371">
    <w:pPr>
      <w:spacing w:line="174" w:lineRule="auto"/>
      <w:ind w:left="4775"/>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48E5C">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0848E5C">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C85B">
    <w:pPr>
      <w:pStyle w:val="10"/>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ABE30">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6BABE30">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1B72">
    <w:pPr>
      <w:pStyle w:val="10"/>
      <w:ind w:right="360"/>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EF3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50EF3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FAF8">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0BBE">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99C0BBE">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DFBF">
    <w:pPr>
      <w:spacing w:line="174"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3D4F">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FD93D4F">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6605">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8EB53">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AC8EB53">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4EC4">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6F55">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3FB6F55">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F24B">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A51D8">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A51D8">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83C3">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8FDC0">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4E8FDC0">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02F8">
    <w:pPr>
      <w:spacing w:line="174" w:lineRule="auto"/>
      <w:ind w:left="48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A3A46">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FA3A46">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83F4">
    <w:pPr>
      <w:spacing w:line="174"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4E178">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94E178">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583A">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D9D63">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17D9D63">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1254">
    <w:pPr>
      <w:spacing w:line="174"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400E">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5B400E">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8E0D">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4504E">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D4504E">
                    <w:pPr>
                      <w:pStyle w:val="10"/>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8CAFA">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8CAFA">
                    <w:pPr>
                      <w:pStyle w:val="1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9C6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8E9C6D">
                    <w:pPr>
                      <w:pStyle w:val="10"/>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0F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FCF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EB672"/>
    <w:multiLevelType w:val="singleLevel"/>
    <w:tmpl w:val="01AEB672"/>
    <w:lvl w:ilvl="0" w:tentative="0">
      <w:start w:val="1"/>
      <w:numFmt w:val="decimal"/>
      <w:suff w:val="nothing"/>
      <w:lvlText w:val="%1、"/>
      <w:lvlJc w:val="left"/>
    </w:lvl>
  </w:abstractNum>
  <w:abstractNum w:abstractNumId="1">
    <w:nsid w:val="0B216C71"/>
    <w:multiLevelType w:val="singleLevel"/>
    <w:tmpl w:val="0B216C71"/>
    <w:lvl w:ilvl="0" w:tentative="0">
      <w:start w:val="1"/>
      <w:numFmt w:val="decimal"/>
      <w:suff w:val="nothing"/>
      <w:lvlText w:val="%1、"/>
      <w:lvlJc w:val="left"/>
    </w:lvl>
  </w:abstractNum>
  <w:abstractNum w:abstractNumId="2">
    <w:nsid w:val="3B7E3B02"/>
    <w:multiLevelType w:val="singleLevel"/>
    <w:tmpl w:val="3B7E3B02"/>
    <w:lvl w:ilvl="0" w:tentative="0">
      <w:start w:val="4"/>
      <w:numFmt w:val="chineseCounting"/>
      <w:suff w:val="space"/>
      <w:lvlText w:val="第%1章"/>
      <w:lvlJc w:val="left"/>
      <w:rPr>
        <w:rFonts w:hint="eastAsia"/>
      </w:rPr>
    </w:lvl>
  </w:abstractNum>
  <w:abstractNum w:abstractNumId="3">
    <w:nsid w:val="78A89306"/>
    <w:multiLevelType w:val="singleLevel"/>
    <w:tmpl w:val="78A8930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E6966"/>
    <w:rsid w:val="00CC2DC8"/>
    <w:rsid w:val="011E6AC0"/>
    <w:rsid w:val="017D43BA"/>
    <w:rsid w:val="01CE1437"/>
    <w:rsid w:val="0270061D"/>
    <w:rsid w:val="027C4D49"/>
    <w:rsid w:val="043A5215"/>
    <w:rsid w:val="04636676"/>
    <w:rsid w:val="0465237E"/>
    <w:rsid w:val="05D3625B"/>
    <w:rsid w:val="05EF2B41"/>
    <w:rsid w:val="06CC18CE"/>
    <w:rsid w:val="076E1F20"/>
    <w:rsid w:val="076F440E"/>
    <w:rsid w:val="077027BF"/>
    <w:rsid w:val="09A80A7A"/>
    <w:rsid w:val="0A103ACD"/>
    <w:rsid w:val="0D385F1B"/>
    <w:rsid w:val="0D687FEB"/>
    <w:rsid w:val="0DC433D5"/>
    <w:rsid w:val="0E3E3EFD"/>
    <w:rsid w:val="0F801AB6"/>
    <w:rsid w:val="0F9705AA"/>
    <w:rsid w:val="0FBE2758"/>
    <w:rsid w:val="104F6A24"/>
    <w:rsid w:val="10505F32"/>
    <w:rsid w:val="10CF355A"/>
    <w:rsid w:val="12A7345D"/>
    <w:rsid w:val="132E31F9"/>
    <w:rsid w:val="1353792F"/>
    <w:rsid w:val="1356593D"/>
    <w:rsid w:val="13C46A1B"/>
    <w:rsid w:val="149D2B89"/>
    <w:rsid w:val="14D0319D"/>
    <w:rsid w:val="154257FC"/>
    <w:rsid w:val="15E909BB"/>
    <w:rsid w:val="171639BF"/>
    <w:rsid w:val="17E458DD"/>
    <w:rsid w:val="18536AB6"/>
    <w:rsid w:val="189D662D"/>
    <w:rsid w:val="18D45424"/>
    <w:rsid w:val="19044120"/>
    <w:rsid w:val="1977087A"/>
    <w:rsid w:val="1AFC2F3E"/>
    <w:rsid w:val="1B2F50C2"/>
    <w:rsid w:val="1BFF6654"/>
    <w:rsid w:val="1D516351"/>
    <w:rsid w:val="1D8E3BF5"/>
    <w:rsid w:val="1E42510C"/>
    <w:rsid w:val="1E927F55"/>
    <w:rsid w:val="1EE00C7E"/>
    <w:rsid w:val="1EE23F43"/>
    <w:rsid w:val="204E5394"/>
    <w:rsid w:val="20B3627D"/>
    <w:rsid w:val="212B3AAB"/>
    <w:rsid w:val="21350F58"/>
    <w:rsid w:val="229B0D12"/>
    <w:rsid w:val="23103A44"/>
    <w:rsid w:val="239F090A"/>
    <w:rsid w:val="23A73C20"/>
    <w:rsid w:val="24053736"/>
    <w:rsid w:val="240608A2"/>
    <w:rsid w:val="249935AC"/>
    <w:rsid w:val="250D2793"/>
    <w:rsid w:val="25213E48"/>
    <w:rsid w:val="25EE3F90"/>
    <w:rsid w:val="268A58A2"/>
    <w:rsid w:val="284C26C7"/>
    <w:rsid w:val="287B51A6"/>
    <w:rsid w:val="28C037FD"/>
    <w:rsid w:val="29DE519F"/>
    <w:rsid w:val="2AB777F4"/>
    <w:rsid w:val="2C60571E"/>
    <w:rsid w:val="2CD81CED"/>
    <w:rsid w:val="2D542666"/>
    <w:rsid w:val="2EA81C8E"/>
    <w:rsid w:val="2FAF1ED5"/>
    <w:rsid w:val="306F4BA6"/>
    <w:rsid w:val="3150593A"/>
    <w:rsid w:val="32C6070D"/>
    <w:rsid w:val="32FD11AA"/>
    <w:rsid w:val="335557FE"/>
    <w:rsid w:val="33932666"/>
    <w:rsid w:val="345F4AE7"/>
    <w:rsid w:val="34A9783B"/>
    <w:rsid w:val="361E2EBA"/>
    <w:rsid w:val="366E2D82"/>
    <w:rsid w:val="38C5243B"/>
    <w:rsid w:val="38CE2768"/>
    <w:rsid w:val="39E67BB8"/>
    <w:rsid w:val="3A405930"/>
    <w:rsid w:val="3A7834A4"/>
    <w:rsid w:val="3E9C5D1B"/>
    <w:rsid w:val="3F193A6C"/>
    <w:rsid w:val="3F56153C"/>
    <w:rsid w:val="40D82C46"/>
    <w:rsid w:val="416F0EAD"/>
    <w:rsid w:val="42456215"/>
    <w:rsid w:val="42641CF1"/>
    <w:rsid w:val="43677618"/>
    <w:rsid w:val="443D74CE"/>
    <w:rsid w:val="44A77282"/>
    <w:rsid w:val="45340965"/>
    <w:rsid w:val="46CD1095"/>
    <w:rsid w:val="48DF33D4"/>
    <w:rsid w:val="497C7137"/>
    <w:rsid w:val="4A1672C9"/>
    <w:rsid w:val="4A7F0696"/>
    <w:rsid w:val="4AB42243"/>
    <w:rsid w:val="4C5573A0"/>
    <w:rsid w:val="4D465B49"/>
    <w:rsid w:val="4D6B792C"/>
    <w:rsid w:val="4D771AA4"/>
    <w:rsid w:val="4F003E56"/>
    <w:rsid w:val="4F043B94"/>
    <w:rsid w:val="50572CF1"/>
    <w:rsid w:val="51102AA7"/>
    <w:rsid w:val="52D03D8D"/>
    <w:rsid w:val="52F14104"/>
    <w:rsid w:val="53530C46"/>
    <w:rsid w:val="53B17155"/>
    <w:rsid w:val="558570B1"/>
    <w:rsid w:val="57BB4B5E"/>
    <w:rsid w:val="583803AB"/>
    <w:rsid w:val="5898277F"/>
    <w:rsid w:val="590E1043"/>
    <w:rsid w:val="59315E28"/>
    <w:rsid w:val="59E763A3"/>
    <w:rsid w:val="5A905912"/>
    <w:rsid w:val="5BB92F72"/>
    <w:rsid w:val="5D537A94"/>
    <w:rsid w:val="5E647215"/>
    <w:rsid w:val="5F3758C0"/>
    <w:rsid w:val="5FE60FEE"/>
    <w:rsid w:val="60412140"/>
    <w:rsid w:val="61A22D98"/>
    <w:rsid w:val="62F52CC0"/>
    <w:rsid w:val="66336760"/>
    <w:rsid w:val="663A283E"/>
    <w:rsid w:val="66DB10C0"/>
    <w:rsid w:val="684E6973"/>
    <w:rsid w:val="6B2D2B4B"/>
    <w:rsid w:val="6B3E3B32"/>
    <w:rsid w:val="6C473645"/>
    <w:rsid w:val="6CDF23A1"/>
    <w:rsid w:val="6CE80B2B"/>
    <w:rsid w:val="6D105A96"/>
    <w:rsid w:val="6E093AB6"/>
    <w:rsid w:val="6E1D7F2C"/>
    <w:rsid w:val="6F36229B"/>
    <w:rsid w:val="715C7AC9"/>
    <w:rsid w:val="717E170D"/>
    <w:rsid w:val="72473C14"/>
    <w:rsid w:val="727F515C"/>
    <w:rsid w:val="73CF693E"/>
    <w:rsid w:val="74581611"/>
    <w:rsid w:val="75187A07"/>
    <w:rsid w:val="753148A7"/>
    <w:rsid w:val="76182F11"/>
    <w:rsid w:val="768C6173"/>
    <w:rsid w:val="76A038F3"/>
    <w:rsid w:val="76B02E9F"/>
    <w:rsid w:val="790979A8"/>
    <w:rsid w:val="7962623E"/>
    <w:rsid w:val="79685512"/>
    <w:rsid w:val="7B260D5D"/>
    <w:rsid w:val="7C4A30F3"/>
    <w:rsid w:val="7C5E0B04"/>
    <w:rsid w:val="7CD14475"/>
    <w:rsid w:val="7DAA2A29"/>
    <w:rsid w:val="7DBC39BB"/>
    <w:rsid w:val="7DD52F80"/>
    <w:rsid w:val="7E5F22E5"/>
    <w:rsid w:val="7FC92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styleId="3">
    <w:name w:val="Body Text Indent"/>
    <w:basedOn w:val="1"/>
    <w:next w:val="4"/>
    <w:qFormat/>
    <w:uiPriority w:val="0"/>
    <w:pPr>
      <w:ind w:firstLine="630"/>
    </w:pPr>
    <w:rPr>
      <w:rFonts w:ascii="Calibri" w:hAnsi="Calibri" w:eastAsia="楷体_GB2312" w:cs="Times New Roman"/>
      <w:kern w:val="0"/>
      <w:sz w:val="30"/>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customStyle="1" w:styleId="5">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paragraph" w:styleId="7">
    <w:name w:val="table of authorities"/>
    <w:basedOn w:val="1"/>
    <w:next w:val="1"/>
    <w:semiHidden/>
    <w:qFormat/>
    <w:uiPriority w:val="99"/>
    <w:pPr>
      <w:ind w:left="200" w:leftChars="200"/>
    </w:pPr>
  </w:style>
  <w:style w:type="paragraph" w:styleId="8">
    <w:name w:val="Body Text"/>
    <w:basedOn w:val="1"/>
    <w:semiHidden/>
    <w:qFormat/>
    <w:uiPriority w:val="0"/>
    <w:rPr>
      <w:rFonts w:ascii="微软雅黑" w:hAnsi="微软雅黑" w:eastAsia="微软雅黑" w:cs="微软雅黑"/>
      <w:sz w:val="32"/>
      <w:szCs w:val="32"/>
      <w:lang w:val="en-US" w:eastAsia="en-US" w:bidi="ar-SA"/>
    </w:rPr>
  </w:style>
  <w:style w:type="paragraph" w:styleId="9">
    <w:name w:val="Plain Text"/>
    <w:basedOn w:val="1"/>
    <w:qFormat/>
    <w:uiPriority w:val="0"/>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pacing w:line="360" w:lineRule="auto"/>
    </w:pPr>
    <w:rPr>
      <w:rFonts w:ascii="Arial" w:hAnsi="Arial" w:cs="Arial"/>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新宋体" w:hAnsi="新宋体" w:eastAsia="新宋体" w:cs="新宋体"/>
      <w:sz w:val="24"/>
      <w:szCs w:val="24"/>
      <w:lang w:val="en-US" w:eastAsia="en-US" w:bidi="ar-SA"/>
    </w:rPr>
  </w:style>
  <w:style w:type="paragraph" w:customStyle="1" w:styleId="17">
    <w:name w:val="引言二级条标题"/>
    <w:basedOn w:val="18"/>
    <w:next w:val="19"/>
    <w:qFormat/>
    <w:uiPriority w:val="99"/>
    <w:pPr>
      <w:tabs>
        <w:tab w:val="left" w:pos="1140"/>
      </w:tabs>
    </w:pPr>
  </w:style>
  <w:style w:type="paragraph" w:customStyle="1" w:styleId="18">
    <w:name w:val="引言一级条标题"/>
    <w:basedOn w:val="1"/>
    <w:next w:val="19"/>
    <w:qFormat/>
    <w:uiPriority w:val="99"/>
    <w:pPr>
      <w:widowControl/>
      <w:tabs>
        <w:tab w:val="left" w:pos="1140"/>
      </w:tabs>
    </w:pPr>
    <w:rPr>
      <w:rFonts w:eastAsia="黑体"/>
      <w:b/>
      <w:bCs/>
      <w:szCs w:val="21"/>
    </w:rPr>
  </w:style>
  <w:style w:type="paragraph" w:customStyle="1" w:styleId="19">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customStyle="1" w:styleId="20">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8600</Words>
  <Characters>9401</Characters>
  <TotalTime>64</TotalTime>
  <ScaleCrop>false</ScaleCrop>
  <LinksUpToDate>false</LinksUpToDate>
  <CharactersWithSpaces>9816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2024-11-19T09:08:00Z</dcterms:created>
  <dc:creator>Administrator</dc:creator>
  <cp:lastModifiedBy>猫猫晒太阳哦</cp:lastModifiedBy>
  <dcterms:modified xsi:type="dcterms:W3CDTF">2025-06-19T02:20:53Z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2025-04-16T17:13:02Z</vt:filetime>
  </property>
  <property fmtid="{D5CDD505-2E9C-101B-9397-08002B2CF9AE}" pid="4" name="KSOTemplateDocerSaveRecord">
    <vt:lpwstr>eyJoZGlkIjoiYjdmNDQwOWM2ZWE4NzgxOWVhNjRiYmY0MTQ4Yzk3NTEiLCJ1c2VySWQiOiI1Nzk5ODg4NzYifQ==</vt:lpwstr>
  </property>
  <property fmtid="{D5CDD505-2E9C-101B-9397-08002B2CF9AE}" pid="5" name="KSOProductBuildVer">
    <vt:lpwstr>2052-12.1.0.21541</vt:lpwstr>
  </property>
  <property fmtid="{D5CDD505-2E9C-101B-9397-08002B2CF9AE}" pid="6" name="ICV">
    <vt:lpwstr>157A434CD7314806A5C574CAC2E9549D_12</vt:lpwstr>
  </property>
</Properties>
</file>