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E28FD">
      <w:pPr>
        <w:spacing w:before="240" w:line="360" w:lineRule="auto"/>
        <w:jc w:val="right"/>
        <w:rPr>
          <w:rFonts w:ascii="仿宋" w:hAnsi="仿宋" w:eastAsia="仿宋" w:cs="仿宋"/>
          <w:color w:val="auto"/>
          <w:sz w:val="24"/>
          <w:highlight w:val="none"/>
          <w:u w:color="000000"/>
          <w:lang w:eastAsia="zh-CN"/>
        </w:rPr>
      </w:pPr>
      <w:r>
        <w:rPr>
          <w:rFonts w:hint="eastAsia" w:ascii="仿宋" w:hAnsi="仿宋" w:eastAsia="仿宋" w:cs="仿宋"/>
          <w:color w:val="auto"/>
          <w:sz w:val="24"/>
          <w:highlight w:val="none"/>
          <w:u w:color="000000"/>
          <w:lang w:eastAsia="zh-CN"/>
        </w:rPr>
        <w:t>项目编号：XJXCT2025-ZB-040</w:t>
      </w:r>
    </w:p>
    <w:p w14:paraId="1DA893BA">
      <w:pPr>
        <w:spacing w:line="360" w:lineRule="auto"/>
        <w:ind w:left="1699" w:leftChars="809" w:right="1132" w:rightChars="539"/>
        <w:jc w:val="center"/>
        <w:rPr>
          <w:rFonts w:ascii="仿宋" w:hAnsi="仿宋" w:eastAsia="仿宋" w:cs="仿宋"/>
          <w:b/>
          <w:color w:val="auto"/>
          <w:sz w:val="44"/>
          <w:szCs w:val="44"/>
          <w:highlight w:val="none"/>
          <w:u w:color="000000"/>
          <w:lang w:eastAsia="zh-CN"/>
        </w:rPr>
      </w:pPr>
    </w:p>
    <w:p w14:paraId="480A5090">
      <w:pPr>
        <w:spacing w:line="360" w:lineRule="auto"/>
        <w:ind w:left="1699" w:leftChars="809" w:right="1132" w:rightChars="539"/>
        <w:jc w:val="center"/>
        <w:rPr>
          <w:rFonts w:ascii="仿宋" w:hAnsi="仿宋" w:eastAsia="仿宋" w:cs="仿宋"/>
          <w:b/>
          <w:color w:val="auto"/>
          <w:sz w:val="44"/>
          <w:szCs w:val="44"/>
          <w:highlight w:val="none"/>
          <w:u w:color="000000"/>
          <w:lang w:eastAsia="zh-CN"/>
        </w:rPr>
      </w:pPr>
    </w:p>
    <w:p w14:paraId="26B419B2">
      <w:pPr>
        <w:tabs>
          <w:tab w:val="left" w:pos="6930"/>
        </w:tabs>
        <w:spacing w:line="360" w:lineRule="auto"/>
        <w:ind w:right="1132" w:rightChars="539"/>
        <w:jc w:val="center"/>
        <w:rPr>
          <w:rFonts w:ascii="仿宋" w:hAnsi="仿宋" w:eastAsia="仿宋" w:cs="仿宋"/>
          <w:b/>
          <w:color w:val="auto"/>
          <w:sz w:val="52"/>
          <w:szCs w:val="52"/>
          <w:highlight w:val="none"/>
          <w:u w:color="000000"/>
          <w:lang w:eastAsia="zh-CN"/>
        </w:rPr>
      </w:pPr>
      <w:r>
        <w:rPr>
          <w:rFonts w:hint="eastAsia" w:ascii="仿宋" w:hAnsi="仿宋" w:eastAsia="仿宋" w:cs="仿宋"/>
          <w:b/>
          <w:color w:val="auto"/>
          <w:sz w:val="52"/>
          <w:szCs w:val="52"/>
          <w:highlight w:val="none"/>
          <w:u w:color="000000"/>
          <w:lang w:eastAsia="zh-CN"/>
        </w:rPr>
        <w:t>乌鲁木齐市第七十中学物理实验室建设项目</w:t>
      </w:r>
    </w:p>
    <w:p w14:paraId="1A5F29A2">
      <w:pPr>
        <w:tabs>
          <w:tab w:val="left" w:pos="6930"/>
        </w:tabs>
        <w:spacing w:line="360" w:lineRule="auto"/>
        <w:ind w:right="1132" w:rightChars="539"/>
        <w:jc w:val="center"/>
        <w:rPr>
          <w:rFonts w:ascii="仿宋" w:hAnsi="仿宋" w:eastAsia="仿宋" w:cs="仿宋"/>
          <w:b/>
          <w:color w:val="auto"/>
          <w:sz w:val="52"/>
          <w:szCs w:val="52"/>
          <w:highlight w:val="none"/>
          <w:u w:color="000000"/>
          <w:lang w:eastAsia="zh-CN"/>
        </w:rPr>
      </w:pPr>
    </w:p>
    <w:p w14:paraId="5A547388">
      <w:pPr>
        <w:spacing w:line="360" w:lineRule="auto"/>
        <w:ind w:right="1132" w:rightChars="539"/>
        <w:jc w:val="center"/>
        <w:rPr>
          <w:rFonts w:ascii="仿宋" w:hAnsi="仿宋" w:eastAsia="仿宋" w:cs="仿宋"/>
          <w:b/>
          <w:color w:val="auto"/>
          <w:sz w:val="84"/>
          <w:szCs w:val="84"/>
          <w:highlight w:val="none"/>
          <w:u w:color="000000"/>
          <w:lang w:eastAsia="zh-CN"/>
        </w:rPr>
      </w:pPr>
      <w:r>
        <w:rPr>
          <w:rFonts w:hint="eastAsia" w:ascii="仿宋" w:hAnsi="仿宋" w:eastAsia="仿宋" w:cs="仿宋"/>
          <w:b/>
          <w:color w:val="auto"/>
          <w:sz w:val="84"/>
          <w:szCs w:val="84"/>
          <w:highlight w:val="none"/>
          <w:u w:color="000000"/>
          <w:lang w:eastAsia="zh-CN"/>
        </w:rPr>
        <w:t>招 标 文 件</w:t>
      </w:r>
    </w:p>
    <w:p w14:paraId="145BEBD4">
      <w:pPr>
        <w:ind w:left="1699" w:leftChars="809" w:right="1132" w:rightChars="539"/>
        <w:jc w:val="center"/>
        <w:rPr>
          <w:rFonts w:ascii="仿宋" w:hAnsi="仿宋" w:eastAsia="仿宋" w:cs="仿宋"/>
          <w:b/>
          <w:color w:val="auto"/>
          <w:sz w:val="84"/>
          <w:szCs w:val="84"/>
          <w:highlight w:val="none"/>
          <w:u w:color="000000"/>
          <w:lang w:eastAsia="zh-CN"/>
        </w:rPr>
      </w:pPr>
    </w:p>
    <w:p w14:paraId="68B1A983">
      <w:pPr>
        <w:spacing w:line="360" w:lineRule="auto"/>
        <w:rPr>
          <w:rFonts w:ascii="仿宋" w:hAnsi="仿宋" w:eastAsia="仿宋" w:cs="仿宋"/>
          <w:color w:val="auto"/>
          <w:sz w:val="32"/>
          <w:szCs w:val="32"/>
          <w:highlight w:val="none"/>
          <w:u w:val="single"/>
          <w:lang w:eastAsia="zh-CN"/>
        </w:rPr>
      </w:pPr>
      <w:r>
        <w:rPr>
          <w:rFonts w:hint="eastAsia" w:ascii="仿宋" w:hAnsi="仿宋" w:eastAsia="仿宋" w:cs="仿宋"/>
          <w:b/>
          <w:color w:val="auto"/>
          <w:spacing w:val="81"/>
          <w:sz w:val="32"/>
          <w:szCs w:val="32"/>
          <w:highlight w:val="none"/>
          <w:u w:color="000000"/>
          <w:lang w:eastAsia="zh-CN"/>
        </w:rPr>
        <w:t>采购</w:t>
      </w:r>
      <w:r>
        <w:rPr>
          <w:rFonts w:hint="eastAsia" w:ascii="仿宋" w:hAnsi="仿宋" w:eastAsia="仿宋" w:cs="仿宋"/>
          <w:b/>
          <w:color w:val="auto"/>
          <w:sz w:val="32"/>
          <w:szCs w:val="32"/>
          <w:highlight w:val="none"/>
          <w:u w:color="000000"/>
          <w:lang w:eastAsia="zh-CN"/>
        </w:rPr>
        <w:t>人（盖章）</w:t>
      </w:r>
      <w:r>
        <w:rPr>
          <w:rFonts w:hint="eastAsia" w:ascii="仿宋" w:hAnsi="仿宋" w:eastAsia="仿宋" w:cs="仿宋"/>
          <w:color w:val="auto"/>
          <w:sz w:val="32"/>
          <w:szCs w:val="32"/>
          <w:highlight w:val="none"/>
          <w:u w:color="000000"/>
          <w:lang w:eastAsia="zh-CN"/>
        </w:rPr>
        <w:t>：</w:t>
      </w:r>
      <w:r>
        <w:rPr>
          <w:rFonts w:hint="eastAsia" w:ascii="仿宋" w:hAnsi="仿宋" w:eastAsia="仿宋" w:cs="仿宋"/>
          <w:color w:val="auto"/>
          <w:sz w:val="32"/>
          <w:szCs w:val="32"/>
          <w:highlight w:val="none"/>
          <w:u w:val="single"/>
          <w:lang w:eastAsia="zh-CN"/>
        </w:rPr>
        <w:t>乌鲁木齐市第七十中学</w:t>
      </w:r>
    </w:p>
    <w:p w14:paraId="260A5235">
      <w:pPr>
        <w:spacing w:line="360" w:lineRule="auto"/>
        <w:rPr>
          <w:rFonts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41"/>
          <w:sz w:val="32"/>
          <w:szCs w:val="32"/>
          <w:highlight w:val="none"/>
          <w:u w:color="000000"/>
          <w:lang w:eastAsia="zh-CN"/>
        </w:rPr>
        <w:t>项目联系</w:t>
      </w:r>
      <w:r>
        <w:rPr>
          <w:rFonts w:hint="eastAsia" w:ascii="仿宋" w:hAnsi="仿宋" w:eastAsia="仿宋" w:cs="仿宋"/>
          <w:b/>
          <w:color w:val="auto"/>
          <w:sz w:val="32"/>
          <w:szCs w:val="32"/>
          <w:highlight w:val="none"/>
          <w:u w:color="000000"/>
          <w:lang w:eastAsia="zh-CN"/>
        </w:rPr>
        <w:t>人：</w:t>
      </w:r>
      <w:r>
        <w:rPr>
          <w:rFonts w:hint="eastAsia" w:ascii="仿宋" w:hAnsi="仿宋" w:eastAsia="仿宋" w:cs="仿宋"/>
          <w:color w:val="auto"/>
          <w:sz w:val="32"/>
          <w:szCs w:val="32"/>
          <w:highlight w:val="none"/>
          <w:u w:val="single"/>
          <w:lang w:eastAsia="zh-CN"/>
        </w:rPr>
        <w:t xml:space="preserve">  胡主任 </w:t>
      </w:r>
    </w:p>
    <w:p w14:paraId="41BAEA20">
      <w:pPr>
        <w:spacing w:line="360" w:lineRule="auto"/>
        <w:rPr>
          <w:rFonts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108"/>
          <w:sz w:val="32"/>
          <w:szCs w:val="32"/>
          <w:highlight w:val="none"/>
          <w:u w:color="000000"/>
          <w:lang w:eastAsia="zh-CN"/>
        </w:rPr>
        <w:t>联系电</w:t>
      </w:r>
      <w:r>
        <w:rPr>
          <w:rFonts w:hint="eastAsia" w:ascii="仿宋" w:hAnsi="仿宋" w:eastAsia="仿宋" w:cs="仿宋"/>
          <w:b/>
          <w:color w:val="auto"/>
          <w:sz w:val="32"/>
          <w:szCs w:val="32"/>
          <w:highlight w:val="none"/>
          <w:u w:color="000000"/>
          <w:lang w:eastAsia="zh-CN"/>
        </w:rPr>
        <w:t>话：</w:t>
      </w:r>
      <w:bookmarkStart w:id="0" w:name="OLE_LINK105"/>
      <w:bookmarkStart w:id="1" w:name="OLE_LINK106"/>
      <w:r>
        <w:rPr>
          <w:rFonts w:hint="eastAsia" w:ascii="仿宋" w:hAnsi="仿宋" w:eastAsia="仿宋" w:cs="仿宋"/>
          <w:color w:val="auto"/>
          <w:sz w:val="32"/>
          <w:szCs w:val="32"/>
          <w:highlight w:val="none"/>
          <w:u w:val="single"/>
          <w:lang w:eastAsia="zh-CN"/>
        </w:rPr>
        <w:t>18999225391</w:t>
      </w:r>
      <w:bookmarkEnd w:id="0"/>
      <w:bookmarkEnd w:id="1"/>
    </w:p>
    <w:p w14:paraId="16442691">
      <w:pPr>
        <w:spacing w:line="360" w:lineRule="auto"/>
        <w:rPr>
          <w:rFonts w:ascii="仿宋" w:hAnsi="仿宋" w:eastAsia="仿宋" w:cs="仿宋"/>
          <w:color w:val="auto"/>
          <w:sz w:val="32"/>
          <w:szCs w:val="32"/>
          <w:highlight w:val="none"/>
          <w:u w:val="thick" w:color="000000"/>
          <w:lang w:eastAsia="zh-CN"/>
        </w:rPr>
      </w:pPr>
      <w:r>
        <w:rPr>
          <w:rFonts w:hint="eastAsia" w:ascii="仿宋" w:hAnsi="仿宋" w:eastAsia="仿宋" w:cs="仿宋"/>
          <w:b/>
          <w:color w:val="auto"/>
          <w:sz w:val="32"/>
          <w:szCs w:val="32"/>
          <w:highlight w:val="none"/>
          <w:u w:color="000000"/>
          <w:lang w:eastAsia="zh-CN"/>
        </w:rPr>
        <w:t>采购代理机构（盖章）：</w:t>
      </w:r>
      <w:r>
        <w:rPr>
          <w:rFonts w:hint="eastAsia" w:ascii="仿宋" w:hAnsi="仿宋" w:eastAsia="仿宋" w:cs="仿宋"/>
          <w:color w:val="auto"/>
          <w:sz w:val="32"/>
          <w:szCs w:val="32"/>
          <w:highlight w:val="none"/>
          <w:u w:val="single"/>
          <w:lang w:eastAsia="zh-CN"/>
        </w:rPr>
        <w:t>新疆新诚泰工程咨询有限公司</w:t>
      </w:r>
    </w:p>
    <w:p w14:paraId="18451D40">
      <w:pPr>
        <w:spacing w:line="360" w:lineRule="auto"/>
        <w:rPr>
          <w:rFonts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41"/>
          <w:sz w:val="32"/>
          <w:szCs w:val="32"/>
          <w:highlight w:val="none"/>
          <w:u w:color="000000"/>
          <w:lang w:eastAsia="zh-CN"/>
        </w:rPr>
        <w:t>项目联系</w:t>
      </w:r>
      <w:r>
        <w:rPr>
          <w:rFonts w:hint="eastAsia" w:ascii="仿宋" w:hAnsi="仿宋" w:eastAsia="仿宋" w:cs="仿宋"/>
          <w:b/>
          <w:color w:val="auto"/>
          <w:sz w:val="32"/>
          <w:szCs w:val="32"/>
          <w:highlight w:val="none"/>
          <w:u w:color="000000"/>
          <w:lang w:eastAsia="zh-CN"/>
        </w:rPr>
        <w:t>人：</w:t>
      </w:r>
      <w:r>
        <w:rPr>
          <w:rFonts w:hint="eastAsia" w:ascii="仿宋" w:hAnsi="仿宋" w:eastAsia="仿宋" w:cs="仿宋"/>
          <w:color w:val="auto"/>
          <w:sz w:val="32"/>
          <w:szCs w:val="32"/>
          <w:highlight w:val="none"/>
          <w:u w:val="single"/>
          <w:lang w:eastAsia="zh-CN"/>
        </w:rPr>
        <w:t xml:space="preserve">  胡杨 </w:t>
      </w:r>
    </w:p>
    <w:p w14:paraId="34173303">
      <w:pPr>
        <w:spacing w:line="360" w:lineRule="auto"/>
        <w:rPr>
          <w:rFonts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108"/>
          <w:sz w:val="32"/>
          <w:szCs w:val="32"/>
          <w:highlight w:val="none"/>
          <w:u w:color="000000"/>
          <w:lang w:eastAsia="zh-CN"/>
        </w:rPr>
        <w:t>联系电</w:t>
      </w:r>
      <w:r>
        <w:rPr>
          <w:rFonts w:hint="eastAsia" w:ascii="仿宋" w:hAnsi="仿宋" w:eastAsia="仿宋" w:cs="仿宋"/>
          <w:b/>
          <w:color w:val="auto"/>
          <w:sz w:val="32"/>
          <w:szCs w:val="32"/>
          <w:highlight w:val="none"/>
          <w:u w:color="000000"/>
          <w:lang w:eastAsia="zh-CN"/>
        </w:rPr>
        <w:t>话：</w:t>
      </w:r>
      <w:r>
        <w:rPr>
          <w:rFonts w:hint="eastAsia" w:ascii="仿宋" w:hAnsi="仿宋" w:eastAsia="仿宋" w:cs="仿宋"/>
          <w:color w:val="auto"/>
          <w:sz w:val="32"/>
          <w:szCs w:val="32"/>
          <w:highlight w:val="none"/>
          <w:u w:val="single"/>
          <w:lang w:eastAsia="zh-CN"/>
        </w:rPr>
        <w:t xml:space="preserve">  13999590969</w:t>
      </w:r>
    </w:p>
    <w:p w14:paraId="2B49ABDD">
      <w:pPr>
        <w:rPr>
          <w:rFonts w:ascii="仿宋" w:hAnsi="仿宋" w:eastAsia="仿宋" w:cs="仿宋"/>
          <w:color w:val="auto"/>
          <w:highlight w:val="none"/>
          <w:lang w:eastAsia="zh-CN"/>
        </w:rPr>
      </w:pPr>
      <w:r>
        <w:rPr>
          <w:rFonts w:hint="eastAsia" w:ascii="仿宋" w:hAnsi="仿宋" w:eastAsia="仿宋" w:cs="仿宋"/>
          <w:b/>
          <w:color w:val="auto"/>
          <w:spacing w:val="64"/>
          <w:sz w:val="32"/>
          <w:szCs w:val="32"/>
          <w:highlight w:val="none"/>
          <w:u w:color="000000"/>
          <w:lang w:eastAsia="zh-CN"/>
        </w:rPr>
        <w:t xml:space="preserve">日    </w:t>
      </w:r>
      <w:r>
        <w:rPr>
          <w:rFonts w:hint="eastAsia" w:ascii="仿宋" w:hAnsi="仿宋" w:eastAsia="仿宋" w:cs="仿宋"/>
          <w:b/>
          <w:color w:val="auto"/>
          <w:spacing w:val="4"/>
          <w:sz w:val="32"/>
          <w:szCs w:val="32"/>
          <w:highlight w:val="none"/>
          <w:u w:color="000000"/>
          <w:lang w:eastAsia="zh-CN"/>
        </w:rPr>
        <w:t>期</w:t>
      </w:r>
      <w:r>
        <w:rPr>
          <w:rFonts w:hint="eastAsia" w:ascii="仿宋" w:hAnsi="仿宋" w:eastAsia="仿宋" w:cs="仿宋"/>
          <w:b/>
          <w:color w:val="auto"/>
          <w:sz w:val="32"/>
          <w:szCs w:val="32"/>
          <w:highlight w:val="none"/>
          <w:u w:color="000000"/>
          <w:lang w:eastAsia="zh-CN"/>
        </w:rPr>
        <w:t>：</w:t>
      </w:r>
      <w:r>
        <w:rPr>
          <w:rFonts w:hint="eastAsia" w:ascii="仿宋" w:hAnsi="仿宋" w:eastAsia="仿宋" w:cs="仿宋"/>
          <w:color w:val="auto"/>
          <w:sz w:val="32"/>
          <w:szCs w:val="32"/>
          <w:highlight w:val="none"/>
          <w:u w:val="single"/>
          <w:lang w:eastAsia="zh-CN"/>
        </w:rPr>
        <w:t xml:space="preserve">  2025年06月 </w:t>
      </w:r>
    </w:p>
    <w:p w14:paraId="4092FB43">
      <w:pPr>
        <w:rPr>
          <w:rFonts w:ascii="仿宋" w:hAnsi="仿宋" w:eastAsia="仿宋" w:cs="仿宋"/>
          <w:color w:val="auto"/>
          <w:highlight w:val="none"/>
          <w:lang w:eastAsia="zh-CN"/>
        </w:rPr>
        <w:sectPr>
          <w:headerReference r:id="rId3" w:type="default"/>
          <w:footerReference r:id="rId4" w:type="default"/>
          <w:pgSz w:w="11906" w:h="16839"/>
          <w:pgMar w:top="1560" w:right="1416" w:bottom="0" w:left="1843" w:header="1134" w:footer="0" w:gutter="0"/>
          <w:pgNumType w:fmt="numberInDash"/>
          <w:cols w:space="720" w:num="1"/>
        </w:sectPr>
      </w:pPr>
    </w:p>
    <w:p w14:paraId="3826AAE6">
      <w:pPr>
        <w:spacing w:line="273" w:lineRule="auto"/>
        <w:rPr>
          <w:rFonts w:ascii="仿宋" w:hAnsi="仿宋" w:eastAsia="仿宋" w:cs="仿宋"/>
          <w:color w:val="auto"/>
          <w:highlight w:val="none"/>
          <w:lang w:eastAsia="zh-CN"/>
        </w:rPr>
      </w:pPr>
    </w:p>
    <w:sdt>
      <w:sdtPr>
        <w:rPr>
          <w:rFonts w:hint="eastAsia" w:ascii="仿宋" w:hAnsi="仿宋" w:eastAsia="仿宋" w:cs="仿宋"/>
          <w:b w:val="0"/>
          <w:bCs w:val="0"/>
          <w:snapToGrid w:val="0"/>
          <w:color w:val="auto"/>
          <w:sz w:val="21"/>
          <w:szCs w:val="21"/>
          <w:highlight w:val="none"/>
          <w:lang w:val="zh-CN" w:eastAsia="en-US"/>
        </w:rPr>
        <w:id w:val="30625065"/>
        <w:docPartObj>
          <w:docPartGallery w:val="Table of Contents"/>
          <w:docPartUnique/>
        </w:docPartObj>
      </w:sdtPr>
      <w:sdtEndPr>
        <w:rPr>
          <w:rFonts w:hint="eastAsia" w:ascii="仿宋" w:hAnsi="仿宋" w:eastAsia="仿宋" w:cs="仿宋"/>
          <w:b w:val="0"/>
          <w:bCs w:val="0"/>
          <w:snapToGrid w:val="0"/>
          <w:color w:val="auto"/>
          <w:sz w:val="24"/>
          <w:szCs w:val="24"/>
          <w:highlight w:val="none"/>
          <w:lang w:val="en-US" w:eastAsia="en-US"/>
        </w:rPr>
      </w:sdtEndPr>
      <w:sdtContent>
        <w:p w14:paraId="158DC9FB">
          <w:pPr>
            <w:pStyle w:val="32"/>
            <w:jc w:val="center"/>
            <w:rPr>
              <w:rFonts w:ascii="仿宋" w:hAnsi="仿宋" w:eastAsia="仿宋" w:cs="仿宋"/>
              <w:color w:val="auto"/>
              <w:highlight w:val="none"/>
            </w:rPr>
          </w:pPr>
          <w:r>
            <w:rPr>
              <w:rFonts w:hint="eastAsia" w:ascii="仿宋" w:hAnsi="仿宋" w:eastAsia="仿宋" w:cs="仿宋"/>
              <w:color w:val="auto"/>
              <w:highlight w:val="none"/>
              <w:lang w:val="zh-CN"/>
            </w:rPr>
            <w:t>目录</w:t>
          </w:r>
        </w:p>
        <w:p w14:paraId="3C24CD91">
          <w:pPr>
            <w:pStyle w:val="16"/>
            <w:tabs>
              <w:tab w:val="right" w:leader="dot" w:pos="9355"/>
            </w:tabs>
            <w:spacing w:line="360" w:lineRule="auto"/>
            <w:rPr>
              <w:rFonts w:ascii="仿宋" w:hAnsi="仿宋" w:eastAsia="仿宋" w:cs="仿宋"/>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TOC \o "1-3" \h \z \u </w:instrText>
          </w:r>
          <w:r>
            <w:rPr>
              <w:rFonts w:hint="eastAsia" w:ascii="仿宋" w:hAnsi="仿宋" w:eastAsia="仿宋" w:cs="仿宋"/>
              <w:color w:val="auto"/>
              <w:highlight w:val="none"/>
              <w:lang w:eastAsia="zh-CN"/>
            </w:rPr>
            <w:fldChar w:fldCharType="separate"/>
          </w:r>
          <w:r>
            <w:rPr>
              <w:color w:val="auto"/>
              <w:highlight w:val="none"/>
            </w:rPr>
            <w:fldChar w:fldCharType="begin"/>
          </w:r>
          <w:r>
            <w:rPr>
              <w:color w:val="auto"/>
              <w:highlight w:val="none"/>
            </w:rPr>
            <w:instrText xml:space="preserve"> HYPERLINK \l "_Toc32299" </w:instrText>
          </w:r>
          <w:r>
            <w:rPr>
              <w:color w:val="auto"/>
              <w:highlight w:val="none"/>
            </w:rPr>
            <w:fldChar w:fldCharType="separate"/>
          </w:r>
          <w:r>
            <w:rPr>
              <w:rFonts w:hint="eastAsia" w:ascii="仿宋" w:hAnsi="仿宋" w:eastAsia="仿宋" w:cs="仿宋"/>
              <w:bCs/>
              <w:color w:val="auto"/>
              <w:spacing w:val="4"/>
              <w:szCs w:val="30"/>
              <w:highlight w:val="none"/>
              <w:lang w:eastAsia="zh-CN"/>
            </w:rPr>
            <w:t>第一章招标公告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_Toc32299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EA20989">
          <w:pPr>
            <w:pStyle w:val="16"/>
            <w:tabs>
              <w:tab w:val="right" w:leader="dot" w:pos="9355"/>
            </w:tabs>
            <w:spacing w:line="360" w:lineRule="auto"/>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"_Toc15713" </w:instrText>
          </w:r>
          <w:r>
            <w:rPr>
              <w:color w:val="auto"/>
              <w:highlight w:val="none"/>
            </w:rPr>
            <w:fldChar w:fldCharType="separate"/>
          </w:r>
          <w:r>
            <w:rPr>
              <w:rFonts w:hint="eastAsia" w:ascii="仿宋" w:hAnsi="仿宋" w:eastAsia="仿宋" w:cs="仿宋"/>
              <w:bCs/>
              <w:color w:val="auto"/>
              <w:spacing w:val="4"/>
              <w:szCs w:val="30"/>
              <w:highlight w:val="none"/>
              <w:lang w:eastAsia="zh-CN"/>
            </w:rPr>
            <w:t>第二章投标人须知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_Toc15713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A4849B0">
          <w:pPr>
            <w:pStyle w:val="18"/>
            <w:tabs>
              <w:tab w:val="right" w:leader="dot" w:pos="9355"/>
            </w:tabs>
            <w:spacing w:line="360" w:lineRule="auto"/>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"_Toc23488" </w:instrText>
          </w:r>
          <w:r>
            <w:rPr>
              <w:color w:val="auto"/>
              <w:highlight w:val="none"/>
            </w:rPr>
            <w:fldChar w:fldCharType="separate"/>
          </w:r>
          <w:r>
            <w:rPr>
              <w:rFonts w:hint="eastAsia" w:ascii="仿宋" w:hAnsi="仿宋" w:eastAsia="仿宋" w:cs="仿宋"/>
              <w:bCs/>
              <w:color w:val="auto"/>
              <w:spacing w:val="6"/>
              <w:szCs w:val="28"/>
              <w:highlight w:val="none"/>
              <w:lang w:eastAsia="zh-CN"/>
            </w:rPr>
            <w:t>一、投标人须知前附表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_Toc23488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B27142B">
          <w:pPr>
            <w:pStyle w:val="18"/>
            <w:tabs>
              <w:tab w:val="right" w:leader="dot" w:pos="9355"/>
            </w:tabs>
            <w:spacing w:line="360" w:lineRule="auto"/>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"_Toc25808" </w:instrText>
          </w:r>
          <w:r>
            <w:rPr>
              <w:color w:val="auto"/>
              <w:highlight w:val="none"/>
            </w:rPr>
            <w:fldChar w:fldCharType="separate"/>
          </w:r>
          <w:r>
            <w:rPr>
              <w:rFonts w:hint="eastAsia" w:ascii="仿宋" w:hAnsi="仿宋" w:eastAsia="仿宋" w:cs="仿宋"/>
              <w:bCs/>
              <w:color w:val="auto"/>
              <w:spacing w:val="5"/>
              <w:szCs w:val="24"/>
              <w:highlight w:val="none"/>
              <w:lang w:eastAsia="zh-CN"/>
            </w:rPr>
            <w:t>二、投标人须知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_Toc25808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8E45829">
          <w:pPr>
            <w:pStyle w:val="16"/>
            <w:tabs>
              <w:tab w:val="right" w:leader="dot" w:pos="9355"/>
            </w:tabs>
            <w:spacing w:line="360" w:lineRule="auto"/>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"_Toc3777" </w:instrText>
          </w:r>
          <w:r>
            <w:rPr>
              <w:color w:val="auto"/>
              <w:highlight w:val="none"/>
            </w:rPr>
            <w:fldChar w:fldCharType="separate"/>
          </w:r>
          <w:r>
            <w:rPr>
              <w:rFonts w:hint="eastAsia" w:ascii="仿宋" w:hAnsi="仿宋" w:eastAsia="仿宋" w:cs="仿宋"/>
              <w:bCs/>
              <w:color w:val="auto"/>
              <w:spacing w:val="4"/>
              <w:szCs w:val="30"/>
              <w:highlight w:val="none"/>
              <w:lang w:eastAsia="zh-CN"/>
            </w:rPr>
            <w:t>第三章采购需求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_Toc3777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ABDC336">
          <w:pPr>
            <w:pStyle w:val="16"/>
            <w:tabs>
              <w:tab w:val="right" w:leader="dot" w:pos="9355"/>
            </w:tabs>
            <w:spacing w:line="360" w:lineRule="auto"/>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"_Toc28055" </w:instrText>
          </w:r>
          <w:r>
            <w:rPr>
              <w:color w:val="auto"/>
              <w:highlight w:val="none"/>
            </w:rPr>
            <w:fldChar w:fldCharType="separate"/>
          </w:r>
          <w:r>
            <w:rPr>
              <w:rFonts w:hint="eastAsia" w:ascii="仿宋" w:hAnsi="仿宋" w:eastAsia="仿宋" w:cs="仿宋"/>
              <w:bCs/>
              <w:color w:val="auto"/>
              <w:spacing w:val="4"/>
              <w:szCs w:val="30"/>
              <w:highlight w:val="none"/>
              <w:lang w:eastAsia="zh-CN"/>
            </w:rPr>
            <w:t>第四章资格审查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_Toc28055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24833E2">
          <w:pPr>
            <w:pStyle w:val="18"/>
            <w:tabs>
              <w:tab w:val="right" w:leader="dot" w:pos="9355"/>
            </w:tabs>
            <w:spacing w:line="360" w:lineRule="auto"/>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"_Toc18738" </w:instrText>
          </w:r>
          <w:r>
            <w:rPr>
              <w:color w:val="auto"/>
              <w:highlight w:val="none"/>
            </w:rPr>
            <w:fldChar w:fldCharType="separate"/>
          </w:r>
          <w:r>
            <w:rPr>
              <w:rFonts w:hint="eastAsia" w:ascii="仿宋" w:hAnsi="仿宋" w:eastAsia="仿宋" w:cs="仿宋"/>
              <w:bCs/>
              <w:color w:val="auto"/>
              <w:spacing w:val="5"/>
              <w:szCs w:val="24"/>
              <w:highlight w:val="none"/>
              <w:lang w:eastAsia="zh-CN"/>
            </w:rPr>
            <w:t>一、资格审查程序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_Toc18738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DB54A48">
          <w:pPr>
            <w:pStyle w:val="18"/>
            <w:tabs>
              <w:tab w:val="right" w:leader="dot" w:pos="9355"/>
            </w:tabs>
            <w:spacing w:line="360" w:lineRule="auto"/>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"_Toc13885" </w:instrText>
          </w:r>
          <w:r>
            <w:rPr>
              <w:color w:val="auto"/>
              <w:highlight w:val="none"/>
            </w:rPr>
            <w:fldChar w:fldCharType="separate"/>
          </w:r>
          <w:r>
            <w:rPr>
              <w:rFonts w:hint="eastAsia" w:ascii="仿宋" w:hAnsi="仿宋" w:eastAsia="仿宋" w:cs="仿宋"/>
              <w:bCs/>
              <w:color w:val="auto"/>
              <w:spacing w:val="5"/>
              <w:szCs w:val="24"/>
              <w:highlight w:val="none"/>
            </w:rPr>
            <w:t>二、资格审查要求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_Toc13885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C641529">
          <w:pPr>
            <w:pStyle w:val="16"/>
            <w:tabs>
              <w:tab w:val="right" w:leader="dot" w:pos="9355"/>
            </w:tabs>
            <w:spacing w:line="360" w:lineRule="auto"/>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"_Toc30458" </w:instrText>
          </w:r>
          <w:r>
            <w:rPr>
              <w:color w:val="auto"/>
              <w:highlight w:val="none"/>
            </w:rPr>
            <w:fldChar w:fldCharType="separate"/>
          </w:r>
          <w:r>
            <w:rPr>
              <w:rFonts w:hint="eastAsia" w:ascii="仿宋" w:hAnsi="仿宋" w:eastAsia="仿宋" w:cs="仿宋"/>
              <w:bCs/>
              <w:color w:val="auto"/>
              <w:spacing w:val="5"/>
              <w:szCs w:val="30"/>
              <w:highlight w:val="none"/>
              <w:lang w:eastAsia="zh-CN"/>
            </w:rPr>
            <w:t>第五章评标方法及标准(综合评分法)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_Toc30458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4E5D343">
          <w:pPr>
            <w:pStyle w:val="18"/>
            <w:tabs>
              <w:tab w:val="right" w:leader="dot" w:pos="9355"/>
            </w:tabs>
            <w:spacing w:line="360" w:lineRule="auto"/>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"_Toc18135" </w:instrText>
          </w:r>
          <w:r>
            <w:rPr>
              <w:color w:val="auto"/>
              <w:highlight w:val="none"/>
            </w:rPr>
            <w:fldChar w:fldCharType="separate"/>
          </w:r>
          <w:r>
            <w:rPr>
              <w:rFonts w:hint="eastAsia" w:ascii="仿宋" w:hAnsi="仿宋" w:eastAsia="仿宋" w:cs="仿宋"/>
              <w:bCs/>
              <w:color w:val="auto"/>
              <w:spacing w:val="4"/>
              <w:szCs w:val="24"/>
              <w:highlight w:val="none"/>
              <w:lang w:eastAsia="zh-CN"/>
            </w:rPr>
            <w:t>一、评标方法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_Toc18135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- 90 -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FAD9A63">
          <w:pPr>
            <w:pStyle w:val="18"/>
            <w:tabs>
              <w:tab w:val="right" w:leader="dot" w:pos="9355"/>
            </w:tabs>
            <w:spacing w:line="360" w:lineRule="auto"/>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"_Toc25589" </w:instrText>
          </w:r>
          <w:r>
            <w:rPr>
              <w:color w:val="auto"/>
              <w:highlight w:val="none"/>
            </w:rPr>
            <w:fldChar w:fldCharType="separate"/>
          </w:r>
          <w:r>
            <w:rPr>
              <w:rFonts w:hint="eastAsia" w:ascii="仿宋" w:hAnsi="仿宋" w:eastAsia="仿宋" w:cs="仿宋"/>
              <w:bCs/>
              <w:color w:val="auto"/>
              <w:spacing w:val="4"/>
              <w:szCs w:val="24"/>
              <w:highlight w:val="none"/>
              <w:lang w:eastAsia="zh-CN"/>
            </w:rPr>
            <w:t>二、评标程序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_Toc25589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- 90 -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D504C70">
          <w:pPr>
            <w:pStyle w:val="18"/>
            <w:tabs>
              <w:tab w:val="right" w:leader="dot" w:pos="9355"/>
            </w:tabs>
            <w:spacing w:line="360" w:lineRule="auto"/>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"_Toc6075" </w:instrText>
          </w:r>
          <w:r>
            <w:rPr>
              <w:color w:val="auto"/>
              <w:highlight w:val="none"/>
            </w:rPr>
            <w:fldChar w:fldCharType="separate"/>
          </w:r>
          <w:r>
            <w:rPr>
              <w:rFonts w:hint="eastAsia" w:ascii="仿宋" w:hAnsi="仿宋" w:eastAsia="仿宋" w:cs="仿宋"/>
              <w:bCs/>
              <w:color w:val="auto"/>
              <w:spacing w:val="6"/>
              <w:szCs w:val="24"/>
              <w:highlight w:val="none"/>
              <w:lang w:eastAsia="zh-CN"/>
            </w:rPr>
            <w:t>三、评标其他要求：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_Toc6075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BE4C64D">
          <w:pPr>
            <w:pStyle w:val="18"/>
            <w:tabs>
              <w:tab w:val="right" w:leader="dot" w:pos="9355"/>
            </w:tabs>
            <w:spacing w:line="360" w:lineRule="auto"/>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"_Toc31859" </w:instrText>
          </w:r>
          <w:r>
            <w:rPr>
              <w:color w:val="auto"/>
              <w:highlight w:val="none"/>
            </w:rPr>
            <w:fldChar w:fldCharType="separate"/>
          </w:r>
          <w:r>
            <w:rPr>
              <w:rFonts w:hint="eastAsia" w:ascii="仿宋" w:hAnsi="仿宋" w:eastAsia="仿宋" w:cs="仿宋"/>
              <w:bCs/>
              <w:color w:val="auto"/>
              <w:szCs w:val="24"/>
              <w:highlight w:val="none"/>
              <w:lang w:eastAsia="zh-CN"/>
            </w:rPr>
            <w:t>四、评标标准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_Toc31859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A15B4DC">
          <w:pPr>
            <w:pStyle w:val="16"/>
            <w:tabs>
              <w:tab w:val="right" w:leader="dot" w:pos="9355"/>
            </w:tabs>
            <w:spacing w:line="360" w:lineRule="auto"/>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"_Toc13607" </w:instrText>
          </w:r>
          <w:r>
            <w:rPr>
              <w:color w:val="auto"/>
              <w:highlight w:val="none"/>
            </w:rPr>
            <w:fldChar w:fldCharType="separate"/>
          </w:r>
          <w:r>
            <w:rPr>
              <w:rFonts w:hint="eastAsia" w:ascii="仿宋" w:hAnsi="仿宋" w:eastAsia="仿宋" w:cs="仿宋"/>
              <w:bCs/>
              <w:color w:val="auto"/>
              <w:spacing w:val="4"/>
              <w:szCs w:val="28"/>
              <w:highlight w:val="none"/>
              <w:lang w:eastAsia="zh-CN"/>
            </w:rPr>
            <w:t>第六章合同草案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_Toc13607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FCA2386">
          <w:pPr>
            <w:pStyle w:val="16"/>
            <w:tabs>
              <w:tab w:val="right" w:leader="dot" w:pos="9355"/>
            </w:tabs>
            <w:spacing w:line="360" w:lineRule="auto"/>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"_Toc22784" </w:instrText>
          </w:r>
          <w:r>
            <w:rPr>
              <w:color w:val="auto"/>
              <w:highlight w:val="none"/>
            </w:rPr>
            <w:fldChar w:fldCharType="separate"/>
          </w:r>
          <w:r>
            <w:rPr>
              <w:rFonts w:hint="eastAsia" w:ascii="仿宋" w:hAnsi="仿宋" w:eastAsia="仿宋" w:cs="仿宋"/>
              <w:bCs/>
              <w:color w:val="auto"/>
              <w:spacing w:val="4"/>
              <w:szCs w:val="30"/>
              <w:highlight w:val="none"/>
              <w:lang w:eastAsia="zh-CN"/>
            </w:rPr>
            <w:t>第七章投标文件格式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_Toc22784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- 116 -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3DCE289">
          <w:pPr>
            <w:spacing w:line="360" w:lineRule="auto"/>
            <w:rPr>
              <w:rFonts w:ascii="仿宋" w:hAnsi="仿宋" w:eastAsia="仿宋" w:cs="仿宋"/>
              <w:color w:val="auto"/>
              <w:sz w:val="24"/>
              <w:szCs w:val="24"/>
              <w:highlight w:val="none"/>
              <w:lang w:eastAsia="zh-CN"/>
            </w:rPr>
          </w:pPr>
          <w:r>
            <w:rPr>
              <w:rFonts w:hint="eastAsia" w:ascii="仿宋" w:hAnsi="仿宋" w:eastAsia="仿宋" w:cs="仿宋"/>
              <w:color w:val="auto"/>
              <w:highlight w:val="none"/>
              <w:lang w:eastAsia="zh-CN"/>
            </w:rPr>
            <w:fldChar w:fldCharType="end"/>
          </w:r>
        </w:p>
      </w:sdtContent>
    </w:sdt>
    <w:p w14:paraId="7EA7A8B7">
      <w:pPr>
        <w:pStyle w:val="9"/>
        <w:pageBreakBefore/>
        <w:widowControl w:val="0"/>
        <w:spacing w:before="140" w:after="240" w:line="226" w:lineRule="auto"/>
        <w:ind w:left="2625"/>
        <w:outlineLvl w:val="0"/>
        <w:rPr>
          <w:rFonts w:ascii="仿宋" w:hAnsi="仿宋" w:eastAsia="仿宋" w:cs="仿宋"/>
          <w:b/>
          <w:bCs/>
          <w:color w:val="auto"/>
          <w:spacing w:val="4"/>
          <w:sz w:val="30"/>
          <w:szCs w:val="30"/>
          <w:highlight w:val="none"/>
          <w:lang w:eastAsia="zh-CN"/>
        </w:rPr>
        <w:sectPr>
          <w:headerReference r:id="rId5" w:type="default"/>
          <w:footerReference r:id="rId6" w:type="default"/>
          <w:pgSz w:w="11906" w:h="16838"/>
          <w:pgMar w:top="1440" w:right="1133" w:bottom="1134" w:left="1418" w:header="851" w:footer="907" w:gutter="0"/>
          <w:pgNumType w:fmt="numberInDash" w:start="0"/>
          <w:cols w:space="720" w:num="1"/>
          <w:docGrid w:type="lines" w:linePitch="312" w:charSpace="0"/>
        </w:sectPr>
      </w:pPr>
      <w:bookmarkStart w:id="2" w:name="bookmark4"/>
      <w:bookmarkEnd w:id="2"/>
      <w:bookmarkStart w:id="3" w:name="bookmark2"/>
      <w:bookmarkEnd w:id="3"/>
      <w:bookmarkStart w:id="4" w:name="bookmark1"/>
      <w:bookmarkEnd w:id="4"/>
    </w:p>
    <w:p w14:paraId="7040A6F7">
      <w:pPr>
        <w:pStyle w:val="9"/>
        <w:pageBreakBefore/>
        <w:widowControl w:val="0"/>
        <w:spacing w:before="140" w:after="240" w:line="226" w:lineRule="auto"/>
        <w:jc w:val="center"/>
        <w:outlineLvl w:val="0"/>
        <w:rPr>
          <w:rFonts w:ascii="仿宋" w:hAnsi="仿宋" w:eastAsia="仿宋" w:cs="仿宋"/>
          <w:color w:val="auto"/>
          <w:sz w:val="30"/>
          <w:szCs w:val="30"/>
          <w:highlight w:val="none"/>
          <w:lang w:eastAsia="zh-CN"/>
        </w:rPr>
      </w:pPr>
      <w:bookmarkStart w:id="5" w:name="_Toc32299"/>
      <w:r>
        <w:rPr>
          <w:rFonts w:hint="eastAsia" w:ascii="仿宋" w:hAnsi="仿宋" w:eastAsia="仿宋" w:cs="仿宋"/>
          <w:b/>
          <w:bCs/>
          <w:color w:val="auto"/>
          <w:spacing w:val="4"/>
          <w:sz w:val="30"/>
          <w:szCs w:val="30"/>
          <w:highlight w:val="none"/>
          <w:lang w:eastAsia="zh-CN"/>
        </w:rPr>
        <w:t>第一章招标公告</w:t>
      </w:r>
      <w:bookmarkEnd w:id="5"/>
    </w:p>
    <w:p w14:paraId="3E17759C">
      <w:pPr>
        <w:pBdr>
          <w:top w:val="single" w:color="auto" w:sz="4" w:space="0"/>
          <w:left w:val="single" w:color="auto" w:sz="4" w:space="0"/>
          <w:bottom w:val="single" w:color="auto" w:sz="4" w:space="0"/>
          <w:right w:val="single" w:color="auto" w:sz="4" w:space="0"/>
        </w:pBdr>
        <w:spacing w:after="240"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项目概况</w:t>
      </w:r>
    </w:p>
    <w:p w14:paraId="2B869B08">
      <w:pPr>
        <w:pBdr>
          <w:top w:val="single" w:color="auto" w:sz="4" w:space="0"/>
          <w:left w:val="single" w:color="auto" w:sz="4" w:space="0"/>
          <w:bottom w:val="single" w:color="auto" w:sz="4" w:space="0"/>
          <w:right w:val="single" w:color="auto" w:sz="4" w:space="0"/>
        </w:pBdr>
        <w:spacing w:line="440" w:lineRule="exact"/>
        <w:ind w:firstLine="481"/>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u w:val="single"/>
          <w:shd w:val="clear" w:color="auto" w:fill="FFFFFF"/>
          <w:lang w:eastAsia="zh-CN"/>
        </w:rPr>
        <w:t>乌鲁木齐市第七十中学物理实验室建设项目</w:t>
      </w:r>
      <w:r>
        <w:rPr>
          <w:rFonts w:hint="eastAsia" w:ascii="仿宋" w:hAnsi="仿宋" w:eastAsia="仿宋" w:cs="仿宋"/>
          <w:color w:val="auto"/>
          <w:sz w:val="24"/>
          <w:highlight w:val="none"/>
          <w:shd w:val="clear" w:color="auto" w:fill="FFFFFF"/>
          <w:lang w:eastAsia="zh-CN"/>
        </w:rPr>
        <w:t>的潜在投标人应在</w:t>
      </w:r>
      <w:r>
        <w:rPr>
          <w:rFonts w:hint="eastAsia" w:ascii="仿宋" w:hAnsi="仿宋" w:eastAsia="仿宋" w:cs="仿宋"/>
          <w:color w:val="auto"/>
          <w:sz w:val="24"/>
          <w:highlight w:val="none"/>
          <w:u w:val="single"/>
          <w:shd w:val="clear" w:color="auto" w:fill="FFFFFF"/>
          <w:lang w:eastAsia="zh-CN"/>
        </w:rPr>
        <w:t>政采云平台线上获取</w:t>
      </w:r>
      <w:r>
        <w:rPr>
          <w:rFonts w:hint="eastAsia" w:ascii="仿宋" w:hAnsi="仿宋" w:eastAsia="仿宋" w:cs="仿宋"/>
          <w:color w:val="auto"/>
          <w:sz w:val="24"/>
          <w:highlight w:val="none"/>
          <w:shd w:val="clear" w:color="auto" w:fill="FFFFFF"/>
          <w:lang w:eastAsia="zh-CN"/>
        </w:rPr>
        <w:t>招标文件，并于</w:t>
      </w:r>
      <w:r>
        <w:rPr>
          <w:rFonts w:hint="eastAsia" w:ascii="仿宋" w:hAnsi="仿宋" w:eastAsia="仿宋" w:cs="仿宋"/>
          <w:color w:val="auto"/>
          <w:sz w:val="24"/>
          <w:highlight w:val="none"/>
          <w:u w:val="single"/>
          <w:shd w:val="clear" w:color="auto" w:fill="FFFFFF"/>
          <w:lang w:eastAsia="zh-CN"/>
        </w:rPr>
        <w:t>2025年0</w:t>
      </w:r>
      <w:r>
        <w:rPr>
          <w:rFonts w:hint="eastAsia" w:ascii="仿宋" w:hAnsi="仿宋" w:eastAsia="仿宋" w:cs="仿宋"/>
          <w:color w:val="auto"/>
          <w:sz w:val="24"/>
          <w:highlight w:val="none"/>
          <w:u w:val="single"/>
          <w:shd w:val="clear" w:color="auto" w:fill="FFFFFF"/>
          <w:lang w:val="en-US" w:eastAsia="zh-CN"/>
        </w:rPr>
        <w:t>7</w:t>
      </w:r>
      <w:r>
        <w:rPr>
          <w:rFonts w:hint="eastAsia" w:ascii="仿宋" w:hAnsi="仿宋" w:eastAsia="仿宋" w:cs="仿宋"/>
          <w:color w:val="auto"/>
          <w:sz w:val="24"/>
          <w:highlight w:val="none"/>
          <w:u w:val="single"/>
          <w:shd w:val="clear" w:color="auto" w:fill="FFFFFF"/>
          <w:lang w:eastAsia="zh-CN"/>
        </w:rPr>
        <w:t>月</w:t>
      </w:r>
      <w:r>
        <w:rPr>
          <w:rFonts w:hint="eastAsia" w:ascii="仿宋" w:hAnsi="仿宋" w:eastAsia="仿宋" w:cs="仿宋"/>
          <w:color w:val="auto"/>
          <w:sz w:val="24"/>
          <w:highlight w:val="none"/>
          <w:u w:val="single"/>
          <w:shd w:val="clear" w:color="auto" w:fill="FFFFFF"/>
          <w:lang w:val="en-US" w:eastAsia="zh-CN"/>
        </w:rPr>
        <w:t>14</w:t>
      </w:r>
      <w:r>
        <w:rPr>
          <w:rFonts w:hint="eastAsia" w:ascii="仿宋" w:hAnsi="仿宋" w:eastAsia="仿宋" w:cs="仿宋"/>
          <w:color w:val="auto"/>
          <w:sz w:val="24"/>
          <w:highlight w:val="none"/>
          <w:u w:val="single"/>
          <w:shd w:val="clear" w:color="auto" w:fill="FFFFFF"/>
          <w:lang w:eastAsia="zh-CN"/>
        </w:rPr>
        <w:t>日 11:00（北京时间）</w:t>
      </w:r>
      <w:r>
        <w:rPr>
          <w:rFonts w:hint="eastAsia" w:ascii="仿宋" w:hAnsi="仿宋" w:eastAsia="仿宋" w:cs="仿宋"/>
          <w:color w:val="auto"/>
          <w:sz w:val="24"/>
          <w:highlight w:val="none"/>
          <w:shd w:val="clear" w:color="auto" w:fill="FFFFFF"/>
          <w:lang w:eastAsia="zh-CN"/>
        </w:rPr>
        <w:t>前递交投标文件。</w:t>
      </w:r>
    </w:p>
    <w:p w14:paraId="7EA8CCC8">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一、项目基本情况</w:t>
      </w:r>
    </w:p>
    <w:p w14:paraId="5BC9B704">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项目编号：XJXCT2025-ZB-077</w:t>
      </w:r>
    </w:p>
    <w:p w14:paraId="4EC15C9A">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项目名称：乌鲁木齐市第七十中学物理实验室建设项目</w:t>
      </w:r>
    </w:p>
    <w:p w14:paraId="6CE8B666">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采购方式：公开招标</w:t>
      </w:r>
    </w:p>
    <w:p w14:paraId="1BB71F38">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预算金额（元）：677327.64</w:t>
      </w:r>
    </w:p>
    <w:p w14:paraId="6A989EC7">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最高限价（元）：677327.64</w:t>
      </w:r>
    </w:p>
    <w:p w14:paraId="33C60CA5">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采购需求：</w:t>
      </w:r>
    </w:p>
    <w:p w14:paraId="136AABBC">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标项名称: 乌鲁木齐市第七十中学物理实验室建设项目</w:t>
      </w:r>
    </w:p>
    <w:p w14:paraId="3F99583C">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 xml:space="preserve">数量：1   </w:t>
      </w:r>
    </w:p>
    <w:p w14:paraId="4B64C457">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预算金额（元）: 677327.64</w:t>
      </w:r>
    </w:p>
    <w:p w14:paraId="0A193C4B">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单位：批</w:t>
      </w:r>
    </w:p>
    <w:p w14:paraId="747FA901">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简要规格描述或项目基本概况介绍、用途：物理实验室建设项目主要采购内容实验桌(教师演示台)1台、实验桌(学生)28张、升降电源14套、高清录播主机1台；物理力学实验室：交互式书写屏、实验桌(教师演示台)1台、实验桌(学生)28张、升降电源14套；新课标配套实验仪器传感器等内容，具体内容详见招标文件。</w:t>
      </w:r>
    </w:p>
    <w:p w14:paraId="6C07C0F4">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备注：</w:t>
      </w:r>
    </w:p>
    <w:p w14:paraId="6F61F993">
      <w:pPr>
        <w:spacing w:line="440" w:lineRule="exact"/>
        <w:ind w:left="479" w:leftChars="228"/>
        <w:rPr>
          <w:rFonts w:ascii="仿宋" w:hAnsi="仿宋" w:eastAsia="仿宋" w:cs="仿宋"/>
          <w:color w:val="auto"/>
          <w:sz w:val="24"/>
          <w:highlight w:val="none"/>
          <w:shd w:val="clear" w:color="auto" w:fill="FFFFFF"/>
          <w:lang w:eastAsia="zh-CN"/>
        </w:rPr>
      </w:pPr>
      <w:bookmarkStart w:id="6" w:name="OLE_LINK2"/>
      <w:bookmarkStart w:id="7" w:name="OLE_LINK1"/>
      <w:r>
        <w:rPr>
          <w:rFonts w:hint="eastAsia" w:ascii="仿宋" w:hAnsi="仿宋" w:eastAsia="仿宋" w:cs="仿宋"/>
          <w:color w:val="auto"/>
          <w:sz w:val="24"/>
          <w:highlight w:val="none"/>
          <w:shd w:val="clear" w:color="auto" w:fill="FFFFFF"/>
          <w:lang w:eastAsia="zh-CN"/>
        </w:rPr>
        <w:t>合同履约期限：签订合同后，30日内完成安装调试及验收工作。</w:t>
      </w:r>
      <w:bookmarkEnd w:id="6"/>
      <w:bookmarkEnd w:id="7"/>
    </w:p>
    <w:p w14:paraId="4F48690A">
      <w:pPr>
        <w:spacing w:line="440" w:lineRule="exact"/>
        <w:ind w:left="479" w:leftChars="228"/>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本项目（否）接受联合体投标。</w:t>
      </w:r>
    </w:p>
    <w:p w14:paraId="6A7B4A26">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二、申请人的资格要求：</w:t>
      </w:r>
    </w:p>
    <w:p w14:paraId="477E94E8">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1.满足《中华人民共和国政府采购法》第二十二条规定；</w:t>
      </w:r>
    </w:p>
    <w:p w14:paraId="1D3EF906">
      <w:pPr>
        <w:tabs>
          <w:tab w:val="left" w:pos="312"/>
        </w:tabs>
        <w:spacing w:line="440" w:lineRule="exact"/>
        <w:ind w:left="48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2.落实政府采购政策需满足的资格要求:</w:t>
      </w:r>
      <w:bookmarkStart w:id="8" w:name="OLE_LINK23"/>
      <w:bookmarkStart w:id="9" w:name="OLE_LINK24"/>
      <w:r>
        <w:rPr>
          <w:rFonts w:hint="eastAsia" w:ascii="仿宋" w:hAnsi="仿宋" w:eastAsia="仿宋" w:cs="仿宋"/>
          <w:color w:val="auto"/>
          <w:sz w:val="24"/>
          <w:highlight w:val="none"/>
          <w:shd w:val="clear" w:color="auto" w:fill="FFFFFF"/>
          <w:lang w:eastAsia="zh-CN"/>
        </w:rPr>
        <w:t>本项目专门面向中小企业采购</w:t>
      </w:r>
      <w:bookmarkEnd w:id="8"/>
      <w:bookmarkEnd w:id="9"/>
      <w:bookmarkStart w:id="10" w:name="OLE_LINK55"/>
      <w:bookmarkStart w:id="11" w:name="OLE_LINK54"/>
    </w:p>
    <w:p w14:paraId="27B2237F">
      <w:pPr>
        <w:tabs>
          <w:tab w:val="left" w:pos="312"/>
        </w:tabs>
        <w:spacing w:line="440" w:lineRule="exact"/>
        <w:ind w:left="48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3.本项目的特定资格要求：无</w:t>
      </w:r>
    </w:p>
    <w:bookmarkEnd w:id="10"/>
    <w:bookmarkEnd w:id="11"/>
    <w:p w14:paraId="4F8E4285">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三、获取招标文件</w:t>
      </w:r>
    </w:p>
    <w:p w14:paraId="3345D8EE">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时间：2025年06月04日至2025年06月16日，每天上午00:00至12:00，下午12:00至23:59（北京时间，法定节假日除外）</w:t>
      </w:r>
    </w:p>
    <w:p w14:paraId="778440EC">
      <w:pPr>
        <w:spacing w:line="440" w:lineRule="exact"/>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地点：政采云平台线上</w:t>
      </w:r>
    </w:p>
    <w:p w14:paraId="568CE836">
      <w:pPr>
        <w:spacing w:line="440" w:lineRule="exact"/>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6459D6E">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售价（元）：0</w:t>
      </w:r>
      <w:r>
        <w:rPr>
          <w:rFonts w:hint="eastAsia" w:ascii="仿宋" w:hAnsi="仿宋" w:eastAsia="仿宋" w:cs="仿宋"/>
          <w:color w:val="auto"/>
          <w:sz w:val="24"/>
          <w:highlight w:val="none"/>
          <w:shd w:val="clear" w:color="auto" w:fill="FFFFFF"/>
          <w:lang w:eastAsia="zh-CN"/>
        </w:rPr>
        <w:tab/>
      </w:r>
    </w:p>
    <w:p w14:paraId="799F447F">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四、提交投标文件截止时间、开标时间和地点</w:t>
      </w:r>
    </w:p>
    <w:p w14:paraId="391400FB">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提交投标文件截止时间：2025年0</w:t>
      </w:r>
      <w:r>
        <w:rPr>
          <w:rFonts w:hint="eastAsia" w:ascii="仿宋" w:hAnsi="仿宋" w:eastAsia="仿宋" w:cs="仿宋"/>
          <w:color w:val="auto"/>
          <w:sz w:val="24"/>
          <w:highlight w:val="none"/>
          <w:shd w:val="clear" w:color="auto" w:fill="FFFFFF"/>
          <w:lang w:val="en-US" w:eastAsia="zh-CN"/>
        </w:rPr>
        <w:t>7</w:t>
      </w:r>
      <w:r>
        <w:rPr>
          <w:rFonts w:hint="eastAsia" w:ascii="仿宋" w:hAnsi="仿宋" w:eastAsia="仿宋" w:cs="仿宋"/>
          <w:color w:val="auto"/>
          <w:sz w:val="24"/>
          <w:highlight w:val="none"/>
          <w:shd w:val="clear" w:color="auto" w:fill="FFFFFF"/>
          <w:lang w:eastAsia="zh-CN"/>
        </w:rPr>
        <w:t>月</w:t>
      </w:r>
      <w:r>
        <w:rPr>
          <w:rFonts w:hint="eastAsia" w:ascii="仿宋" w:hAnsi="仿宋" w:eastAsia="仿宋" w:cs="仿宋"/>
          <w:color w:val="auto"/>
          <w:sz w:val="24"/>
          <w:highlight w:val="none"/>
          <w:shd w:val="clear" w:color="auto" w:fill="FFFFFF"/>
          <w:lang w:val="en-US" w:eastAsia="zh-CN"/>
        </w:rPr>
        <w:t>16</w:t>
      </w:r>
      <w:r>
        <w:rPr>
          <w:rFonts w:hint="eastAsia" w:ascii="仿宋" w:hAnsi="仿宋" w:eastAsia="仿宋" w:cs="仿宋"/>
          <w:color w:val="auto"/>
          <w:sz w:val="24"/>
          <w:highlight w:val="none"/>
          <w:shd w:val="clear" w:color="auto" w:fill="FFFFFF"/>
          <w:lang w:eastAsia="zh-CN"/>
        </w:rPr>
        <w:t>日 11:00（北京时间）</w:t>
      </w:r>
    </w:p>
    <w:p w14:paraId="463CE46C">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投标地点：请登录政采云投标客户端投标</w:t>
      </w:r>
    </w:p>
    <w:p w14:paraId="48F131E1">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开标时间：2025年0</w:t>
      </w:r>
      <w:r>
        <w:rPr>
          <w:rFonts w:hint="eastAsia" w:ascii="仿宋" w:hAnsi="仿宋" w:eastAsia="仿宋" w:cs="仿宋"/>
          <w:color w:val="auto"/>
          <w:sz w:val="24"/>
          <w:highlight w:val="none"/>
          <w:shd w:val="clear" w:color="auto" w:fill="FFFFFF"/>
          <w:lang w:val="en-US" w:eastAsia="zh-CN"/>
        </w:rPr>
        <w:t>7</w:t>
      </w:r>
      <w:r>
        <w:rPr>
          <w:rFonts w:hint="eastAsia" w:ascii="仿宋" w:hAnsi="仿宋" w:eastAsia="仿宋" w:cs="仿宋"/>
          <w:color w:val="auto"/>
          <w:sz w:val="24"/>
          <w:highlight w:val="none"/>
          <w:shd w:val="clear" w:color="auto" w:fill="FFFFFF"/>
          <w:lang w:eastAsia="zh-CN"/>
        </w:rPr>
        <w:t>月</w:t>
      </w:r>
      <w:r>
        <w:rPr>
          <w:rFonts w:hint="eastAsia" w:ascii="仿宋" w:hAnsi="仿宋" w:eastAsia="仿宋" w:cs="仿宋"/>
          <w:color w:val="auto"/>
          <w:sz w:val="24"/>
          <w:highlight w:val="none"/>
          <w:shd w:val="clear" w:color="auto" w:fill="FFFFFF"/>
          <w:lang w:val="en-US" w:eastAsia="zh-CN"/>
        </w:rPr>
        <w:t>16</w:t>
      </w:r>
      <w:r>
        <w:rPr>
          <w:rFonts w:hint="eastAsia" w:ascii="仿宋" w:hAnsi="仿宋" w:eastAsia="仿宋" w:cs="仿宋"/>
          <w:color w:val="auto"/>
          <w:sz w:val="24"/>
          <w:highlight w:val="none"/>
          <w:shd w:val="clear" w:color="auto" w:fill="FFFFFF"/>
          <w:lang w:eastAsia="zh-CN"/>
        </w:rPr>
        <w:t>日 11:00（北京时间）</w:t>
      </w:r>
    </w:p>
    <w:p w14:paraId="32864CCA">
      <w:pPr>
        <w:spacing w:line="440" w:lineRule="exact"/>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开标地点：投标人登录政采云平台https://www.zcygov.cn/，进入“项目采购-开标评标-右边选择对应项目点击“进入项目”进入开标大厅。</w:t>
      </w:r>
    </w:p>
    <w:p w14:paraId="18DB2CCE">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五、公告期限</w:t>
      </w:r>
    </w:p>
    <w:p w14:paraId="5D0174EF">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自本公告发布之日起5个工作日。</w:t>
      </w:r>
    </w:p>
    <w:p w14:paraId="61914F56">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六、其他补充事宜</w:t>
      </w:r>
    </w:p>
    <w:p w14:paraId="46E9ECA1">
      <w:pPr>
        <w:spacing w:line="440" w:lineRule="exact"/>
        <w:ind w:left="479" w:leftChars="228"/>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1、本项目实行网上投标，采用电子投标文件。</w:t>
      </w:r>
      <w:r>
        <w:rPr>
          <w:rFonts w:hint="eastAsia" w:ascii="仿宋" w:hAnsi="仿宋" w:eastAsia="仿宋" w:cs="仿宋"/>
          <w:color w:val="auto"/>
          <w:sz w:val="24"/>
          <w:highlight w:val="none"/>
          <w:shd w:val="clear" w:color="auto" w:fill="FFFFFF"/>
          <w:lang w:eastAsia="zh-CN"/>
        </w:rPr>
        <w:br w:type="textWrapping"/>
      </w:r>
      <w:r>
        <w:rPr>
          <w:rFonts w:hint="eastAsia" w:ascii="仿宋" w:hAnsi="仿宋" w:eastAsia="仿宋" w:cs="仿宋"/>
          <w:color w:val="auto"/>
          <w:sz w:val="24"/>
          <w:highlight w:val="none"/>
          <w:shd w:val="clear" w:color="auto" w:fill="FFFFFF"/>
          <w:lang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r>
        <w:rPr>
          <w:rFonts w:hint="eastAsia" w:ascii="仿宋" w:hAnsi="仿宋" w:eastAsia="仿宋" w:cs="仿宋"/>
          <w:color w:val="auto"/>
          <w:sz w:val="24"/>
          <w:highlight w:val="none"/>
          <w:shd w:val="clear" w:color="auto" w:fill="FFFFFF"/>
          <w:lang w:eastAsia="zh-CN"/>
        </w:rPr>
        <w:br w:type="textWrapping"/>
      </w:r>
      <w:r>
        <w:rPr>
          <w:rFonts w:hint="eastAsia" w:ascii="仿宋" w:hAnsi="仿宋" w:eastAsia="仿宋" w:cs="仿宋"/>
          <w:color w:val="auto"/>
          <w:sz w:val="24"/>
          <w:highlight w:val="none"/>
          <w:shd w:val="clear" w:color="auto" w:fill="FFFFFF"/>
          <w:lang w:eastAsia="zh-CN"/>
        </w:rPr>
        <w:t>3、供应商将政采云电子交易客户端下载、安装完成后，可通过账号密码或CA登录客户端进行投标文件的制作。在使用政采云投标客户端时，建议使用WIN7及以上操作系统。</w:t>
      </w:r>
    </w:p>
    <w:p w14:paraId="7143F7F6">
      <w:pPr>
        <w:spacing w:line="440" w:lineRule="exact"/>
        <w:rPr>
          <w:rFonts w:ascii="仿宋" w:hAnsi="仿宋" w:eastAsia="仿宋" w:cs="仿宋"/>
          <w:b/>
          <w:bCs/>
          <w:color w:val="auto"/>
          <w:sz w:val="24"/>
          <w:highlight w:val="none"/>
          <w:shd w:val="clear" w:color="auto" w:fill="FFFFFF"/>
          <w:lang w:eastAsia="zh-CN"/>
        </w:rPr>
      </w:pPr>
      <w:r>
        <w:rPr>
          <w:rFonts w:hint="eastAsia" w:ascii="仿宋" w:hAnsi="仿宋" w:eastAsia="仿宋" w:cs="仿宋"/>
          <w:b/>
          <w:bCs/>
          <w:color w:val="auto"/>
          <w:sz w:val="24"/>
          <w:highlight w:val="none"/>
          <w:shd w:val="clear" w:color="auto" w:fill="FFFFFF"/>
          <w:lang w:eastAsia="zh-CN"/>
        </w:rPr>
        <w:t>特别提示：</w:t>
      </w:r>
    </w:p>
    <w:p w14:paraId="0A4DAB49">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1、采购限额标准以上，200万元以下的货物和服务采购项目、400万元以下的工程采购项目，适宜由中小企业提供的，采购人应当专门面向中小企业采购。</w:t>
      </w:r>
    </w:p>
    <w:p w14:paraId="79AC0996">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2、超过200万元的货物和服务采购项目，预留该部分采购项目预算总额的30%以上专门面向中小企业采购，其中预留给小微企业的比例不低于60%。</w:t>
      </w:r>
    </w:p>
    <w:p w14:paraId="353523C9">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3、超过400万元的工程采购项目中适宜由中小企业提供的，预留该部分采购项目预算总额的40%以上专门面向中小企业采购，其中预留给小微企业的比例不低于60%。</w:t>
      </w:r>
    </w:p>
    <w:p w14:paraId="4A06310D">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1B9C39E">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7305035">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七、对本次采购提出询问，请按以下方式联系</w:t>
      </w:r>
    </w:p>
    <w:p w14:paraId="393DEB5B">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1.采购人信息</w:t>
      </w:r>
    </w:p>
    <w:p w14:paraId="0103CF41">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名 称：乌鲁木齐市第七十中学校</w:t>
      </w:r>
    </w:p>
    <w:p w14:paraId="25357CB1">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地 址：乌鲁木齐市新市区南纬一路54号</w:t>
      </w:r>
    </w:p>
    <w:p w14:paraId="20DEEB8B">
      <w:pPr>
        <w:tabs>
          <w:tab w:val="left" w:pos="6208"/>
        </w:tabs>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联系方式：</w:t>
      </w:r>
      <w:bookmarkStart w:id="12" w:name="OLE_LINK107"/>
      <w:r>
        <w:rPr>
          <w:rFonts w:hint="eastAsia" w:ascii="仿宋" w:hAnsi="仿宋" w:eastAsia="仿宋" w:cs="仿宋"/>
          <w:color w:val="auto"/>
          <w:sz w:val="24"/>
          <w:highlight w:val="none"/>
          <w:shd w:val="clear" w:color="auto" w:fill="FFFFFF"/>
          <w:lang w:eastAsia="zh-CN"/>
        </w:rPr>
        <w:t>18999225391</w:t>
      </w:r>
      <w:bookmarkEnd w:id="12"/>
    </w:p>
    <w:p w14:paraId="57EE82D2">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2.采购代理机构信息</w:t>
      </w:r>
    </w:p>
    <w:p w14:paraId="0DE03F6D">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名 称：新疆新诚泰工程咨询有限公司</w:t>
      </w:r>
    </w:p>
    <w:p w14:paraId="3DE5DB88">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地 址：乌鲁木齐市水磨沟区鸿泰路66号万科大都会8号综合楼1003室</w:t>
      </w:r>
    </w:p>
    <w:p w14:paraId="6371AAB2">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联系方式：13999590969</w:t>
      </w:r>
    </w:p>
    <w:p w14:paraId="4009F5BC">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3.项目联系方式</w:t>
      </w:r>
    </w:p>
    <w:p w14:paraId="198E798A">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项目联系人：胡杨</w:t>
      </w:r>
    </w:p>
    <w:p w14:paraId="47C535BB">
      <w:pPr>
        <w:spacing w:line="440" w:lineRule="exact"/>
        <w:ind w:firstLine="480" w:firstLineChars="200"/>
        <w:rPr>
          <w:rFonts w:ascii="仿宋" w:hAnsi="仿宋" w:eastAsia="仿宋" w:cs="仿宋"/>
          <w:b/>
          <w:color w:val="auto"/>
          <w:highlight w:val="none"/>
          <w:lang w:eastAsia="zh-CN"/>
        </w:rPr>
      </w:pPr>
      <w:r>
        <w:rPr>
          <w:rFonts w:hint="eastAsia" w:ascii="仿宋" w:hAnsi="仿宋" w:eastAsia="仿宋" w:cs="仿宋"/>
          <w:color w:val="auto"/>
          <w:sz w:val="24"/>
          <w:highlight w:val="none"/>
          <w:shd w:val="clear" w:color="auto" w:fill="FFFFFF"/>
          <w:lang w:eastAsia="zh-CN"/>
        </w:rPr>
        <w:t>电 话：13999590969</w:t>
      </w:r>
    </w:p>
    <w:p w14:paraId="1586E79F">
      <w:pPr>
        <w:spacing w:line="360" w:lineRule="auto"/>
        <w:rPr>
          <w:rFonts w:ascii="仿宋" w:hAnsi="仿宋" w:eastAsia="仿宋" w:cs="仿宋"/>
          <w:color w:val="auto"/>
          <w:highlight w:val="none"/>
          <w:lang w:eastAsia="zh-CN"/>
        </w:rPr>
      </w:pPr>
    </w:p>
    <w:p w14:paraId="238D6B88">
      <w:pPr>
        <w:spacing w:line="226" w:lineRule="exact"/>
        <w:rPr>
          <w:rFonts w:ascii="仿宋" w:hAnsi="仿宋" w:eastAsia="仿宋" w:cs="仿宋"/>
          <w:color w:val="auto"/>
          <w:highlight w:val="none"/>
          <w:lang w:eastAsia="zh-CN"/>
        </w:rPr>
      </w:pPr>
    </w:p>
    <w:p w14:paraId="635FC084">
      <w:pPr>
        <w:pStyle w:val="9"/>
        <w:pageBreakBefore/>
        <w:spacing w:before="140" w:after="240" w:line="226" w:lineRule="auto"/>
        <w:jc w:val="center"/>
        <w:outlineLvl w:val="0"/>
        <w:rPr>
          <w:rFonts w:ascii="仿宋" w:hAnsi="仿宋" w:eastAsia="仿宋" w:cs="仿宋"/>
          <w:color w:val="auto"/>
          <w:sz w:val="30"/>
          <w:szCs w:val="30"/>
          <w:highlight w:val="none"/>
          <w:lang w:eastAsia="zh-CN"/>
        </w:rPr>
      </w:pPr>
      <w:bookmarkStart w:id="13" w:name="bookmark20"/>
      <w:bookmarkEnd w:id="13"/>
      <w:bookmarkStart w:id="14" w:name="bookmark18"/>
      <w:bookmarkEnd w:id="14"/>
      <w:bookmarkStart w:id="15" w:name="bookmark17"/>
      <w:bookmarkEnd w:id="15"/>
      <w:bookmarkStart w:id="16" w:name="bookmark3"/>
      <w:bookmarkEnd w:id="16"/>
      <w:bookmarkStart w:id="17" w:name="_Toc15713"/>
      <w:r>
        <w:rPr>
          <w:rFonts w:hint="eastAsia" w:ascii="仿宋" w:hAnsi="仿宋" w:eastAsia="仿宋" w:cs="仿宋"/>
          <w:b/>
          <w:bCs/>
          <w:color w:val="auto"/>
          <w:spacing w:val="4"/>
          <w:sz w:val="30"/>
          <w:szCs w:val="30"/>
          <w:highlight w:val="none"/>
          <w:lang w:eastAsia="zh-CN"/>
        </w:rPr>
        <w:t>第二章投标人须知</w:t>
      </w:r>
      <w:bookmarkEnd w:id="17"/>
    </w:p>
    <w:p w14:paraId="5B4C14B0">
      <w:pPr>
        <w:spacing w:before="101" w:after="240" w:line="224" w:lineRule="auto"/>
        <w:ind w:left="482"/>
        <w:jc w:val="center"/>
        <w:outlineLvl w:val="1"/>
        <w:rPr>
          <w:rFonts w:ascii="仿宋" w:hAnsi="仿宋" w:eastAsia="仿宋" w:cs="仿宋"/>
          <w:color w:val="auto"/>
          <w:sz w:val="28"/>
          <w:szCs w:val="28"/>
          <w:highlight w:val="none"/>
          <w:lang w:eastAsia="zh-CN"/>
        </w:rPr>
      </w:pPr>
      <w:bookmarkStart w:id="18" w:name="bookmark19"/>
      <w:bookmarkEnd w:id="18"/>
      <w:bookmarkStart w:id="19" w:name="_Toc23488"/>
      <w:r>
        <w:rPr>
          <w:rFonts w:hint="eastAsia" w:ascii="仿宋" w:hAnsi="仿宋" w:eastAsia="仿宋" w:cs="仿宋"/>
          <w:bCs/>
          <w:color w:val="auto"/>
          <w:spacing w:val="6"/>
          <w:sz w:val="28"/>
          <w:szCs w:val="28"/>
          <w:highlight w:val="none"/>
          <w:lang w:eastAsia="zh-CN"/>
        </w:rPr>
        <w:t>一、投标人须知前附表</w:t>
      </w:r>
      <w:bookmarkEnd w:id="19"/>
    </w:p>
    <w:tbl>
      <w:tblPr>
        <w:tblStyle w:val="20"/>
        <w:tblW w:w="9640"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51"/>
        <w:gridCol w:w="1701"/>
        <w:gridCol w:w="7088"/>
      </w:tblGrid>
      <w:tr w14:paraId="734BA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shd w:val="clear" w:color="auto" w:fill="D8D8D8"/>
            <w:vAlign w:val="center"/>
          </w:tcPr>
          <w:p w14:paraId="16A027D3">
            <w:pPr>
              <w:pStyle w:val="28"/>
              <w:spacing w:line="360" w:lineRule="auto"/>
              <w:ind w:left="-2" w:right="-90" w:rightChars="-43"/>
              <w:jc w:val="center"/>
              <w:rPr>
                <w:rFonts w:ascii="仿宋" w:hAnsi="仿宋" w:eastAsia="仿宋" w:cs="仿宋"/>
                <w:color w:val="auto"/>
                <w:sz w:val="21"/>
                <w:szCs w:val="21"/>
                <w:highlight w:val="none"/>
              </w:rPr>
            </w:pPr>
            <w:r>
              <w:rPr>
                <w:rFonts w:hint="eastAsia" w:ascii="仿宋" w:hAnsi="仿宋" w:eastAsia="仿宋" w:cs="仿宋"/>
                <w:b/>
                <w:bCs/>
                <w:color w:val="auto"/>
                <w:spacing w:val="-6"/>
                <w:sz w:val="21"/>
                <w:szCs w:val="21"/>
                <w:highlight w:val="none"/>
              </w:rPr>
              <w:t>条款号</w:t>
            </w:r>
          </w:p>
        </w:tc>
        <w:tc>
          <w:tcPr>
            <w:tcW w:w="1701" w:type="dxa"/>
            <w:shd w:val="clear" w:color="auto" w:fill="D8D8D8"/>
            <w:vAlign w:val="center"/>
          </w:tcPr>
          <w:p w14:paraId="6DBB3B4B">
            <w:pPr>
              <w:pStyle w:val="28"/>
              <w:spacing w:line="360"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5"/>
                <w:sz w:val="21"/>
                <w:szCs w:val="21"/>
                <w:highlight w:val="none"/>
              </w:rPr>
              <w:t>条款名称</w:t>
            </w:r>
          </w:p>
        </w:tc>
        <w:tc>
          <w:tcPr>
            <w:tcW w:w="7088" w:type="dxa"/>
            <w:shd w:val="clear" w:color="auto" w:fill="D8D8D8"/>
            <w:vAlign w:val="center"/>
          </w:tcPr>
          <w:p w14:paraId="7228958D">
            <w:pPr>
              <w:pStyle w:val="28"/>
              <w:spacing w:line="360"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22"/>
                <w:sz w:val="21"/>
                <w:szCs w:val="21"/>
                <w:highlight w:val="none"/>
              </w:rPr>
              <w:t>内容</w:t>
            </w:r>
          </w:p>
        </w:tc>
      </w:tr>
      <w:tr w14:paraId="69927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F5B579E">
            <w:pPr>
              <w:pStyle w:val="28"/>
              <w:spacing w:line="360" w:lineRule="auto"/>
              <w:jc w:val="center"/>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2.2</w:t>
            </w:r>
          </w:p>
        </w:tc>
        <w:tc>
          <w:tcPr>
            <w:tcW w:w="1701" w:type="dxa"/>
            <w:vAlign w:val="center"/>
          </w:tcPr>
          <w:p w14:paraId="6C788053">
            <w:pPr>
              <w:pStyle w:val="28"/>
              <w:spacing w:line="360" w:lineRule="auto"/>
              <w:jc w:val="center"/>
              <w:rPr>
                <w:rFonts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采购人</w:t>
            </w:r>
          </w:p>
        </w:tc>
        <w:tc>
          <w:tcPr>
            <w:tcW w:w="7088" w:type="dxa"/>
            <w:vAlign w:val="center"/>
          </w:tcPr>
          <w:p w14:paraId="0E4FF74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采购人：乌鲁木齐市第七十中学校　</w:t>
            </w:r>
          </w:p>
          <w:p w14:paraId="556AC40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联系人：胡主任    联系电话：18999225391</w:t>
            </w:r>
          </w:p>
        </w:tc>
      </w:tr>
      <w:tr w14:paraId="5E2A8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469A04C">
            <w:pPr>
              <w:pStyle w:val="28"/>
              <w:spacing w:line="360" w:lineRule="auto"/>
              <w:jc w:val="center"/>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2.3</w:t>
            </w:r>
          </w:p>
        </w:tc>
        <w:tc>
          <w:tcPr>
            <w:tcW w:w="1701" w:type="dxa"/>
            <w:vAlign w:val="center"/>
          </w:tcPr>
          <w:p w14:paraId="485FD352">
            <w:pPr>
              <w:pStyle w:val="28"/>
              <w:spacing w:line="360" w:lineRule="auto"/>
              <w:jc w:val="center"/>
              <w:rPr>
                <w:rFonts w:ascii="仿宋" w:hAnsi="仿宋" w:eastAsia="仿宋" w:cs="仿宋"/>
                <w:color w:val="auto"/>
                <w:spacing w:val="-4"/>
                <w:sz w:val="21"/>
                <w:szCs w:val="21"/>
                <w:highlight w:val="none"/>
                <w:lang w:eastAsia="zh-CN"/>
              </w:rPr>
            </w:pPr>
            <w:r>
              <w:rPr>
                <w:rFonts w:hint="eastAsia" w:ascii="仿宋" w:hAnsi="仿宋" w:eastAsia="仿宋" w:cs="仿宋"/>
                <w:color w:val="auto"/>
                <w:sz w:val="21"/>
                <w:szCs w:val="21"/>
                <w:highlight w:val="none"/>
                <w:lang w:eastAsia="zh-CN"/>
              </w:rPr>
              <w:t>采购代理机构</w:t>
            </w:r>
          </w:p>
        </w:tc>
        <w:tc>
          <w:tcPr>
            <w:tcW w:w="7088" w:type="dxa"/>
            <w:vAlign w:val="center"/>
          </w:tcPr>
          <w:p w14:paraId="70BF5FA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采购代理机构：新疆新诚泰工程咨询有限公司</w:t>
            </w:r>
          </w:p>
          <w:p w14:paraId="217BD7B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联系人：胡杨      联系电话：13999590969</w:t>
            </w:r>
          </w:p>
        </w:tc>
      </w:tr>
      <w:tr w14:paraId="0248C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B7CCCE2">
            <w:pPr>
              <w:pStyle w:val="28"/>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2.5</w:t>
            </w:r>
          </w:p>
        </w:tc>
        <w:tc>
          <w:tcPr>
            <w:tcW w:w="1701" w:type="dxa"/>
            <w:vAlign w:val="center"/>
          </w:tcPr>
          <w:p w14:paraId="0352B565">
            <w:pPr>
              <w:pStyle w:val="28"/>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核心产品</w:t>
            </w:r>
          </w:p>
        </w:tc>
        <w:tc>
          <w:tcPr>
            <w:tcW w:w="7088" w:type="dxa"/>
            <w:vAlign w:val="center"/>
          </w:tcPr>
          <w:p w14:paraId="16B450B7">
            <w:pPr>
              <w:pStyle w:val="28"/>
              <w:spacing w:line="360" w:lineRule="auto"/>
              <w:ind w:right="-15" w:rightChars="-7"/>
              <w:jc w:val="both"/>
              <w:rPr>
                <w:rFonts w:ascii="仿宋" w:hAnsi="仿宋" w:eastAsia="仿宋" w:cs="仿宋"/>
                <w:color w:val="auto"/>
                <w:sz w:val="21"/>
                <w:szCs w:val="21"/>
                <w:highlight w:val="none"/>
                <w:lang w:eastAsia="zh-CN"/>
              </w:rPr>
            </w:pPr>
            <w:r>
              <w:rPr>
                <w:rFonts w:hint="eastAsia" w:ascii="仿宋" w:hAnsi="仿宋" w:eastAsia="仿宋" w:cs="仿宋"/>
                <w:color w:val="auto"/>
                <w:spacing w:val="-1"/>
                <w:sz w:val="21"/>
                <w:szCs w:val="21"/>
                <w:highlight w:val="none"/>
                <w:lang w:eastAsia="zh-CN"/>
              </w:rPr>
              <w:t>☑本项目为非单一产品采购项目，</w:t>
            </w:r>
            <w:r>
              <w:rPr>
                <w:rFonts w:hint="eastAsia" w:ascii="仿宋" w:hAnsi="仿宋" w:eastAsia="仿宋" w:cs="仿宋"/>
                <w:color w:val="auto"/>
                <w:spacing w:val="-2"/>
                <w:sz w:val="21"/>
                <w:szCs w:val="21"/>
                <w:highlight w:val="none"/>
                <w:lang w:eastAsia="zh-CN"/>
              </w:rPr>
              <w:t>其中核心产品为：升降电源。</w:t>
            </w:r>
          </w:p>
        </w:tc>
      </w:tr>
      <w:tr w14:paraId="69160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652EDA9">
            <w:pPr>
              <w:pStyle w:val="28"/>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2.6</w:t>
            </w:r>
          </w:p>
        </w:tc>
        <w:tc>
          <w:tcPr>
            <w:tcW w:w="1701" w:type="dxa"/>
            <w:vAlign w:val="center"/>
          </w:tcPr>
          <w:p w14:paraId="3FF84EF1">
            <w:pPr>
              <w:pStyle w:val="28"/>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科研仪器设备</w:t>
            </w:r>
          </w:p>
        </w:tc>
        <w:tc>
          <w:tcPr>
            <w:tcW w:w="7088" w:type="dxa"/>
            <w:vAlign w:val="center"/>
          </w:tcPr>
          <w:p w14:paraId="670B710E">
            <w:pPr>
              <w:pStyle w:val="28"/>
              <w:spacing w:line="360" w:lineRule="auto"/>
              <w:jc w:val="both"/>
              <w:rPr>
                <w:rFonts w:ascii="仿宋" w:hAnsi="仿宋" w:eastAsia="仿宋" w:cs="仿宋"/>
                <w:color w:val="auto"/>
                <w:sz w:val="21"/>
                <w:szCs w:val="21"/>
                <w:highlight w:val="none"/>
                <w:lang w:eastAsia="zh-CN"/>
              </w:rPr>
            </w:pPr>
            <w:r>
              <w:rPr>
                <w:rFonts w:hint="eastAsia" w:ascii="仿宋" w:hAnsi="仿宋" w:eastAsia="仿宋" w:cs="仿宋"/>
                <w:color w:val="auto"/>
                <w:spacing w:val="-5"/>
                <w:sz w:val="21"/>
                <w:szCs w:val="21"/>
                <w:highlight w:val="none"/>
                <w:lang w:eastAsia="zh-CN"/>
              </w:rPr>
              <w:t>是否属于科研仪器设备采购项目：</w:t>
            </w:r>
            <w:r>
              <w:rPr>
                <w:rFonts w:hint="eastAsia" w:ascii="仿宋" w:hAnsi="仿宋" w:eastAsia="仿宋" w:cs="仿宋"/>
                <w:color w:val="auto"/>
                <w:spacing w:val="-17"/>
                <w:sz w:val="21"/>
                <w:szCs w:val="21"/>
                <w:highlight w:val="none"/>
                <w:lang w:eastAsia="zh-CN"/>
              </w:rPr>
              <w:t>否</w:t>
            </w:r>
          </w:p>
        </w:tc>
      </w:tr>
      <w:tr w14:paraId="0C214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D3B28F0">
            <w:pPr>
              <w:pStyle w:val="28"/>
              <w:spacing w:line="360" w:lineRule="auto"/>
              <w:jc w:val="center"/>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4</w:t>
            </w:r>
          </w:p>
        </w:tc>
        <w:tc>
          <w:tcPr>
            <w:tcW w:w="1701" w:type="dxa"/>
            <w:vAlign w:val="center"/>
          </w:tcPr>
          <w:p w14:paraId="455881A5">
            <w:pPr>
              <w:pStyle w:val="28"/>
              <w:spacing w:line="360" w:lineRule="auto"/>
              <w:jc w:val="center"/>
              <w:rPr>
                <w:rFonts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投标人资格要求</w:t>
            </w:r>
          </w:p>
        </w:tc>
        <w:tc>
          <w:tcPr>
            <w:tcW w:w="7088" w:type="dxa"/>
            <w:vAlign w:val="center"/>
          </w:tcPr>
          <w:p w14:paraId="682A9960">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1.满足《中华人民共和国政府采购法》第二十二条规定；</w:t>
            </w:r>
          </w:p>
          <w:p w14:paraId="4E707D17">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2.落实政府采购政策需满足的资格要求: 本项目专门面向中小企业采购。</w:t>
            </w:r>
          </w:p>
          <w:p w14:paraId="51A11431">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3.本项目的特定资格要求：无。</w:t>
            </w:r>
          </w:p>
        </w:tc>
      </w:tr>
      <w:tr w14:paraId="7A778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851" w:type="dxa"/>
            <w:vAlign w:val="center"/>
          </w:tcPr>
          <w:p w14:paraId="4EB3EA39">
            <w:pPr>
              <w:pStyle w:val="28"/>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9.1</w:t>
            </w:r>
          </w:p>
        </w:tc>
        <w:tc>
          <w:tcPr>
            <w:tcW w:w="1701" w:type="dxa"/>
            <w:vAlign w:val="center"/>
          </w:tcPr>
          <w:p w14:paraId="0AA337A4">
            <w:pPr>
              <w:pStyle w:val="28"/>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现场考察</w:t>
            </w:r>
          </w:p>
        </w:tc>
        <w:tc>
          <w:tcPr>
            <w:tcW w:w="7088" w:type="dxa"/>
            <w:vAlign w:val="center"/>
          </w:tcPr>
          <w:p w14:paraId="7FE3F549">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不组织</w:t>
            </w:r>
          </w:p>
        </w:tc>
      </w:tr>
      <w:tr w14:paraId="481D3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851" w:type="dxa"/>
            <w:vAlign w:val="center"/>
          </w:tcPr>
          <w:p w14:paraId="40CBC3C4">
            <w:pPr>
              <w:pStyle w:val="28"/>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9.5</w:t>
            </w:r>
          </w:p>
        </w:tc>
        <w:tc>
          <w:tcPr>
            <w:tcW w:w="1701" w:type="dxa"/>
            <w:vAlign w:val="center"/>
          </w:tcPr>
          <w:p w14:paraId="4E27F6F3">
            <w:pPr>
              <w:pStyle w:val="28"/>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答疑会</w:t>
            </w:r>
          </w:p>
        </w:tc>
        <w:tc>
          <w:tcPr>
            <w:tcW w:w="7088" w:type="dxa"/>
            <w:vAlign w:val="center"/>
          </w:tcPr>
          <w:p w14:paraId="26DC186D">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不组织</w:t>
            </w:r>
          </w:p>
        </w:tc>
      </w:tr>
      <w:tr w14:paraId="0BDE8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6BA581DB">
            <w:pPr>
              <w:pStyle w:val="28"/>
              <w:spacing w:line="360" w:lineRule="auto"/>
              <w:jc w:val="center"/>
              <w:rPr>
                <w:rFonts w:ascii="仿宋" w:hAnsi="仿宋" w:eastAsia="仿宋" w:cs="仿宋"/>
                <w:color w:val="auto"/>
                <w:spacing w:val="-7"/>
                <w:sz w:val="21"/>
                <w:szCs w:val="21"/>
                <w:highlight w:val="none"/>
                <w:lang w:eastAsia="zh-CN"/>
              </w:rPr>
            </w:pPr>
            <w:r>
              <w:rPr>
                <w:rFonts w:hint="eastAsia" w:ascii="仿宋" w:hAnsi="仿宋" w:eastAsia="仿宋" w:cs="仿宋"/>
                <w:color w:val="auto"/>
                <w:spacing w:val="-7"/>
                <w:sz w:val="21"/>
                <w:szCs w:val="21"/>
                <w:highlight w:val="none"/>
                <w:lang w:eastAsia="zh-CN"/>
              </w:rPr>
              <w:t>12.1</w:t>
            </w:r>
          </w:p>
        </w:tc>
        <w:tc>
          <w:tcPr>
            <w:tcW w:w="1701" w:type="dxa"/>
            <w:vAlign w:val="center"/>
          </w:tcPr>
          <w:p w14:paraId="316D2C51">
            <w:pPr>
              <w:pStyle w:val="28"/>
              <w:spacing w:line="360" w:lineRule="auto"/>
              <w:ind w:left="114"/>
              <w:jc w:val="center"/>
              <w:rPr>
                <w:rFonts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lang w:eastAsia="zh-CN"/>
              </w:rPr>
              <w:t>询问</w:t>
            </w:r>
          </w:p>
        </w:tc>
        <w:tc>
          <w:tcPr>
            <w:tcW w:w="7088" w:type="dxa"/>
            <w:vAlign w:val="center"/>
          </w:tcPr>
          <w:p w14:paraId="2F2FD9D4">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1.方式：在供应商客户端中按照格式填写询问函，并在生成询问函后加盖电子印章提交。</w:t>
            </w:r>
          </w:p>
          <w:p w14:paraId="7F74F2AE">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2.时间要求：自投标人获取招标文件之日起7个工作日内。</w:t>
            </w:r>
          </w:p>
        </w:tc>
      </w:tr>
      <w:tr w14:paraId="7BAF4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B528AD1">
            <w:pPr>
              <w:pStyle w:val="28"/>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15.1</w:t>
            </w:r>
          </w:p>
        </w:tc>
        <w:tc>
          <w:tcPr>
            <w:tcW w:w="1701" w:type="dxa"/>
            <w:vAlign w:val="center"/>
          </w:tcPr>
          <w:p w14:paraId="6BD436C2">
            <w:pPr>
              <w:pStyle w:val="28"/>
              <w:spacing w:line="360" w:lineRule="auto"/>
              <w:ind w:left="114"/>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投标有效期</w:t>
            </w:r>
          </w:p>
        </w:tc>
        <w:tc>
          <w:tcPr>
            <w:tcW w:w="7088" w:type="dxa"/>
            <w:vAlign w:val="center"/>
          </w:tcPr>
          <w:p w14:paraId="21F07A0C">
            <w:pPr>
              <w:pStyle w:val="28"/>
              <w:spacing w:line="360" w:lineRule="auto"/>
              <w:ind w:left="-3" w:leftChars="-7" w:hanging="12" w:hangingChars="6"/>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xml:space="preserve">投标截止时间后 </w:t>
            </w:r>
            <w:r>
              <w:rPr>
                <w:rFonts w:hint="eastAsia" w:ascii="仿宋" w:hAnsi="仿宋" w:eastAsia="仿宋" w:cs="仿宋"/>
                <w:color w:val="auto"/>
                <w:spacing w:val="-5"/>
                <w:sz w:val="21"/>
                <w:szCs w:val="21"/>
                <w:highlight w:val="none"/>
                <w:u w:val="single"/>
                <w:lang w:eastAsia="zh-CN"/>
              </w:rPr>
              <w:t xml:space="preserve">90 </w:t>
            </w:r>
            <w:r>
              <w:rPr>
                <w:rFonts w:hint="eastAsia" w:ascii="仿宋" w:hAnsi="仿宋" w:eastAsia="仿宋" w:cs="仿宋"/>
                <w:color w:val="auto"/>
                <w:spacing w:val="-5"/>
                <w:sz w:val="21"/>
                <w:szCs w:val="21"/>
                <w:highlight w:val="none"/>
                <w:lang w:eastAsia="zh-CN"/>
              </w:rPr>
              <w:t>日历日。</w:t>
            </w:r>
          </w:p>
        </w:tc>
      </w:tr>
      <w:tr w14:paraId="3993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67F720BE">
            <w:pPr>
              <w:pStyle w:val="28"/>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17.1</w:t>
            </w:r>
          </w:p>
        </w:tc>
        <w:tc>
          <w:tcPr>
            <w:tcW w:w="1701" w:type="dxa"/>
            <w:vAlign w:val="center"/>
          </w:tcPr>
          <w:p w14:paraId="71517662">
            <w:pPr>
              <w:pStyle w:val="28"/>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投标保证金</w:t>
            </w:r>
          </w:p>
        </w:tc>
        <w:tc>
          <w:tcPr>
            <w:tcW w:w="7088" w:type="dxa"/>
            <w:vAlign w:val="center"/>
          </w:tcPr>
          <w:p w14:paraId="1EA43C10">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投标保证金/电子保函：☑需要缴纳     □不需要缴纳</w:t>
            </w:r>
          </w:p>
          <w:p w14:paraId="17B47DA5">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投标保证金缴纳形式：银行转账、支票、汇票、本票或者金融机构、担保机构出具的保函等非现金形式交纳。</w:t>
            </w:r>
          </w:p>
          <w:p w14:paraId="4AA53A09">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缴纳维度：☑按项目    □ 按标项</w:t>
            </w:r>
          </w:p>
          <w:p w14:paraId="3FAF60D0">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缴纳响应截止时间：2025年0</w:t>
            </w:r>
            <w:r>
              <w:rPr>
                <w:rFonts w:hint="eastAsia" w:ascii="仿宋" w:hAnsi="仿宋" w:eastAsia="仿宋" w:cs="仿宋"/>
                <w:color w:val="auto"/>
                <w:spacing w:val="-5"/>
                <w:sz w:val="21"/>
                <w:szCs w:val="21"/>
                <w:highlight w:val="none"/>
                <w:lang w:val="en-US" w:eastAsia="zh-CN"/>
              </w:rPr>
              <w:t>7</w:t>
            </w:r>
            <w:r>
              <w:rPr>
                <w:rFonts w:hint="eastAsia" w:ascii="仿宋" w:hAnsi="仿宋" w:eastAsia="仿宋" w:cs="仿宋"/>
                <w:color w:val="auto"/>
                <w:spacing w:val="-5"/>
                <w:sz w:val="21"/>
                <w:szCs w:val="21"/>
                <w:highlight w:val="none"/>
                <w:lang w:eastAsia="zh-CN"/>
              </w:rPr>
              <w:t>月</w:t>
            </w:r>
            <w:r>
              <w:rPr>
                <w:rFonts w:hint="eastAsia" w:ascii="仿宋" w:hAnsi="仿宋" w:eastAsia="仿宋" w:cs="仿宋"/>
                <w:color w:val="auto"/>
                <w:spacing w:val="-5"/>
                <w:sz w:val="21"/>
                <w:szCs w:val="21"/>
                <w:highlight w:val="none"/>
                <w:lang w:val="en-US" w:eastAsia="zh-CN"/>
              </w:rPr>
              <w:t>16</w:t>
            </w:r>
            <w:r>
              <w:rPr>
                <w:rFonts w:hint="eastAsia" w:ascii="仿宋" w:hAnsi="仿宋" w:eastAsia="仿宋" w:cs="仿宋"/>
                <w:color w:val="auto"/>
                <w:spacing w:val="-5"/>
                <w:sz w:val="21"/>
                <w:szCs w:val="21"/>
                <w:highlight w:val="none"/>
                <w:lang w:eastAsia="zh-CN"/>
              </w:rPr>
              <w:t xml:space="preserve">日 11:00（北京时间） </w:t>
            </w:r>
          </w:p>
          <w:p w14:paraId="01C09A4B">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投标保证金金额：陆仟元整（6000.00元）</w:t>
            </w:r>
          </w:p>
          <w:p w14:paraId="402AB962">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xml:space="preserve">1）保证金账号信息： </w:t>
            </w:r>
          </w:p>
          <w:p w14:paraId="08C9A5D2">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账户名：新疆新诚泰工程咨询有限公司</w:t>
            </w:r>
          </w:p>
          <w:p w14:paraId="32C7A937">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开户行：中国银行股份有限公司乌鲁木齐市龙盛街支行</w:t>
            </w:r>
          </w:p>
          <w:p w14:paraId="0BCDD0F7">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行号：104881004170</w:t>
            </w:r>
          </w:p>
          <w:p w14:paraId="3BC38FA4">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帐号：107675053625</w:t>
            </w:r>
          </w:p>
          <w:p w14:paraId="3EE2FC45">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招标代理服务费缴纳账号：（同上）</w:t>
            </w:r>
          </w:p>
          <w:p w14:paraId="25AA6FC6">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2）保函信息</w:t>
            </w:r>
          </w:p>
          <w:p w14:paraId="65CB3654">
            <w:pPr>
              <w:pStyle w:val="28"/>
              <w:spacing w:line="360" w:lineRule="auto"/>
              <w:ind w:left="-3" w:leftChars="-7" w:hanging="12" w:hangingChars="6"/>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保函承保期限：2025-0</w:t>
            </w:r>
            <w:r>
              <w:rPr>
                <w:rFonts w:hint="eastAsia" w:ascii="仿宋" w:hAnsi="仿宋" w:eastAsia="仿宋" w:cs="仿宋"/>
                <w:color w:val="auto"/>
                <w:spacing w:val="-5"/>
                <w:sz w:val="21"/>
                <w:szCs w:val="21"/>
                <w:highlight w:val="none"/>
                <w:lang w:val="en-US" w:eastAsia="zh-CN"/>
              </w:rPr>
              <w:t>7</w:t>
            </w:r>
            <w:r>
              <w:rPr>
                <w:rFonts w:hint="eastAsia" w:ascii="仿宋" w:hAnsi="仿宋" w:eastAsia="仿宋" w:cs="仿宋"/>
                <w:color w:val="auto"/>
                <w:spacing w:val="-5"/>
                <w:sz w:val="21"/>
                <w:szCs w:val="21"/>
                <w:highlight w:val="none"/>
                <w:lang w:eastAsia="zh-CN"/>
              </w:rPr>
              <w:t>-</w:t>
            </w:r>
            <w:r>
              <w:rPr>
                <w:rFonts w:hint="eastAsia" w:ascii="仿宋" w:hAnsi="仿宋" w:eastAsia="仿宋" w:cs="仿宋"/>
                <w:color w:val="auto"/>
                <w:spacing w:val="-5"/>
                <w:sz w:val="21"/>
                <w:szCs w:val="21"/>
                <w:highlight w:val="none"/>
                <w:lang w:val="en-US" w:eastAsia="zh-CN"/>
              </w:rPr>
              <w:t>16</w:t>
            </w:r>
            <w:r>
              <w:rPr>
                <w:rFonts w:hint="eastAsia" w:ascii="仿宋" w:hAnsi="仿宋" w:eastAsia="仿宋" w:cs="仿宋"/>
                <w:color w:val="auto"/>
                <w:spacing w:val="-5"/>
                <w:sz w:val="21"/>
                <w:szCs w:val="21"/>
                <w:highlight w:val="none"/>
                <w:lang w:eastAsia="zh-CN"/>
              </w:rPr>
              <w:t xml:space="preserve"> 11:00～2025-</w:t>
            </w:r>
            <w:r>
              <w:rPr>
                <w:rFonts w:hint="eastAsia" w:ascii="仿宋" w:hAnsi="仿宋" w:eastAsia="仿宋" w:cs="仿宋"/>
                <w:color w:val="auto"/>
                <w:spacing w:val="-5"/>
                <w:sz w:val="21"/>
                <w:szCs w:val="21"/>
                <w:highlight w:val="none"/>
                <w:lang w:val="en-US" w:eastAsia="zh-CN"/>
              </w:rPr>
              <w:t>10-14</w:t>
            </w:r>
            <w:r>
              <w:rPr>
                <w:rFonts w:hint="eastAsia" w:ascii="仿宋" w:hAnsi="仿宋" w:eastAsia="仿宋" w:cs="仿宋"/>
                <w:color w:val="auto"/>
                <w:spacing w:val="-5"/>
                <w:sz w:val="21"/>
                <w:szCs w:val="21"/>
                <w:highlight w:val="none"/>
                <w:lang w:eastAsia="zh-CN"/>
              </w:rPr>
              <w:t xml:space="preserve"> 11:00</w:t>
            </w:r>
          </w:p>
          <w:p w14:paraId="4EC2B967">
            <w:pPr>
              <w:pStyle w:val="28"/>
              <w:spacing w:before="39" w:line="360" w:lineRule="auto"/>
              <w:ind w:right="116"/>
              <w:rPr>
                <w:rFonts w:ascii="仿宋" w:hAnsi="仿宋" w:eastAsia="仿宋" w:cs="仿宋"/>
                <w:b/>
                <w:bCs/>
                <w:color w:val="auto"/>
                <w:spacing w:val="9"/>
                <w:sz w:val="21"/>
                <w:szCs w:val="21"/>
                <w:highlight w:val="none"/>
                <w:lang w:eastAsia="zh-CN"/>
              </w:rPr>
            </w:pPr>
            <w:r>
              <w:rPr>
                <w:rFonts w:hint="eastAsia" w:ascii="仿宋" w:hAnsi="仿宋" w:eastAsia="仿宋" w:cs="仿宋"/>
                <w:b/>
                <w:bCs/>
                <w:color w:val="auto"/>
                <w:spacing w:val="9"/>
                <w:sz w:val="21"/>
                <w:szCs w:val="21"/>
                <w:highlight w:val="none"/>
                <w:lang w:eastAsia="zh-CN"/>
              </w:rPr>
              <w:t>说明：</w:t>
            </w:r>
          </w:p>
          <w:p w14:paraId="13476DAD">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投标保证金以银行转账、支票、汇票、本票方式缴纳的，必须在提交响应文件截止时间（开标时间）前缴纳至采购代理机构银行账户。供应商需自行评估因异地、跨行、公休日等因素造成的磋商保证金到账延迟风险，并承担相应责任。投标保证金以到账信息为准，供应商未按照招标文件要求提交投标保证金的，投标无效。（以银行记录确认到账为准，备注项目名称及项目编号）。</w:t>
            </w:r>
          </w:p>
          <w:p w14:paraId="63169EED">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（2）投标保证金以保函方式递交的，投标文件提交截止时间前将保函制作到电子投标文件即可。</w:t>
            </w:r>
          </w:p>
          <w:p w14:paraId="2C4B50B2">
            <w:pPr>
              <w:pStyle w:val="28"/>
              <w:spacing w:before="90" w:line="360" w:lineRule="auto"/>
              <w:ind w:left="112" w:right="116" w:firstLine="12"/>
              <w:rPr>
                <w:rFonts w:ascii="仿宋" w:hAnsi="仿宋" w:eastAsia="仿宋" w:cs="仿宋"/>
                <w:b/>
                <w:bCs/>
                <w:color w:val="auto"/>
                <w:spacing w:val="9"/>
                <w:sz w:val="21"/>
                <w:szCs w:val="21"/>
                <w:highlight w:val="none"/>
                <w:lang w:eastAsia="zh-CN"/>
              </w:rPr>
            </w:pPr>
            <w:r>
              <w:rPr>
                <w:rFonts w:hint="eastAsia" w:ascii="仿宋" w:hAnsi="仿宋" w:eastAsia="仿宋" w:cs="仿宋"/>
                <w:b/>
                <w:bCs/>
                <w:color w:val="auto"/>
                <w:spacing w:val="9"/>
                <w:sz w:val="21"/>
                <w:szCs w:val="21"/>
                <w:highlight w:val="none"/>
                <w:lang w:eastAsia="zh-CN"/>
              </w:rPr>
              <w:t>政采云电子保函须知：</w:t>
            </w:r>
          </w:p>
          <w:p w14:paraId="060E9B25">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为支持和促进中小企业发展，进一步发挥政府采购政策功能，本采购项目适用于政府采购融资优惠、政采贷、电子保函相关政策，鼓励投标人使用电子保函代替现金缴纳各类保证金，在线完成保函的申请、审核、开票、出函等环节，投标人注意区分办理保函类型，并确认投标有效期。</w:t>
            </w:r>
          </w:p>
          <w:p w14:paraId="461EAE42">
            <w:pPr>
              <w:pStyle w:val="28"/>
              <w:spacing w:line="360" w:lineRule="auto"/>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5"/>
                <w:sz w:val="21"/>
                <w:szCs w:val="21"/>
                <w:highlight w:val="none"/>
                <w:lang w:eastAsia="zh-CN"/>
              </w:rPr>
              <w:t>（2）如采用政采云电子保函形式，可按照以下形式进行在线申请，电子保函申请链接（https://jinrong.zcygov.cn/luban/finance/letter/xinjiang?pageModelFlag=650000&amp;utm=site.site-PC-42055.1718-block_comp_1709189989843012.6.33f19dd0635411ef9be3cb6599db755d），如遇问题可拨打客服电话：95763。</w:t>
            </w:r>
          </w:p>
        </w:tc>
      </w:tr>
      <w:tr w14:paraId="3AEE5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D185376">
            <w:pPr>
              <w:pStyle w:val="28"/>
              <w:spacing w:before="78" w:line="183" w:lineRule="auto"/>
              <w:jc w:val="center"/>
              <w:rPr>
                <w:rFonts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22</w:t>
            </w:r>
          </w:p>
        </w:tc>
        <w:tc>
          <w:tcPr>
            <w:tcW w:w="1701" w:type="dxa"/>
            <w:vAlign w:val="center"/>
          </w:tcPr>
          <w:p w14:paraId="0F28AECC">
            <w:pPr>
              <w:pStyle w:val="28"/>
              <w:spacing w:before="78" w:line="219"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实物样品</w:t>
            </w:r>
          </w:p>
        </w:tc>
        <w:tc>
          <w:tcPr>
            <w:tcW w:w="7088" w:type="dxa"/>
          </w:tcPr>
          <w:p w14:paraId="52AA46C9">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投标样品递交：☑不需要  □需要，具体要求如下：</w:t>
            </w:r>
          </w:p>
          <w:p w14:paraId="7A71675C">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1.样品制作的标准和要求：；</w:t>
            </w:r>
          </w:p>
          <w:p w14:paraId="5EF65C13">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2.是否需要随样品提交相关检测报告：□不需要□需要</w:t>
            </w:r>
          </w:p>
          <w:p w14:paraId="25683395">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3.样品递交要求：递交时间：，</w:t>
            </w:r>
          </w:p>
          <w:p w14:paraId="5E91F6F5">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递交地点：，</w:t>
            </w:r>
          </w:p>
          <w:p w14:paraId="1C9B38C1">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逾期提供的样品将不予接受。</w:t>
            </w:r>
          </w:p>
          <w:p w14:paraId="223F5F3C">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4.未中标人样品退还：；</w:t>
            </w:r>
          </w:p>
          <w:p w14:paraId="041C92C3">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5.中标人样品保管、封存及退还：；</w:t>
            </w:r>
          </w:p>
          <w:p w14:paraId="0A7CE9B9">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6.其他要求（如有）：。</w:t>
            </w:r>
          </w:p>
        </w:tc>
      </w:tr>
      <w:tr w14:paraId="3AE2F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788A167F">
            <w:pPr>
              <w:pStyle w:val="28"/>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23.1</w:t>
            </w:r>
          </w:p>
        </w:tc>
        <w:tc>
          <w:tcPr>
            <w:tcW w:w="1701" w:type="dxa"/>
            <w:vAlign w:val="center"/>
          </w:tcPr>
          <w:p w14:paraId="2F28B119">
            <w:pPr>
              <w:pStyle w:val="28"/>
              <w:spacing w:before="78" w:line="221" w:lineRule="auto"/>
              <w:jc w:val="center"/>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演示</w:t>
            </w:r>
          </w:p>
        </w:tc>
        <w:tc>
          <w:tcPr>
            <w:tcW w:w="7088" w:type="dxa"/>
          </w:tcPr>
          <w:p w14:paraId="787B0A09">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□不进行 ☑进行，远程线上演示/现场演示</w:t>
            </w:r>
          </w:p>
          <w:p w14:paraId="7ACCAF65">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1.演示时间不得超过</w:t>
            </w:r>
            <w:r>
              <w:rPr>
                <w:rFonts w:hint="eastAsia" w:ascii="仿宋" w:hAnsi="仿宋" w:eastAsia="仿宋" w:cs="仿宋"/>
                <w:color w:val="auto"/>
                <w:spacing w:val="-5"/>
                <w:sz w:val="21"/>
                <w:szCs w:val="21"/>
                <w:highlight w:val="none"/>
                <w:u w:val="single"/>
                <w:lang w:eastAsia="zh-CN"/>
              </w:rPr>
              <w:t xml:space="preserve">  5  </w:t>
            </w:r>
            <w:r>
              <w:rPr>
                <w:rFonts w:hint="eastAsia" w:ascii="仿宋" w:hAnsi="仿宋" w:eastAsia="仿宋" w:cs="仿宋"/>
                <w:color w:val="auto"/>
                <w:spacing w:val="-5"/>
                <w:sz w:val="21"/>
                <w:szCs w:val="21"/>
                <w:highlight w:val="none"/>
                <w:lang w:eastAsia="zh-CN"/>
              </w:rPr>
              <w:t>分钟；</w:t>
            </w:r>
          </w:p>
          <w:p w14:paraId="426176F4">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2.进行远程线上演示的，投标人应提前自行准备好演示的软硬配置环境和网络环境，做好演示的各项准备工作。因投标人自身原因无法演示或者演示效果不理想的，导致的后果由投标人自行承担；</w:t>
            </w:r>
          </w:p>
        </w:tc>
      </w:tr>
      <w:tr w14:paraId="54290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6A32B3C3">
            <w:pPr>
              <w:pStyle w:val="28"/>
              <w:spacing w:line="183" w:lineRule="auto"/>
              <w:jc w:val="center"/>
              <w:rPr>
                <w:rFonts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25.3</w:t>
            </w:r>
          </w:p>
          <w:p w14:paraId="199FB019">
            <w:pPr>
              <w:pStyle w:val="28"/>
              <w:spacing w:line="183" w:lineRule="auto"/>
              <w:jc w:val="center"/>
              <w:rPr>
                <w:rFonts w:ascii="仿宋" w:hAnsi="仿宋" w:eastAsia="仿宋" w:cs="仿宋"/>
                <w:color w:val="auto"/>
                <w:spacing w:val="-4"/>
                <w:sz w:val="21"/>
                <w:szCs w:val="21"/>
                <w:highlight w:val="none"/>
                <w:lang w:eastAsia="zh-CN"/>
              </w:rPr>
            </w:pPr>
            <w:r>
              <w:rPr>
                <w:rFonts w:hint="eastAsia" w:ascii="仿宋" w:hAnsi="仿宋" w:eastAsia="仿宋" w:cs="仿宋"/>
                <w:color w:val="auto"/>
                <w:spacing w:val="-4"/>
                <w:sz w:val="21"/>
                <w:szCs w:val="21"/>
                <w:highlight w:val="none"/>
                <w:lang w:eastAsia="zh-CN"/>
              </w:rPr>
              <w:t>（3）</w:t>
            </w:r>
          </w:p>
        </w:tc>
        <w:tc>
          <w:tcPr>
            <w:tcW w:w="1701" w:type="dxa"/>
            <w:vAlign w:val="center"/>
          </w:tcPr>
          <w:p w14:paraId="2C2C6022">
            <w:pPr>
              <w:pStyle w:val="28"/>
              <w:spacing w:line="230" w:lineRule="auto"/>
              <w:ind w:right="87"/>
              <w:jc w:val="center"/>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解密投标文件</w:t>
            </w:r>
            <w:r>
              <w:rPr>
                <w:rFonts w:hint="eastAsia" w:ascii="仿宋" w:hAnsi="仿宋" w:eastAsia="仿宋" w:cs="仿宋"/>
                <w:color w:val="auto"/>
                <w:spacing w:val="-10"/>
                <w:sz w:val="21"/>
                <w:szCs w:val="21"/>
                <w:highlight w:val="none"/>
              </w:rPr>
              <w:t>的时限</w:t>
            </w:r>
          </w:p>
        </w:tc>
        <w:tc>
          <w:tcPr>
            <w:tcW w:w="7088" w:type="dxa"/>
          </w:tcPr>
          <w:p w14:paraId="6095148F">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不见面开标默认解密时长：</w:t>
            </w:r>
            <w:r>
              <w:rPr>
                <w:rFonts w:hint="eastAsia" w:ascii="仿宋" w:hAnsi="仿宋" w:eastAsia="仿宋" w:cs="仿宋"/>
                <w:color w:val="auto"/>
                <w:spacing w:val="-5"/>
                <w:sz w:val="21"/>
                <w:szCs w:val="21"/>
                <w:highlight w:val="none"/>
                <w:u w:val="single"/>
                <w:lang w:eastAsia="zh-CN"/>
              </w:rPr>
              <w:t xml:space="preserve">   30  </w:t>
            </w:r>
            <w:r>
              <w:rPr>
                <w:rFonts w:hint="eastAsia" w:ascii="仿宋" w:hAnsi="仿宋" w:eastAsia="仿宋" w:cs="仿宋"/>
                <w:color w:val="auto"/>
                <w:spacing w:val="-5"/>
                <w:sz w:val="21"/>
                <w:szCs w:val="21"/>
                <w:highlight w:val="none"/>
                <w:lang w:eastAsia="zh-CN"/>
              </w:rPr>
              <w:t>分钟。</w:t>
            </w:r>
          </w:p>
          <w:p w14:paraId="41B71B65">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除因交易平台发生故障导致投标文件无法按时解密外，投标文件未按时解密的，视为未按规定提交投标文件。</w:t>
            </w:r>
          </w:p>
        </w:tc>
      </w:tr>
      <w:tr w14:paraId="032C9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DA7445F">
            <w:pPr>
              <w:pStyle w:val="28"/>
              <w:spacing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29.1</w:t>
            </w:r>
          </w:p>
        </w:tc>
        <w:tc>
          <w:tcPr>
            <w:tcW w:w="1701" w:type="dxa"/>
            <w:vAlign w:val="center"/>
          </w:tcPr>
          <w:p w14:paraId="0544EDFD">
            <w:pPr>
              <w:pStyle w:val="28"/>
              <w:spacing w:line="220"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评标方法</w:t>
            </w:r>
          </w:p>
        </w:tc>
        <w:tc>
          <w:tcPr>
            <w:tcW w:w="7088" w:type="dxa"/>
            <w:vAlign w:val="center"/>
          </w:tcPr>
          <w:p w14:paraId="08B1C997">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☑综合评分法</w:t>
            </w:r>
          </w:p>
          <w:p w14:paraId="47DBFDF8">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最低评标价法</w:t>
            </w:r>
          </w:p>
        </w:tc>
      </w:tr>
      <w:tr w14:paraId="1726D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4D5D405">
            <w:pPr>
              <w:pStyle w:val="28"/>
              <w:spacing w:line="183"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29.3</w:t>
            </w:r>
          </w:p>
        </w:tc>
        <w:tc>
          <w:tcPr>
            <w:tcW w:w="1701" w:type="dxa"/>
            <w:vAlign w:val="center"/>
          </w:tcPr>
          <w:p w14:paraId="75D870E0">
            <w:pPr>
              <w:pStyle w:val="28"/>
              <w:spacing w:line="231" w:lineRule="auto"/>
              <w:ind w:left="112" w:right="189" w:hanging="1"/>
              <w:jc w:val="center"/>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推荐中标候选</w:t>
            </w:r>
            <w:r>
              <w:rPr>
                <w:rFonts w:hint="eastAsia" w:ascii="仿宋" w:hAnsi="仿宋" w:eastAsia="仿宋" w:cs="仿宋"/>
                <w:color w:val="auto"/>
                <w:sz w:val="21"/>
                <w:szCs w:val="21"/>
                <w:highlight w:val="none"/>
              </w:rPr>
              <w:t>人</w:t>
            </w:r>
          </w:p>
        </w:tc>
        <w:tc>
          <w:tcPr>
            <w:tcW w:w="7088" w:type="dxa"/>
            <w:vAlign w:val="center"/>
          </w:tcPr>
          <w:p w14:paraId="720E63F0">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中标候选人数量</w:t>
            </w:r>
            <w:r>
              <w:rPr>
                <w:rFonts w:hint="eastAsia" w:ascii="仿宋" w:hAnsi="仿宋" w:eastAsia="仿宋" w:cs="仿宋"/>
                <w:color w:val="auto"/>
                <w:spacing w:val="-5"/>
                <w:sz w:val="21"/>
                <w:szCs w:val="21"/>
                <w:highlight w:val="none"/>
                <w:u w:val="single"/>
                <w:lang w:eastAsia="zh-CN"/>
              </w:rPr>
              <w:t xml:space="preserve">   3   </w:t>
            </w:r>
            <w:r>
              <w:rPr>
                <w:rFonts w:hint="eastAsia" w:ascii="仿宋" w:hAnsi="仿宋" w:eastAsia="仿宋" w:cs="仿宋"/>
                <w:color w:val="auto"/>
                <w:spacing w:val="-5"/>
                <w:sz w:val="21"/>
                <w:szCs w:val="21"/>
                <w:highlight w:val="none"/>
                <w:lang w:eastAsia="zh-CN"/>
              </w:rPr>
              <w:t>家</w:t>
            </w:r>
          </w:p>
        </w:tc>
      </w:tr>
      <w:tr w14:paraId="0A3F9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23D32BCD">
            <w:pPr>
              <w:pStyle w:val="28"/>
              <w:spacing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30.1</w:t>
            </w:r>
          </w:p>
        </w:tc>
        <w:tc>
          <w:tcPr>
            <w:tcW w:w="1701" w:type="dxa"/>
            <w:vAlign w:val="center"/>
          </w:tcPr>
          <w:p w14:paraId="1C491D8D">
            <w:pPr>
              <w:pStyle w:val="28"/>
              <w:spacing w:line="220" w:lineRule="auto"/>
              <w:jc w:val="center"/>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确定中标人</w:t>
            </w:r>
          </w:p>
        </w:tc>
        <w:tc>
          <w:tcPr>
            <w:tcW w:w="7088" w:type="dxa"/>
            <w:vAlign w:val="center"/>
          </w:tcPr>
          <w:p w14:paraId="2D38E6FB">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采购人按评审报告中推荐的中标候选人排序确定中标人。</w:t>
            </w:r>
          </w:p>
          <w:p w14:paraId="1CD4134A">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采购人委托评标委员会直接确定中标人。</w:t>
            </w:r>
          </w:p>
        </w:tc>
      </w:tr>
      <w:tr w14:paraId="5A806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79" w:hRule="atLeast"/>
        </w:trPr>
        <w:tc>
          <w:tcPr>
            <w:tcW w:w="851" w:type="dxa"/>
            <w:vAlign w:val="center"/>
          </w:tcPr>
          <w:p w14:paraId="0E4C47E8">
            <w:pPr>
              <w:pStyle w:val="28"/>
              <w:spacing w:line="246" w:lineRule="auto"/>
              <w:ind w:right="-108"/>
              <w:jc w:val="center"/>
              <w:rPr>
                <w:rFonts w:ascii="仿宋" w:hAnsi="仿宋" w:eastAsia="仿宋" w:cs="仿宋"/>
                <w:color w:val="auto"/>
                <w:spacing w:val="-4"/>
                <w:sz w:val="21"/>
                <w:szCs w:val="21"/>
                <w:highlight w:val="none"/>
                <w:lang w:eastAsia="zh-CN"/>
              </w:rPr>
            </w:pPr>
            <w:r>
              <w:rPr>
                <w:rFonts w:hint="eastAsia" w:ascii="仿宋" w:hAnsi="仿宋" w:eastAsia="仿宋" w:cs="仿宋"/>
                <w:color w:val="auto"/>
                <w:spacing w:val="-4"/>
                <w:sz w:val="21"/>
                <w:szCs w:val="21"/>
                <w:highlight w:val="none"/>
              </w:rPr>
              <w:t>30.2</w:t>
            </w:r>
          </w:p>
          <w:p w14:paraId="6AB20E17">
            <w:pPr>
              <w:pStyle w:val="28"/>
              <w:spacing w:before="78" w:line="246" w:lineRule="auto"/>
              <w:ind w:right="-108"/>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30.3</w:t>
            </w:r>
          </w:p>
        </w:tc>
        <w:tc>
          <w:tcPr>
            <w:tcW w:w="1701" w:type="dxa"/>
            <w:vAlign w:val="center"/>
          </w:tcPr>
          <w:p w14:paraId="044661D7">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提供相同品牌产品的不同投标人确定中标候选人的规定</w:t>
            </w:r>
          </w:p>
        </w:tc>
        <w:tc>
          <w:tcPr>
            <w:tcW w:w="7088" w:type="dxa"/>
            <w:vAlign w:val="center"/>
          </w:tcPr>
          <w:p w14:paraId="5F8CD4FB">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综合评分法的采购项目，提供相同品牌产品且通过资格审查、符合性审查的不同投标人参加同一合同项下投标的，按一家投标人计算，评审后得分相同的，按照方式确定一个投标人获得中标人推荐资格，其他同品牌投标人不作为中标候选人。</w:t>
            </w:r>
          </w:p>
          <w:p w14:paraId="46887D0D">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最低评标价法的采购项目，提供相同品牌产品的不同投标人参加同一合同项下投标的，以其中通过资格审查、符合性审查且报价最低的参加评标；报价相同的，按照方式确定一个参加评标的投标人，其他投标无效。</w:t>
            </w:r>
          </w:p>
        </w:tc>
      </w:tr>
      <w:tr w14:paraId="42910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BC74CC3">
            <w:pPr>
              <w:pStyle w:val="28"/>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33.1</w:t>
            </w:r>
          </w:p>
        </w:tc>
        <w:tc>
          <w:tcPr>
            <w:tcW w:w="1701" w:type="dxa"/>
            <w:vAlign w:val="center"/>
          </w:tcPr>
          <w:p w14:paraId="02EAEE37">
            <w:pPr>
              <w:pStyle w:val="28"/>
              <w:spacing w:before="78" w:line="220"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履约保证金</w:t>
            </w:r>
          </w:p>
        </w:tc>
        <w:tc>
          <w:tcPr>
            <w:tcW w:w="7088" w:type="dxa"/>
          </w:tcPr>
          <w:p w14:paraId="124541C9">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履约保证金：□需要缴纳     ☑不需要缴纳</w:t>
            </w:r>
          </w:p>
          <w:p w14:paraId="77FF00AA">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1.金额：</w:t>
            </w:r>
          </w:p>
          <w:p w14:paraId="5E7A2D7E">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2.支付方式：</w:t>
            </w:r>
          </w:p>
          <w:p w14:paraId="0C93DFB1">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投标人可自主选择以支票、汇票、本票、电汇、转账、网银、保函等非现金形式缴纳或提交保证金。</w:t>
            </w:r>
          </w:p>
          <w:p w14:paraId="58A9CEEC">
            <w:pPr>
              <w:pStyle w:val="28"/>
              <w:spacing w:line="360" w:lineRule="auto"/>
              <w:jc w:val="both"/>
              <w:rPr>
                <w:rFonts w:ascii="仿宋" w:hAnsi="仿宋" w:eastAsia="仿宋" w:cs="仿宋"/>
                <w:b/>
                <w:color w:val="auto"/>
                <w:spacing w:val="-5"/>
                <w:sz w:val="21"/>
                <w:szCs w:val="21"/>
                <w:highlight w:val="none"/>
                <w:lang w:eastAsia="zh-CN"/>
              </w:rPr>
            </w:pPr>
            <w:r>
              <w:rPr>
                <w:rFonts w:hint="eastAsia" w:ascii="仿宋" w:hAnsi="仿宋" w:eastAsia="仿宋" w:cs="仿宋"/>
                <w:b/>
                <w:color w:val="auto"/>
                <w:spacing w:val="-5"/>
                <w:sz w:val="21"/>
                <w:szCs w:val="21"/>
                <w:highlight w:val="none"/>
                <w:lang w:eastAsia="zh-CN"/>
              </w:rPr>
              <w:t>注意事项：</w:t>
            </w:r>
          </w:p>
          <w:p w14:paraId="14BA59B9">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1.以上各类机构出具的以担保函、保证保险承担责任的方式均须满足无条件见索即付条件。</w:t>
            </w:r>
          </w:p>
          <w:p w14:paraId="160429A8">
            <w:pPr>
              <w:pStyle w:val="28"/>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5"/>
                <w:sz w:val="21"/>
                <w:szCs w:val="21"/>
                <w:highlight w:val="none"/>
                <w:lang w:eastAsia="zh-CN"/>
              </w:rPr>
              <w:t>2.以担保函、保证保险形式缴纳履约保证金的，受益人和收取单位须为采购人。</w:t>
            </w:r>
          </w:p>
        </w:tc>
      </w:tr>
      <w:tr w14:paraId="3C2E2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7C1C5F4F">
            <w:pPr>
              <w:pStyle w:val="28"/>
              <w:spacing w:before="78" w:line="183"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34.5</w:t>
            </w:r>
          </w:p>
        </w:tc>
        <w:tc>
          <w:tcPr>
            <w:tcW w:w="1701" w:type="dxa"/>
            <w:vAlign w:val="center"/>
          </w:tcPr>
          <w:p w14:paraId="0B90F5A3">
            <w:pPr>
              <w:pStyle w:val="28"/>
              <w:spacing w:before="78" w:line="220" w:lineRule="auto"/>
              <w:jc w:val="center"/>
              <w:rPr>
                <w:rFonts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中标后分包</w:t>
            </w:r>
          </w:p>
        </w:tc>
        <w:tc>
          <w:tcPr>
            <w:tcW w:w="7088" w:type="dxa"/>
          </w:tcPr>
          <w:p w14:paraId="0A99DC7E">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本项目的非主体、非关键性工作是否允许分包：</w:t>
            </w:r>
          </w:p>
          <w:p w14:paraId="2109EB89">
            <w:pPr>
              <w:pStyle w:val="28"/>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☑不允许； □允许</w:t>
            </w:r>
          </w:p>
          <w:p w14:paraId="2170B500">
            <w:pPr>
              <w:pStyle w:val="28"/>
              <w:spacing w:line="360" w:lineRule="auto"/>
              <w:jc w:val="both"/>
              <w:rPr>
                <w:rFonts w:ascii="仿宋" w:hAnsi="仿宋" w:eastAsia="仿宋" w:cs="仿宋"/>
                <w:b/>
                <w:color w:val="auto"/>
                <w:spacing w:val="-1"/>
                <w:sz w:val="21"/>
                <w:szCs w:val="21"/>
                <w:highlight w:val="none"/>
                <w:lang w:eastAsia="zh-CN"/>
              </w:rPr>
            </w:pPr>
            <w:r>
              <w:rPr>
                <w:rFonts w:hint="eastAsia" w:ascii="仿宋" w:hAnsi="仿宋" w:eastAsia="仿宋" w:cs="仿宋"/>
                <w:color w:val="auto"/>
                <w:spacing w:val="-5"/>
                <w:sz w:val="21"/>
                <w:szCs w:val="21"/>
                <w:highlight w:val="none"/>
                <w:lang w:eastAsia="zh-CN"/>
              </w:rPr>
              <w:t>具体要求：/</w:t>
            </w:r>
          </w:p>
        </w:tc>
      </w:tr>
      <w:tr w14:paraId="1E2BF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0AABE0B">
            <w:pPr>
              <w:pStyle w:val="28"/>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35.1</w:t>
            </w:r>
          </w:p>
        </w:tc>
        <w:tc>
          <w:tcPr>
            <w:tcW w:w="1701" w:type="dxa"/>
            <w:vAlign w:val="center"/>
          </w:tcPr>
          <w:p w14:paraId="1BD2AA12">
            <w:pPr>
              <w:pStyle w:val="28"/>
              <w:spacing w:before="78" w:line="220" w:lineRule="auto"/>
              <w:jc w:val="center"/>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质疑</w:t>
            </w:r>
          </w:p>
        </w:tc>
        <w:tc>
          <w:tcPr>
            <w:tcW w:w="7088" w:type="dxa"/>
          </w:tcPr>
          <w:p w14:paraId="2D35FE6E">
            <w:pPr>
              <w:pStyle w:val="28"/>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递交方式：</w:t>
            </w:r>
            <w:r>
              <w:rPr>
                <w:rFonts w:hint="eastAsia" w:ascii="仿宋" w:hAnsi="仿宋" w:eastAsia="仿宋" w:cs="仿宋"/>
                <w:color w:val="auto"/>
                <w:spacing w:val="-1"/>
                <w:sz w:val="21"/>
                <w:szCs w:val="21"/>
                <w:highlight w:val="none"/>
                <w:u w:val="single"/>
                <w:lang w:eastAsia="zh-CN"/>
              </w:rPr>
              <w:t>书面方式</w:t>
            </w:r>
          </w:p>
          <w:p w14:paraId="5EC5C087">
            <w:pPr>
              <w:pStyle w:val="28"/>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接收部门：</w:t>
            </w:r>
            <w:r>
              <w:rPr>
                <w:rFonts w:hint="eastAsia" w:ascii="仿宋" w:hAnsi="仿宋" w:eastAsia="仿宋" w:cs="仿宋"/>
                <w:color w:val="auto"/>
                <w:spacing w:val="-1"/>
                <w:sz w:val="21"/>
                <w:szCs w:val="21"/>
                <w:highlight w:val="none"/>
                <w:u w:val="single"/>
                <w:lang w:eastAsia="zh-CN"/>
              </w:rPr>
              <w:t>采购人及采购代理机构</w:t>
            </w:r>
            <w:r>
              <w:rPr>
                <w:rFonts w:hint="eastAsia" w:ascii="仿宋" w:hAnsi="仿宋" w:eastAsia="仿宋" w:cs="仿宋"/>
                <w:color w:val="auto"/>
                <w:spacing w:val="-1"/>
                <w:sz w:val="21"/>
                <w:szCs w:val="21"/>
                <w:highlight w:val="none"/>
                <w:lang w:eastAsia="zh-CN"/>
              </w:rPr>
              <w:tab/>
            </w:r>
          </w:p>
          <w:p w14:paraId="600BB901">
            <w:pPr>
              <w:pStyle w:val="28"/>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针对同一采购程序环节的质疑次数：</w:t>
            </w:r>
            <w:r>
              <w:rPr>
                <w:rFonts w:hint="eastAsia" w:ascii="仿宋" w:hAnsi="仿宋" w:eastAsia="仿宋" w:cs="仿宋"/>
                <w:color w:val="auto"/>
                <w:spacing w:val="-1"/>
                <w:sz w:val="21"/>
                <w:szCs w:val="21"/>
                <w:highlight w:val="none"/>
                <w:u w:val="single"/>
                <w:lang w:eastAsia="zh-CN"/>
              </w:rPr>
              <w:t>一次性提出</w:t>
            </w:r>
          </w:p>
        </w:tc>
      </w:tr>
      <w:tr w14:paraId="3615F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68A9A2F0">
            <w:pPr>
              <w:pStyle w:val="28"/>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38.1</w:t>
            </w:r>
          </w:p>
        </w:tc>
        <w:tc>
          <w:tcPr>
            <w:tcW w:w="1701" w:type="dxa"/>
            <w:vAlign w:val="center"/>
          </w:tcPr>
          <w:p w14:paraId="358A75FF">
            <w:pPr>
              <w:pStyle w:val="28"/>
              <w:spacing w:before="78" w:line="230" w:lineRule="auto"/>
              <w:ind w:right="189"/>
              <w:jc w:val="center"/>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采购代理服务</w:t>
            </w:r>
            <w:r>
              <w:rPr>
                <w:rFonts w:hint="eastAsia" w:ascii="仿宋" w:hAnsi="仿宋" w:eastAsia="仿宋" w:cs="仿宋"/>
                <w:color w:val="auto"/>
                <w:sz w:val="21"/>
                <w:szCs w:val="21"/>
                <w:highlight w:val="none"/>
              </w:rPr>
              <w:t>费</w:t>
            </w:r>
          </w:p>
        </w:tc>
        <w:tc>
          <w:tcPr>
            <w:tcW w:w="7088" w:type="dxa"/>
          </w:tcPr>
          <w:p w14:paraId="7C414501">
            <w:pPr>
              <w:pStyle w:val="28"/>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1.收费对象：</w:t>
            </w:r>
            <w:r>
              <w:rPr>
                <w:rFonts w:hint="eastAsia" w:ascii="仿宋" w:hAnsi="仿宋" w:eastAsia="仿宋" w:cs="仿宋"/>
                <w:color w:val="auto"/>
                <w:spacing w:val="-1"/>
                <w:sz w:val="21"/>
                <w:szCs w:val="21"/>
                <w:highlight w:val="none"/>
                <w:u w:val="single"/>
                <w:lang w:eastAsia="zh-CN"/>
              </w:rPr>
              <w:t>中标人支付</w:t>
            </w:r>
          </w:p>
          <w:p w14:paraId="3D89088C">
            <w:pPr>
              <w:pStyle w:val="28"/>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2.收费标准：</w:t>
            </w:r>
            <w:r>
              <w:rPr>
                <w:rFonts w:hint="eastAsia" w:ascii="仿宋" w:hAnsi="仿宋" w:eastAsia="仿宋" w:cs="仿宋"/>
                <w:color w:val="auto"/>
                <w:spacing w:val="-1"/>
                <w:sz w:val="21"/>
                <w:szCs w:val="21"/>
                <w:highlight w:val="none"/>
                <w:u w:val="single"/>
                <w:lang w:eastAsia="zh-CN"/>
              </w:rPr>
              <w:t>参照计价格[2002]1980号及发改价格[2011]534号文件的计算标准</w:t>
            </w:r>
          </w:p>
        </w:tc>
      </w:tr>
      <w:tr w14:paraId="774A1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F596CF8">
            <w:pPr>
              <w:pStyle w:val="28"/>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41.1</w:t>
            </w:r>
          </w:p>
        </w:tc>
        <w:tc>
          <w:tcPr>
            <w:tcW w:w="1701" w:type="dxa"/>
            <w:vAlign w:val="center"/>
          </w:tcPr>
          <w:p w14:paraId="23E99560">
            <w:pPr>
              <w:pStyle w:val="28"/>
              <w:spacing w:before="146" w:line="230" w:lineRule="auto"/>
              <w:ind w:right="189"/>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是否接受进口</w:t>
            </w:r>
            <w:r>
              <w:rPr>
                <w:rFonts w:hint="eastAsia" w:ascii="仿宋" w:hAnsi="仿宋" w:eastAsia="仿宋" w:cs="仿宋"/>
                <w:color w:val="auto"/>
                <w:spacing w:val="-5"/>
                <w:sz w:val="21"/>
                <w:szCs w:val="21"/>
                <w:highlight w:val="none"/>
              </w:rPr>
              <w:t>产品</w:t>
            </w:r>
          </w:p>
        </w:tc>
        <w:tc>
          <w:tcPr>
            <w:tcW w:w="7088" w:type="dxa"/>
            <w:vAlign w:val="center"/>
          </w:tcPr>
          <w:p w14:paraId="68548FF0">
            <w:pPr>
              <w:pStyle w:val="28"/>
              <w:spacing w:before="28" w:line="218"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不接受</w:t>
            </w:r>
          </w:p>
        </w:tc>
      </w:tr>
      <w:tr w14:paraId="72201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EC680EC">
            <w:pPr>
              <w:pStyle w:val="28"/>
              <w:spacing w:line="183" w:lineRule="auto"/>
              <w:jc w:val="center"/>
              <w:rPr>
                <w:rFonts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42</w:t>
            </w:r>
          </w:p>
        </w:tc>
        <w:tc>
          <w:tcPr>
            <w:tcW w:w="1701" w:type="dxa"/>
            <w:vAlign w:val="center"/>
          </w:tcPr>
          <w:p w14:paraId="10970CD8">
            <w:pPr>
              <w:pStyle w:val="28"/>
              <w:spacing w:line="235" w:lineRule="auto"/>
              <w:ind w:left="-107" w:leftChars="-51" w:right="-55"/>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支持中小企业政策</w:t>
            </w:r>
            <w:r>
              <w:rPr>
                <w:rFonts w:hint="eastAsia" w:ascii="仿宋" w:hAnsi="仿宋" w:eastAsia="仿宋" w:cs="仿宋"/>
                <w:b/>
                <w:bCs/>
                <w:color w:val="auto"/>
                <w:spacing w:val="-2"/>
                <w:sz w:val="21"/>
                <w:szCs w:val="21"/>
                <w:highlight w:val="none"/>
                <w:lang w:eastAsia="zh-CN"/>
              </w:rPr>
              <w:t>（非专门面向中小企业采购项目适</w:t>
            </w:r>
            <w:r>
              <w:rPr>
                <w:rFonts w:hint="eastAsia" w:ascii="仿宋" w:hAnsi="仿宋" w:eastAsia="仿宋" w:cs="仿宋"/>
                <w:b/>
                <w:bCs/>
                <w:color w:val="auto"/>
                <w:spacing w:val="-6"/>
                <w:sz w:val="21"/>
                <w:szCs w:val="21"/>
                <w:highlight w:val="none"/>
                <w:lang w:eastAsia="zh-CN"/>
              </w:rPr>
              <w:t>用）</w:t>
            </w:r>
          </w:p>
        </w:tc>
        <w:tc>
          <w:tcPr>
            <w:tcW w:w="7088" w:type="dxa"/>
            <w:vAlign w:val="center"/>
          </w:tcPr>
          <w:p w14:paraId="55783324">
            <w:pPr>
              <w:pStyle w:val="28"/>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1.小型和微型企业价格扣除：10%。</w:t>
            </w:r>
          </w:p>
          <w:p w14:paraId="5BE49088">
            <w:pPr>
              <w:pStyle w:val="28"/>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2.监狱企业价格扣除：同小型和微型企业。</w:t>
            </w:r>
          </w:p>
          <w:p w14:paraId="2517C076">
            <w:pPr>
              <w:pStyle w:val="28"/>
              <w:spacing w:line="360" w:lineRule="auto"/>
              <w:ind w:right="-16" w:firstLine="5"/>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3.残疾人福利性单位价格扣除：同小型和微型企业。</w:t>
            </w:r>
          </w:p>
        </w:tc>
      </w:tr>
      <w:tr w14:paraId="31A44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2" w:hRule="atLeast"/>
        </w:trPr>
        <w:tc>
          <w:tcPr>
            <w:tcW w:w="851" w:type="dxa"/>
            <w:vAlign w:val="center"/>
          </w:tcPr>
          <w:p w14:paraId="6E6F7046">
            <w:pPr>
              <w:pStyle w:val="28"/>
              <w:spacing w:line="183" w:lineRule="auto"/>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3"/>
                <w:sz w:val="21"/>
                <w:szCs w:val="21"/>
                <w:highlight w:val="none"/>
              </w:rPr>
              <w:t>42.</w:t>
            </w:r>
            <w:r>
              <w:rPr>
                <w:rFonts w:hint="eastAsia" w:ascii="仿宋" w:hAnsi="仿宋" w:eastAsia="仿宋" w:cs="仿宋"/>
                <w:color w:val="auto"/>
                <w:spacing w:val="-3"/>
                <w:sz w:val="21"/>
                <w:szCs w:val="21"/>
                <w:highlight w:val="none"/>
                <w:lang w:eastAsia="zh-CN"/>
              </w:rPr>
              <w:t>9</w:t>
            </w:r>
          </w:p>
        </w:tc>
        <w:tc>
          <w:tcPr>
            <w:tcW w:w="1701" w:type="dxa"/>
            <w:vAlign w:val="center"/>
          </w:tcPr>
          <w:p w14:paraId="4E60F534">
            <w:pPr>
              <w:pStyle w:val="28"/>
              <w:spacing w:line="233" w:lineRule="auto"/>
              <w:ind w:left="-107" w:leftChars="-51" w:right="-55"/>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标的所属行业参照后附《工信部联企业</w:t>
            </w:r>
            <w:r>
              <w:rPr>
                <w:rFonts w:hint="eastAsia" w:ascii="仿宋" w:hAnsi="仿宋" w:eastAsia="仿宋" w:cs="仿宋"/>
                <w:color w:val="auto"/>
                <w:spacing w:val="-5"/>
                <w:sz w:val="21"/>
                <w:szCs w:val="21"/>
                <w:highlight w:val="none"/>
                <w:lang w:eastAsia="zh-CN"/>
              </w:rPr>
              <w:t>〔2011〕300</w:t>
            </w:r>
            <w:r>
              <w:rPr>
                <w:rFonts w:hint="eastAsia" w:ascii="仿宋" w:hAnsi="仿宋" w:eastAsia="仿宋" w:cs="仿宋"/>
                <w:color w:val="auto"/>
                <w:spacing w:val="-8"/>
                <w:sz w:val="21"/>
                <w:szCs w:val="21"/>
                <w:highlight w:val="none"/>
                <w:lang w:eastAsia="zh-CN"/>
              </w:rPr>
              <w:t>号》</w:t>
            </w:r>
          </w:p>
        </w:tc>
        <w:tc>
          <w:tcPr>
            <w:tcW w:w="7088" w:type="dxa"/>
            <w:vAlign w:val="center"/>
          </w:tcPr>
          <w:p w14:paraId="0E3F2A2C">
            <w:pPr>
              <w:pStyle w:val="28"/>
              <w:spacing w:line="360" w:lineRule="auto"/>
              <w:rPr>
                <w:rFonts w:ascii="仿宋" w:hAnsi="仿宋" w:eastAsia="仿宋" w:cs="仿宋"/>
                <w:color w:val="auto"/>
                <w:spacing w:val="-1"/>
                <w:sz w:val="21"/>
                <w:szCs w:val="21"/>
                <w:lang w:eastAsia="zh-CN"/>
              </w:rPr>
            </w:pPr>
            <w:r>
              <w:rPr>
                <w:rFonts w:hint="eastAsia" w:ascii="仿宋" w:hAnsi="仿宋" w:eastAsia="仿宋" w:cs="仿宋"/>
                <w:color w:val="auto"/>
                <w:spacing w:val="-1"/>
                <w:sz w:val="21"/>
                <w:szCs w:val="21"/>
                <w:lang w:eastAsia="zh-CN"/>
              </w:rPr>
              <w:t>本项目采购标的对应的中小企业划分标准所属行业：</w:t>
            </w:r>
          </w:p>
          <w:p w14:paraId="70A0F5D5">
            <w:pPr>
              <w:pStyle w:val="28"/>
              <w:spacing w:line="360" w:lineRule="auto"/>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lang w:eastAsia="zh-CN"/>
              </w:rPr>
              <w:t>详见招标文件第七章投标文件格式</w:t>
            </w:r>
            <w:r>
              <w:rPr>
                <w:rFonts w:hint="eastAsia" w:ascii="仿宋" w:hAnsi="仿宋" w:eastAsia="仿宋" w:cs="仿宋"/>
                <w:color w:val="auto"/>
                <w:spacing w:val="-1"/>
                <w:sz w:val="21"/>
                <w:szCs w:val="21"/>
                <w:lang w:val="en-US" w:eastAsia="zh-CN"/>
              </w:rPr>
              <w:t>的中小微企业声明函附表</w:t>
            </w:r>
          </w:p>
        </w:tc>
      </w:tr>
      <w:tr w14:paraId="066F8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76D61B87">
            <w:pPr>
              <w:pStyle w:val="28"/>
              <w:spacing w:line="183"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43.5</w:t>
            </w:r>
          </w:p>
        </w:tc>
        <w:tc>
          <w:tcPr>
            <w:tcW w:w="1701" w:type="dxa"/>
            <w:vAlign w:val="center"/>
          </w:tcPr>
          <w:p w14:paraId="1CFE0452">
            <w:pPr>
              <w:pStyle w:val="28"/>
              <w:spacing w:line="360" w:lineRule="auto"/>
              <w:ind w:left="-108" w:right="-108"/>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优先采购节能环保产品</w:t>
            </w:r>
            <w:bookmarkStart w:id="20" w:name="OLE_LINK30"/>
            <w:bookmarkStart w:id="21" w:name="OLE_LINK31"/>
            <w:r>
              <w:rPr>
                <w:rFonts w:hint="eastAsia" w:ascii="仿宋" w:hAnsi="仿宋" w:eastAsia="仿宋" w:cs="仿宋"/>
                <w:color w:val="auto"/>
                <w:spacing w:val="-2"/>
                <w:sz w:val="21"/>
                <w:szCs w:val="21"/>
                <w:highlight w:val="none"/>
                <w:lang w:eastAsia="zh-CN"/>
              </w:rPr>
              <w:t>（如涉及）</w:t>
            </w:r>
            <w:bookmarkEnd w:id="20"/>
            <w:bookmarkEnd w:id="21"/>
          </w:p>
        </w:tc>
        <w:tc>
          <w:tcPr>
            <w:tcW w:w="7088" w:type="dxa"/>
            <w:vAlign w:val="center"/>
          </w:tcPr>
          <w:p w14:paraId="2626768E">
            <w:pPr>
              <w:pStyle w:val="28"/>
              <w:spacing w:before="28" w:line="360" w:lineRule="auto"/>
              <w:jc w:val="both"/>
              <w:rPr>
                <w:rFonts w:ascii="仿宋" w:hAnsi="仿宋" w:eastAsia="仿宋" w:cs="仿宋"/>
                <w:color w:val="auto"/>
                <w:spacing w:val="-1"/>
                <w:sz w:val="21"/>
                <w:szCs w:val="21"/>
                <w:highlight w:val="none"/>
                <w:lang w:eastAsia="zh-CN"/>
              </w:rPr>
            </w:pPr>
            <w:bookmarkStart w:id="22" w:name="OLE_LINK6"/>
            <w:r>
              <w:rPr>
                <w:rFonts w:hint="eastAsia" w:ascii="仿宋" w:hAnsi="仿宋" w:eastAsia="仿宋" w:cs="仿宋"/>
                <w:color w:val="auto"/>
                <w:spacing w:val="-1"/>
                <w:sz w:val="21"/>
                <w:szCs w:val="21"/>
                <w:highlight w:val="none"/>
                <w:lang w:eastAsia="zh-CN"/>
              </w:rPr>
              <w:t>产品属于节能产品、环境标志产品品目清单范围内，且投标人所投产品具有有效期内的产品认证证书，在评标时予以优先采购，具体优惠措施为：</w:t>
            </w:r>
            <w:bookmarkStart w:id="23" w:name="OLE_LINK29"/>
            <w:bookmarkStart w:id="24" w:name="OLE_LINK32"/>
            <w:r>
              <w:rPr>
                <w:rFonts w:hint="eastAsia" w:ascii="仿宋" w:hAnsi="仿宋" w:eastAsia="仿宋" w:cs="仿宋"/>
                <w:color w:val="auto"/>
                <w:spacing w:val="-1"/>
                <w:sz w:val="21"/>
                <w:szCs w:val="21"/>
                <w:highlight w:val="none"/>
                <w:lang w:eastAsia="zh-CN"/>
              </w:rPr>
              <w:t>在参加评审时，可获得该产品报价1%的价格扣除。</w:t>
            </w:r>
            <w:bookmarkEnd w:id="22"/>
            <w:bookmarkEnd w:id="23"/>
            <w:bookmarkEnd w:id="24"/>
          </w:p>
        </w:tc>
      </w:tr>
      <w:tr w14:paraId="61AA0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5" w:hRule="atLeast"/>
        </w:trPr>
        <w:tc>
          <w:tcPr>
            <w:tcW w:w="851" w:type="dxa"/>
            <w:vAlign w:val="center"/>
          </w:tcPr>
          <w:p w14:paraId="5CFC0356">
            <w:pPr>
              <w:pStyle w:val="28"/>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47.1</w:t>
            </w:r>
          </w:p>
        </w:tc>
        <w:tc>
          <w:tcPr>
            <w:tcW w:w="1701" w:type="dxa"/>
            <w:vAlign w:val="center"/>
          </w:tcPr>
          <w:p w14:paraId="7E5F3EE7">
            <w:pPr>
              <w:pStyle w:val="28"/>
              <w:spacing w:before="78" w:line="360" w:lineRule="auto"/>
              <w:ind w:left="-107" w:leftChars="-51" w:right="-107" w:rightChars="-51"/>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3"/>
                <w:sz w:val="21"/>
                <w:szCs w:val="21"/>
                <w:highlight w:val="none"/>
                <w:lang w:eastAsia="zh-CN"/>
              </w:rPr>
              <w:t>政府采购</w:t>
            </w:r>
            <w:r>
              <w:rPr>
                <w:rFonts w:hint="eastAsia" w:ascii="仿宋" w:hAnsi="仿宋" w:eastAsia="仿宋" w:cs="仿宋"/>
                <w:color w:val="auto"/>
                <w:spacing w:val="-2"/>
                <w:sz w:val="21"/>
                <w:szCs w:val="21"/>
                <w:highlight w:val="none"/>
                <w:lang w:eastAsia="zh-CN"/>
              </w:rPr>
              <w:t>合同融资政策</w:t>
            </w:r>
          </w:p>
        </w:tc>
        <w:tc>
          <w:tcPr>
            <w:tcW w:w="7088" w:type="dxa"/>
            <w:vAlign w:val="center"/>
          </w:tcPr>
          <w:p w14:paraId="1E00E961">
            <w:pPr>
              <w:pStyle w:val="28"/>
              <w:spacing w:before="28"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w:t>
            </w:r>
          </w:p>
        </w:tc>
      </w:tr>
      <w:tr w14:paraId="617A5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60B7E43D">
            <w:pPr>
              <w:pStyle w:val="28"/>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48.1</w:t>
            </w:r>
          </w:p>
        </w:tc>
        <w:tc>
          <w:tcPr>
            <w:tcW w:w="1701" w:type="dxa"/>
            <w:vAlign w:val="center"/>
          </w:tcPr>
          <w:p w14:paraId="1A5A3608">
            <w:pPr>
              <w:pStyle w:val="28"/>
              <w:spacing w:before="282" w:line="230" w:lineRule="auto"/>
              <w:ind w:left="-107" w:leftChars="-51" w:right="-108"/>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需要补充的其他内容</w:t>
            </w:r>
          </w:p>
        </w:tc>
        <w:tc>
          <w:tcPr>
            <w:tcW w:w="7088" w:type="dxa"/>
            <w:vAlign w:val="center"/>
          </w:tcPr>
          <w:p w14:paraId="21EAC7B4">
            <w:pPr>
              <w:pStyle w:val="34"/>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投标人需自行准备电脑笔记本并调试好解密,在政采云远程不见面开标大厅进行投标文件解密，如因投标人自身原因导致在规定时间内无法正常解密的（如：浏览器故障、未安装相关驱动、网络故障、加密CA与解密 CA 不一致等），代理机构不予异常处理，视为投标人自动弃标。</w:t>
            </w:r>
          </w:p>
          <w:p w14:paraId="206163F2">
            <w:pPr>
              <w:pStyle w:val="34"/>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2、当出现下列情形之一，投标文件将予以退回：</w:t>
            </w:r>
          </w:p>
          <w:p w14:paraId="2FA4C491">
            <w:pPr>
              <w:pStyle w:val="34"/>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1）投标人在提交投标文件截止时间前未成功上传加密电子投标文件（ .bttf）；</w:t>
            </w:r>
          </w:p>
          <w:p w14:paraId="3FA63802">
            <w:pPr>
              <w:pStyle w:val="34"/>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2）投标人开标现场携带CA数字证书与上传加密投标文件使用的 CA 数字证书不一致；</w:t>
            </w:r>
          </w:p>
          <w:p w14:paraId="7CE44D97">
            <w:pPr>
              <w:pStyle w:val="34"/>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3）投标人解密时 CA 数字证书已过期，导致无法正常解密；</w:t>
            </w:r>
          </w:p>
          <w:p w14:paraId="2E1B1C96">
            <w:pPr>
              <w:pStyle w:val="34"/>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4）加密投标文件时，CA 数字证书未过期，开标解密时，显示CA数字证书已过期，导致无法正常解密；</w:t>
            </w:r>
          </w:p>
          <w:p w14:paraId="183358A7">
            <w:pPr>
              <w:pStyle w:val="34"/>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5）投标人个人原因导致无法解密的其他情形。</w:t>
            </w:r>
          </w:p>
          <w:p w14:paraId="1892F7BE">
            <w:pPr>
              <w:pStyle w:val="34"/>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3、请各潜在投标人及时在政采云平台 https://www.zcygov.cn 上领取最新的采购文件制作投标文件。</w:t>
            </w:r>
          </w:p>
          <w:p w14:paraId="33397207">
            <w:pPr>
              <w:pStyle w:val="28"/>
              <w:spacing w:before="28"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z w:val="21"/>
                <w:szCs w:val="21"/>
                <w:highlight w:val="none"/>
                <w:lang w:eastAsia="zh-CN"/>
              </w:rPr>
              <w:t>4、本项目的招标投标活动以及相关当事人须接受财政监督部门依法实施的监督。</w:t>
            </w:r>
          </w:p>
        </w:tc>
      </w:tr>
      <w:tr w14:paraId="47F2A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9640" w:type="dxa"/>
            <w:gridSpan w:val="3"/>
            <w:vAlign w:val="center"/>
          </w:tcPr>
          <w:p w14:paraId="3250A862">
            <w:pPr>
              <w:pStyle w:val="28"/>
              <w:spacing w:line="360" w:lineRule="auto"/>
              <w:ind w:left="-2"/>
              <w:rPr>
                <w:rFonts w:ascii="仿宋" w:hAnsi="仿宋" w:eastAsia="仿宋" w:cs="仿宋"/>
                <w:color w:val="auto"/>
                <w:sz w:val="21"/>
                <w:szCs w:val="21"/>
                <w:highlight w:val="none"/>
                <w:lang w:eastAsia="zh-CN"/>
              </w:rPr>
            </w:pPr>
            <w:r>
              <w:rPr>
                <w:rFonts w:hint="eastAsia" w:ascii="仿宋" w:hAnsi="仿宋" w:eastAsia="仿宋" w:cs="仿宋"/>
                <w:color w:val="auto"/>
                <w:spacing w:val="10"/>
                <w:sz w:val="21"/>
                <w:szCs w:val="21"/>
                <w:highlight w:val="none"/>
                <w:lang w:eastAsia="zh-CN"/>
              </w:rPr>
              <w:t>备注:</w:t>
            </w:r>
          </w:p>
          <w:p w14:paraId="44A8F9D4">
            <w:pPr>
              <w:pStyle w:val="28"/>
              <w:spacing w:line="360" w:lineRule="auto"/>
              <w:ind w:left="-2" w:right="-15" w:rightChars="-7"/>
              <w:rPr>
                <w:rFonts w:ascii="仿宋" w:hAnsi="仿宋" w:eastAsia="仿宋" w:cs="仿宋"/>
                <w:color w:val="auto"/>
                <w:spacing w:val="10"/>
                <w:sz w:val="21"/>
                <w:szCs w:val="21"/>
                <w:highlight w:val="none"/>
                <w:lang w:eastAsia="zh-CN"/>
              </w:rPr>
            </w:pPr>
            <w:r>
              <w:rPr>
                <w:rFonts w:hint="eastAsia" w:ascii="仿宋" w:hAnsi="仿宋" w:eastAsia="仿宋" w:cs="仿宋"/>
                <w:color w:val="auto"/>
                <w:spacing w:val="10"/>
                <w:sz w:val="21"/>
                <w:szCs w:val="21"/>
                <w:highlight w:val="none"/>
                <w:lang w:eastAsia="zh-CN"/>
              </w:rPr>
              <w:t>1.除本招标文件另有规定外，招标文件中出现的类似于“近三年”或“前三年”、“近五年”或“前五年”均指提交投标文件截止时间之前三年或前五年，以此类推。</w:t>
            </w:r>
          </w:p>
          <w:p w14:paraId="0E2D4BBC">
            <w:pPr>
              <w:pStyle w:val="28"/>
              <w:spacing w:line="360" w:lineRule="auto"/>
              <w:ind w:left="-2" w:right="-15" w:rightChars="-7"/>
              <w:rPr>
                <w:rFonts w:ascii="仿宋" w:hAnsi="仿宋" w:eastAsia="仿宋" w:cs="仿宋"/>
                <w:color w:val="auto"/>
                <w:spacing w:val="10"/>
                <w:sz w:val="21"/>
                <w:szCs w:val="21"/>
                <w:highlight w:val="none"/>
                <w:lang w:eastAsia="zh-CN"/>
              </w:rPr>
            </w:pPr>
            <w:r>
              <w:rPr>
                <w:rFonts w:hint="eastAsia" w:ascii="仿宋" w:hAnsi="仿宋" w:eastAsia="仿宋" w:cs="仿宋"/>
                <w:color w:val="auto"/>
                <w:spacing w:val="10"/>
                <w:sz w:val="21"/>
                <w:szCs w:val="21"/>
                <w:highlight w:val="none"/>
                <w:lang w:eastAsia="zh-CN"/>
              </w:rPr>
              <w:t>如：提交投标文件截止时间为2025年0</w:t>
            </w:r>
            <w:r>
              <w:rPr>
                <w:rFonts w:hint="eastAsia" w:ascii="仿宋" w:hAnsi="仿宋" w:eastAsia="仿宋" w:cs="仿宋"/>
                <w:color w:val="auto"/>
                <w:spacing w:val="10"/>
                <w:sz w:val="21"/>
                <w:szCs w:val="21"/>
                <w:highlight w:val="none"/>
                <w:lang w:val="en-US" w:eastAsia="zh-CN"/>
              </w:rPr>
              <w:t>7</w:t>
            </w:r>
            <w:r>
              <w:rPr>
                <w:rFonts w:hint="eastAsia" w:ascii="仿宋" w:hAnsi="仿宋" w:eastAsia="仿宋" w:cs="仿宋"/>
                <w:color w:val="auto"/>
                <w:spacing w:val="10"/>
                <w:sz w:val="21"/>
                <w:szCs w:val="21"/>
                <w:highlight w:val="none"/>
                <w:lang w:eastAsia="zh-CN"/>
              </w:rPr>
              <w:t>月</w:t>
            </w:r>
            <w:r>
              <w:rPr>
                <w:rFonts w:hint="eastAsia" w:ascii="仿宋" w:hAnsi="仿宋" w:eastAsia="仿宋" w:cs="仿宋"/>
                <w:color w:val="auto"/>
                <w:spacing w:val="10"/>
                <w:sz w:val="21"/>
                <w:szCs w:val="21"/>
                <w:highlight w:val="none"/>
                <w:lang w:val="en-US" w:eastAsia="zh-CN"/>
              </w:rPr>
              <w:t>16</w:t>
            </w:r>
            <w:r>
              <w:rPr>
                <w:rFonts w:hint="eastAsia" w:ascii="仿宋" w:hAnsi="仿宋" w:eastAsia="仿宋" w:cs="仿宋"/>
                <w:color w:val="auto"/>
                <w:spacing w:val="10"/>
                <w:sz w:val="21"/>
                <w:szCs w:val="21"/>
                <w:highlight w:val="none"/>
                <w:lang w:eastAsia="zh-CN"/>
              </w:rPr>
              <w:t>日，则“近三年”是指2022年0</w:t>
            </w:r>
            <w:r>
              <w:rPr>
                <w:rFonts w:hint="eastAsia" w:ascii="仿宋" w:hAnsi="仿宋" w:eastAsia="仿宋" w:cs="仿宋"/>
                <w:color w:val="auto"/>
                <w:spacing w:val="10"/>
                <w:sz w:val="21"/>
                <w:szCs w:val="21"/>
                <w:highlight w:val="none"/>
                <w:lang w:val="en-US" w:eastAsia="zh-CN"/>
              </w:rPr>
              <w:t>7</w:t>
            </w:r>
            <w:r>
              <w:rPr>
                <w:rFonts w:hint="eastAsia" w:ascii="仿宋" w:hAnsi="仿宋" w:eastAsia="仿宋" w:cs="仿宋"/>
                <w:color w:val="auto"/>
                <w:spacing w:val="10"/>
                <w:sz w:val="21"/>
                <w:szCs w:val="21"/>
                <w:highlight w:val="none"/>
                <w:lang w:eastAsia="zh-CN"/>
              </w:rPr>
              <w:t>月</w:t>
            </w:r>
            <w:r>
              <w:rPr>
                <w:rFonts w:hint="eastAsia" w:ascii="仿宋" w:hAnsi="仿宋" w:eastAsia="仿宋" w:cs="仿宋"/>
                <w:color w:val="auto"/>
                <w:spacing w:val="10"/>
                <w:sz w:val="21"/>
                <w:szCs w:val="21"/>
                <w:highlight w:val="none"/>
                <w:lang w:val="en-US" w:eastAsia="zh-CN"/>
              </w:rPr>
              <w:t>16</w:t>
            </w:r>
            <w:r>
              <w:rPr>
                <w:rFonts w:hint="eastAsia" w:ascii="仿宋" w:hAnsi="仿宋" w:eastAsia="仿宋" w:cs="仿宋"/>
                <w:color w:val="auto"/>
                <w:spacing w:val="10"/>
                <w:sz w:val="21"/>
                <w:szCs w:val="21"/>
                <w:highlight w:val="none"/>
                <w:lang w:eastAsia="zh-CN"/>
              </w:rPr>
              <w:t>日至2025年0</w:t>
            </w:r>
            <w:r>
              <w:rPr>
                <w:rFonts w:hint="eastAsia" w:ascii="仿宋" w:hAnsi="仿宋" w:eastAsia="仿宋" w:cs="仿宋"/>
                <w:color w:val="auto"/>
                <w:spacing w:val="10"/>
                <w:sz w:val="21"/>
                <w:szCs w:val="21"/>
                <w:highlight w:val="none"/>
                <w:lang w:val="en-US" w:eastAsia="zh-CN"/>
              </w:rPr>
              <w:t>7</w:t>
            </w:r>
            <w:r>
              <w:rPr>
                <w:rFonts w:hint="eastAsia" w:ascii="仿宋" w:hAnsi="仿宋" w:eastAsia="仿宋" w:cs="仿宋"/>
                <w:color w:val="auto"/>
                <w:spacing w:val="10"/>
                <w:sz w:val="21"/>
                <w:szCs w:val="21"/>
                <w:highlight w:val="none"/>
                <w:lang w:eastAsia="zh-CN"/>
              </w:rPr>
              <w:t xml:space="preserve">月 </w:t>
            </w:r>
            <w:r>
              <w:rPr>
                <w:rFonts w:hint="eastAsia" w:ascii="仿宋" w:hAnsi="仿宋" w:eastAsia="仿宋" w:cs="仿宋"/>
                <w:color w:val="auto"/>
                <w:spacing w:val="10"/>
                <w:sz w:val="21"/>
                <w:szCs w:val="21"/>
                <w:highlight w:val="none"/>
                <w:lang w:val="en-US" w:eastAsia="zh-CN"/>
              </w:rPr>
              <w:t>16</w:t>
            </w:r>
            <w:r>
              <w:rPr>
                <w:rFonts w:hint="eastAsia" w:ascii="仿宋" w:hAnsi="仿宋" w:eastAsia="仿宋" w:cs="仿宋"/>
                <w:color w:val="auto"/>
                <w:spacing w:val="10"/>
                <w:sz w:val="21"/>
                <w:szCs w:val="21"/>
                <w:highlight w:val="none"/>
                <w:lang w:eastAsia="zh-CN"/>
              </w:rPr>
              <w:t>日。</w:t>
            </w:r>
          </w:p>
          <w:p w14:paraId="34C53A41">
            <w:pPr>
              <w:pStyle w:val="28"/>
              <w:numPr>
                <w:ilvl w:val="0"/>
                <w:numId w:val="1"/>
              </w:numPr>
              <w:spacing w:line="360" w:lineRule="auto"/>
              <w:ind w:left="-2" w:right="-15" w:rightChars="-7"/>
              <w:rPr>
                <w:rFonts w:ascii="仿宋" w:hAnsi="仿宋" w:eastAsia="仿宋" w:cs="仿宋"/>
                <w:color w:val="auto"/>
                <w:spacing w:val="10"/>
                <w:sz w:val="21"/>
                <w:szCs w:val="21"/>
                <w:highlight w:val="none"/>
                <w:lang w:eastAsia="zh-CN"/>
              </w:rPr>
            </w:pPr>
            <w:r>
              <w:rPr>
                <w:rFonts w:hint="eastAsia" w:ascii="仿宋" w:hAnsi="仿宋" w:eastAsia="仿宋" w:cs="仿宋"/>
                <w:color w:val="auto"/>
                <w:spacing w:val="10"/>
                <w:sz w:val="21"/>
                <w:szCs w:val="21"/>
                <w:highlight w:val="none"/>
                <w:lang w:eastAsia="zh-CN"/>
              </w:rPr>
              <w:t>本招标文件所称的“以上”、“以下”、“内”、“以内”，包括本数；所称的“不足”，不包括本数。</w:t>
            </w:r>
          </w:p>
          <w:p w14:paraId="59A3C6B3">
            <w:pPr>
              <w:pStyle w:val="28"/>
              <w:numPr>
                <w:ilvl w:val="0"/>
                <w:numId w:val="1"/>
              </w:numPr>
              <w:spacing w:line="360" w:lineRule="auto"/>
              <w:ind w:left="-2" w:right="-15" w:rightChars="-7"/>
              <w:rPr>
                <w:rFonts w:ascii="仿宋" w:hAnsi="仿宋" w:eastAsia="仿宋" w:cs="仿宋"/>
                <w:color w:val="auto"/>
                <w:spacing w:val="10"/>
                <w:sz w:val="21"/>
                <w:szCs w:val="21"/>
                <w:highlight w:val="none"/>
                <w:lang w:eastAsia="zh-CN"/>
              </w:rPr>
            </w:pPr>
            <w:r>
              <w:rPr>
                <w:rFonts w:hint="eastAsia" w:ascii="仿宋" w:hAnsi="仿宋" w:eastAsia="仿宋" w:cs="仿宋"/>
                <w:b/>
                <w:bCs/>
                <w:color w:val="auto"/>
                <w:spacing w:val="10"/>
                <w:sz w:val="21"/>
                <w:szCs w:val="21"/>
                <w:highlight w:val="none"/>
                <w:lang w:eastAsia="zh-CN"/>
              </w:rPr>
              <w:t>投标须知正文内容与投标人须知前附表内容不一致时，以投标人须知前附表内容为准。</w:t>
            </w:r>
          </w:p>
        </w:tc>
      </w:tr>
    </w:tbl>
    <w:p w14:paraId="42AFB357">
      <w:pPr>
        <w:rPr>
          <w:rFonts w:ascii="仿宋" w:hAnsi="仿宋" w:eastAsia="仿宋" w:cs="仿宋"/>
          <w:color w:val="auto"/>
          <w:highlight w:val="none"/>
          <w:lang w:eastAsia="zh-CN"/>
        </w:rPr>
      </w:pPr>
    </w:p>
    <w:p w14:paraId="26D4577D">
      <w:pPr>
        <w:pageBreakBefore/>
        <w:spacing w:line="360" w:lineRule="auto"/>
        <w:ind w:left="28" w:right="-27" w:rightChars="-13"/>
        <w:jc w:val="center"/>
        <w:outlineLvl w:val="1"/>
        <w:rPr>
          <w:rFonts w:ascii="仿宋" w:hAnsi="仿宋" w:eastAsia="仿宋" w:cs="仿宋"/>
          <w:color w:val="auto"/>
          <w:sz w:val="24"/>
          <w:szCs w:val="24"/>
          <w:highlight w:val="none"/>
          <w:lang w:eastAsia="zh-CN"/>
        </w:rPr>
      </w:pPr>
      <w:bookmarkStart w:id="25" w:name="bookmark21"/>
      <w:bookmarkEnd w:id="25"/>
      <w:bookmarkStart w:id="26" w:name="bookmark22"/>
      <w:bookmarkEnd w:id="26"/>
      <w:bookmarkStart w:id="27" w:name="_Toc25808"/>
      <w:r>
        <w:rPr>
          <w:rFonts w:hint="eastAsia" w:ascii="仿宋" w:hAnsi="仿宋" w:eastAsia="仿宋" w:cs="仿宋"/>
          <w:b/>
          <w:bCs/>
          <w:color w:val="auto"/>
          <w:spacing w:val="5"/>
          <w:sz w:val="24"/>
          <w:szCs w:val="24"/>
          <w:highlight w:val="none"/>
          <w:lang w:eastAsia="zh-CN"/>
        </w:rPr>
        <w:t>二、投标人须知</w:t>
      </w:r>
      <w:bookmarkEnd w:id="27"/>
    </w:p>
    <w:p w14:paraId="3A0E4429">
      <w:pPr>
        <w:spacing w:line="360" w:lineRule="auto"/>
        <w:ind w:left="31" w:right="-27" w:rightChars="-13"/>
        <w:outlineLvl w:val="2"/>
        <w:rPr>
          <w:rFonts w:ascii="仿宋" w:hAnsi="仿宋" w:eastAsia="仿宋" w:cs="仿宋"/>
          <w:color w:val="auto"/>
          <w:sz w:val="24"/>
          <w:szCs w:val="24"/>
          <w:highlight w:val="none"/>
          <w:lang w:eastAsia="zh-CN"/>
        </w:rPr>
      </w:pPr>
      <w:bookmarkStart w:id="28" w:name="bookmark24"/>
      <w:bookmarkEnd w:id="28"/>
      <w:bookmarkStart w:id="29" w:name="bookmark23"/>
      <w:bookmarkEnd w:id="29"/>
      <w:bookmarkStart w:id="30" w:name="_Toc186477687"/>
      <w:bookmarkStart w:id="31" w:name="_Toc29827"/>
      <w:r>
        <w:rPr>
          <w:rFonts w:hint="eastAsia" w:ascii="仿宋" w:hAnsi="仿宋" w:eastAsia="仿宋" w:cs="仿宋"/>
          <w:b/>
          <w:bCs/>
          <w:color w:val="auto"/>
          <w:spacing w:val="-8"/>
          <w:sz w:val="24"/>
          <w:szCs w:val="24"/>
          <w:highlight w:val="none"/>
          <w:lang w:eastAsia="zh-CN"/>
        </w:rPr>
        <w:t>（一）总则</w:t>
      </w:r>
      <w:bookmarkEnd w:id="30"/>
      <w:bookmarkEnd w:id="31"/>
    </w:p>
    <w:p w14:paraId="5E166F68">
      <w:pPr>
        <w:spacing w:line="360" w:lineRule="auto"/>
        <w:ind w:left="31" w:right="-27" w:rightChars="-13"/>
        <w:outlineLvl w:val="2"/>
        <w:rPr>
          <w:rFonts w:ascii="仿宋" w:hAnsi="仿宋" w:eastAsia="仿宋" w:cs="仿宋"/>
          <w:color w:val="auto"/>
          <w:sz w:val="24"/>
          <w:szCs w:val="24"/>
          <w:highlight w:val="none"/>
          <w:lang w:eastAsia="zh-CN"/>
        </w:rPr>
      </w:pPr>
      <w:bookmarkStart w:id="32" w:name="bookmark26"/>
      <w:bookmarkEnd w:id="32"/>
      <w:bookmarkStart w:id="33" w:name="bookmark25"/>
      <w:bookmarkEnd w:id="33"/>
      <w:bookmarkStart w:id="34" w:name="_Toc32372"/>
      <w:bookmarkStart w:id="35" w:name="_Toc186477688"/>
      <w:r>
        <w:rPr>
          <w:rFonts w:hint="eastAsia" w:ascii="仿宋" w:hAnsi="仿宋" w:eastAsia="仿宋" w:cs="仿宋"/>
          <w:b/>
          <w:bCs/>
          <w:color w:val="auto"/>
          <w:spacing w:val="-8"/>
          <w:sz w:val="24"/>
          <w:szCs w:val="24"/>
          <w:highlight w:val="none"/>
          <w:lang w:eastAsia="zh-CN"/>
        </w:rPr>
        <w:t>1.适用范围</w:t>
      </w:r>
      <w:bookmarkEnd w:id="34"/>
      <w:bookmarkEnd w:id="35"/>
    </w:p>
    <w:p w14:paraId="729BB5F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1.1本招标文件仅适用于本项目的采购活动。</w:t>
      </w:r>
    </w:p>
    <w:p w14:paraId="31353F9B">
      <w:pPr>
        <w:spacing w:line="360" w:lineRule="auto"/>
        <w:ind w:left="31" w:right="-27" w:rightChars="-13"/>
        <w:outlineLvl w:val="2"/>
        <w:rPr>
          <w:rFonts w:ascii="仿宋" w:hAnsi="仿宋" w:eastAsia="仿宋" w:cs="仿宋"/>
          <w:color w:val="auto"/>
          <w:sz w:val="24"/>
          <w:szCs w:val="24"/>
          <w:highlight w:val="none"/>
          <w:lang w:eastAsia="zh-CN"/>
        </w:rPr>
      </w:pPr>
      <w:bookmarkStart w:id="36" w:name="bookmark27"/>
      <w:bookmarkEnd w:id="36"/>
      <w:bookmarkStart w:id="37" w:name="bookmark28"/>
      <w:bookmarkEnd w:id="37"/>
      <w:bookmarkStart w:id="38" w:name="_Toc186477689"/>
      <w:bookmarkStart w:id="39" w:name="_Toc18552"/>
      <w:r>
        <w:rPr>
          <w:rFonts w:hint="eastAsia" w:ascii="仿宋" w:hAnsi="仿宋" w:eastAsia="仿宋" w:cs="仿宋"/>
          <w:b/>
          <w:bCs/>
          <w:color w:val="auto"/>
          <w:spacing w:val="-5"/>
          <w:sz w:val="24"/>
          <w:szCs w:val="24"/>
          <w:highlight w:val="none"/>
          <w:lang w:eastAsia="zh-CN"/>
        </w:rPr>
        <w:t>2.基本定义</w:t>
      </w:r>
      <w:bookmarkEnd w:id="38"/>
      <w:bookmarkEnd w:id="39"/>
    </w:p>
    <w:p w14:paraId="03A5D00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2.1根据《中华人民共和国政府采购法》及其实施条例等有关法律、法规和</w:t>
      </w:r>
      <w:r>
        <w:rPr>
          <w:rFonts w:hint="eastAsia" w:ascii="仿宋" w:hAnsi="仿宋" w:eastAsia="仿宋" w:cs="仿宋"/>
          <w:color w:val="auto"/>
          <w:spacing w:val="-1"/>
          <w:sz w:val="24"/>
          <w:szCs w:val="24"/>
          <w:highlight w:val="none"/>
          <w:lang w:eastAsia="zh-CN"/>
        </w:rPr>
        <w:t>规章的规定，制定本招标文件。</w:t>
      </w:r>
    </w:p>
    <w:p w14:paraId="6006AC9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2.2采购人：指依法进行政府采购的国家机关、事业单位、团体组织。</w:t>
      </w:r>
    </w:p>
    <w:p w14:paraId="0468222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2.3采购代理机构：指依法进行政府采购的国家机关、事业单位、团体组织</w:t>
      </w:r>
      <w:r>
        <w:rPr>
          <w:rFonts w:hint="eastAsia" w:ascii="仿宋" w:hAnsi="仿宋" w:eastAsia="仿宋" w:cs="仿宋"/>
          <w:color w:val="auto"/>
          <w:spacing w:val="-1"/>
          <w:sz w:val="24"/>
          <w:szCs w:val="24"/>
          <w:highlight w:val="none"/>
          <w:lang w:eastAsia="zh-CN"/>
        </w:rPr>
        <w:t>委托的采购代理机构。</w:t>
      </w:r>
    </w:p>
    <w:p w14:paraId="0FFA7F6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2.4政府采购监督管理部门：各级人民政府财政部门是负责政府采购监督管</w:t>
      </w:r>
      <w:r>
        <w:rPr>
          <w:rFonts w:hint="eastAsia" w:ascii="仿宋" w:hAnsi="仿宋" w:eastAsia="仿宋" w:cs="仿宋"/>
          <w:color w:val="auto"/>
          <w:spacing w:val="-3"/>
          <w:sz w:val="24"/>
          <w:szCs w:val="24"/>
          <w:highlight w:val="none"/>
          <w:lang w:eastAsia="zh-CN"/>
        </w:rPr>
        <w:t>理的部门，依法履行对政府采购活动的监督管理职责。各级人民政府其他有</w:t>
      </w:r>
      <w:r>
        <w:rPr>
          <w:rFonts w:hint="eastAsia" w:ascii="仿宋" w:hAnsi="仿宋" w:eastAsia="仿宋" w:cs="仿宋"/>
          <w:color w:val="auto"/>
          <w:spacing w:val="-4"/>
          <w:sz w:val="24"/>
          <w:szCs w:val="24"/>
          <w:highlight w:val="none"/>
          <w:lang w:eastAsia="zh-CN"/>
        </w:rPr>
        <w:t>关部</w:t>
      </w:r>
      <w:r>
        <w:rPr>
          <w:rFonts w:hint="eastAsia" w:ascii="仿宋" w:hAnsi="仿宋" w:eastAsia="仿宋" w:cs="仿宋"/>
          <w:color w:val="auto"/>
          <w:spacing w:val="-1"/>
          <w:sz w:val="24"/>
          <w:szCs w:val="24"/>
          <w:highlight w:val="none"/>
          <w:lang w:eastAsia="zh-CN"/>
        </w:rPr>
        <w:t>门依法履行与政府采购活动有关的监督管理职责。</w:t>
      </w:r>
    </w:p>
    <w:p w14:paraId="28C5FA7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 核心产品见“投标人须知前附表”。</w:t>
      </w:r>
    </w:p>
    <w:p w14:paraId="41A07D0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2.6是否属于科研仪器设备采购见“投标人须知前附表”。</w:t>
      </w:r>
    </w:p>
    <w:p w14:paraId="0D79CDF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2.7投标人（也称“供应商”、“申请人”</w:t>
      </w:r>
      <w:r>
        <w:rPr>
          <w:rFonts w:hint="eastAsia" w:ascii="仿宋" w:hAnsi="仿宋" w:eastAsia="仿宋" w:cs="仿宋"/>
          <w:color w:val="auto"/>
          <w:spacing w:val="-15"/>
          <w:sz w:val="24"/>
          <w:szCs w:val="24"/>
          <w:highlight w:val="none"/>
          <w:lang w:eastAsia="zh-CN"/>
        </w:rPr>
        <w:t>）：</w:t>
      </w:r>
      <w:r>
        <w:rPr>
          <w:rFonts w:hint="eastAsia" w:ascii="仿宋" w:hAnsi="仿宋" w:eastAsia="仿宋" w:cs="仿宋"/>
          <w:color w:val="auto"/>
          <w:spacing w:val="-4"/>
          <w:sz w:val="24"/>
          <w:szCs w:val="24"/>
          <w:highlight w:val="none"/>
          <w:lang w:eastAsia="zh-CN"/>
        </w:rPr>
        <w:t>指向采购人提</w:t>
      </w:r>
      <w:r>
        <w:rPr>
          <w:rFonts w:hint="eastAsia" w:ascii="仿宋" w:hAnsi="仿宋" w:eastAsia="仿宋" w:cs="仿宋"/>
          <w:color w:val="auto"/>
          <w:spacing w:val="-5"/>
          <w:sz w:val="24"/>
          <w:szCs w:val="24"/>
          <w:highlight w:val="none"/>
          <w:lang w:eastAsia="zh-CN"/>
        </w:rPr>
        <w:t>供货物、工程</w:t>
      </w:r>
      <w:r>
        <w:rPr>
          <w:rFonts w:hint="eastAsia" w:ascii="仿宋" w:hAnsi="仿宋" w:eastAsia="仿宋" w:cs="仿宋"/>
          <w:color w:val="auto"/>
          <w:spacing w:val="-3"/>
          <w:sz w:val="24"/>
          <w:szCs w:val="24"/>
          <w:highlight w:val="none"/>
          <w:lang w:eastAsia="zh-CN"/>
        </w:rPr>
        <w:t>或者服务的法人、其他组织或者自然人。分支机构不得参加政府采购活动，但银行、保险、石油石化、电力、电信等有行业特殊情况的除外。本项目的投标人须</w:t>
      </w:r>
      <w:r>
        <w:rPr>
          <w:rFonts w:hint="eastAsia" w:ascii="仿宋" w:hAnsi="仿宋" w:eastAsia="仿宋" w:cs="仿宋"/>
          <w:color w:val="auto"/>
          <w:spacing w:val="-2"/>
          <w:sz w:val="24"/>
          <w:szCs w:val="24"/>
          <w:highlight w:val="none"/>
          <w:lang w:eastAsia="zh-CN"/>
        </w:rPr>
        <w:t>满足以下条件：</w:t>
      </w:r>
    </w:p>
    <w:p w14:paraId="3BB292D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2.7.1具备《中华人民共和国政府采购法》第二十二条规定的条件，遵守本</w:t>
      </w:r>
      <w:r>
        <w:rPr>
          <w:rFonts w:hint="eastAsia" w:ascii="仿宋" w:hAnsi="仿宋" w:eastAsia="仿宋" w:cs="仿宋"/>
          <w:color w:val="auto"/>
          <w:spacing w:val="-1"/>
          <w:sz w:val="24"/>
          <w:szCs w:val="24"/>
          <w:highlight w:val="none"/>
          <w:lang w:eastAsia="zh-CN"/>
        </w:rPr>
        <w:t>项目采购人本级和上级财政部门政府采购的有关规定。</w:t>
      </w:r>
    </w:p>
    <w:p w14:paraId="0D0F11C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2.7.2以招标公告中发布的方式依法获得了本项目的招标文件。</w:t>
      </w:r>
    </w:p>
    <w:p w14:paraId="787DF9B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2.7.3符合本招标文件规定并参加投标的供应商。</w:t>
      </w:r>
    </w:p>
    <w:p w14:paraId="74FDA0F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2.8潜在投标人、潜在供应商：指符合本招标文件规定的供应商。</w:t>
      </w:r>
    </w:p>
    <w:p w14:paraId="285C574B">
      <w:pPr>
        <w:spacing w:line="360" w:lineRule="auto"/>
        <w:ind w:left="31" w:right="-27" w:rightChars="-13"/>
        <w:outlineLvl w:val="2"/>
        <w:rPr>
          <w:rFonts w:ascii="仿宋" w:hAnsi="仿宋" w:eastAsia="仿宋" w:cs="仿宋"/>
          <w:color w:val="auto"/>
          <w:sz w:val="24"/>
          <w:szCs w:val="24"/>
          <w:highlight w:val="none"/>
          <w:lang w:eastAsia="zh-CN"/>
        </w:rPr>
      </w:pPr>
      <w:bookmarkStart w:id="40" w:name="bookmark30"/>
      <w:bookmarkEnd w:id="40"/>
      <w:bookmarkStart w:id="41" w:name="bookmark29"/>
      <w:bookmarkEnd w:id="41"/>
      <w:bookmarkStart w:id="42" w:name="_Toc186477690"/>
      <w:bookmarkStart w:id="43" w:name="_Toc14866"/>
      <w:r>
        <w:rPr>
          <w:rFonts w:hint="eastAsia" w:ascii="仿宋" w:hAnsi="仿宋" w:eastAsia="仿宋" w:cs="仿宋"/>
          <w:b/>
          <w:bCs/>
          <w:color w:val="auto"/>
          <w:spacing w:val="-6"/>
          <w:sz w:val="24"/>
          <w:szCs w:val="24"/>
          <w:highlight w:val="none"/>
          <w:lang w:eastAsia="zh-CN"/>
        </w:rPr>
        <w:t>3.资金来源</w:t>
      </w:r>
      <w:bookmarkEnd w:id="42"/>
      <w:bookmarkEnd w:id="43"/>
    </w:p>
    <w:p w14:paraId="58159ACF">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3.1资金来源：为财政性资金即纳入预算管理的资金。以财政性资金作为还款来源的借贷资金，视同财政性资金。财政性资金与非财政性资金无法分割采购的，统一适用《中华人民共和国政府采购法》及其实施条例。</w:t>
      </w:r>
    </w:p>
    <w:p w14:paraId="01A03DE6">
      <w:pPr>
        <w:spacing w:line="360" w:lineRule="auto"/>
        <w:ind w:left="31" w:right="-27" w:rightChars="-13"/>
        <w:outlineLvl w:val="2"/>
        <w:rPr>
          <w:rFonts w:ascii="仿宋" w:hAnsi="仿宋" w:eastAsia="仿宋" w:cs="仿宋"/>
          <w:color w:val="auto"/>
          <w:sz w:val="24"/>
          <w:szCs w:val="24"/>
          <w:highlight w:val="none"/>
          <w:lang w:eastAsia="zh-CN"/>
        </w:rPr>
      </w:pPr>
      <w:bookmarkStart w:id="44" w:name="bookmark32"/>
      <w:bookmarkEnd w:id="44"/>
      <w:bookmarkStart w:id="45" w:name="bookmark31"/>
      <w:bookmarkEnd w:id="45"/>
      <w:bookmarkStart w:id="46" w:name="_Toc186477691"/>
      <w:bookmarkStart w:id="47" w:name="_Toc8381"/>
      <w:r>
        <w:rPr>
          <w:rFonts w:hint="eastAsia" w:ascii="仿宋" w:hAnsi="仿宋" w:eastAsia="仿宋" w:cs="仿宋"/>
          <w:b/>
          <w:bCs/>
          <w:color w:val="auto"/>
          <w:spacing w:val="-4"/>
          <w:sz w:val="24"/>
          <w:szCs w:val="24"/>
          <w:highlight w:val="none"/>
          <w:lang w:eastAsia="zh-CN"/>
        </w:rPr>
        <w:t>4.投标人资格要求</w:t>
      </w:r>
      <w:bookmarkEnd w:id="46"/>
      <w:bookmarkEnd w:id="47"/>
    </w:p>
    <w:p w14:paraId="2621FCD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4.1投标人资格要求：见“第一章 招标公告”；</w:t>
      </w:r>
    </w:p>
    <w:p w14:paraId="595B727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4.2“第一章 招标公告”规定接受联合体投标的，</w:t>
      </w:r>
      <w:r>
        <w:rPr>
          <w:rFonts w:hint="eastAsia" w:ascii="仿宋" w:hAnsi="仿宋" w:eastAsia="仿宋" w:cs="仿宋"/>
          <w:color w:val="auto"/>
          <w:spacing w:val="-2"/>
          <w:sz w:val="24"/>
          <w:szCs w:val="24"/>
          <w:highlight w:val="none"/>
          <w:lang w:eastAsia="zh-CN"/>
        </w:rPr>
        <w:t>还应遵守以下规定：</w:t>
      </w:r>
    </w:p>
    <w:p w14:paraId="240D3771">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4.2.1两个以上的自然人、法人或者其他组织可以组成一个联合体，以一个</w:t>
      </w:r>
      <w:r>
        <w:rPr>
          <w:rFonts w:hint="eastAsia" w:ascii="仿宋" w:hAnsi="仿宋" w:eastAsia="仿宋" w:cs="仿宋"/>
          <w:color w:val="auto"/>
          <w:spacing w:val="-3"/>
          <w:sz w:val="24"/>
          <w:szCs w:val="24"/>
          <w:highlight w:val="none"/>
          <w:lang w:eastAsia="zh-CN"/>
        </w:rPr>
        <w:t>投标人的身份共同参加政府采购。以联合体形式进行政府采购的，参加联合体的</w:t>
      </w:r>
      <w:r>
        <w:rPr>
          <w:rFonts w:hint="eastAsia" w:ascii="仿宋" w:hAnsi="仿宋" w:eastAsia="仿宋" w:cs="仿宋"/>
          <w:color w:val="auto"/>
          <w:sz w:val="24"/>
          <w:szCs w:val="24"/>
          <w:highlight w:val="none"/>
          <w:lang w:eastAsia="zh-CN"/>
        </w:rPr>
        <w:t>供应商均应当具备《中华人民共和国政府采购法》</w:t>
      </w:r>
      <w:r>
        <w:rPr>
          <w:rFonts w:hint="eastAsia" w:ascii="仿宋" w:hAnsi="仿宋" w:eastAsia="仿宋" w:cs="仿宋"/>
          <w:color w:val="auto"/>
          <w:spacing w:val="-1"/>
          <w:sz w:val="24"/>
          <w:szCs w:val="24"/>
          <w:highlight w:val="none"/>
          <w:lang w:eastAsia="zh-CN"/>
        </w:rPr>
        <w:t>第二十二条规定的条件。</w:t>
      </w:r>
    </w:p>
    <w:p w14:paraId="3E4C848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4.2.2联合体各方应按招标文件提供的格式签订联合体协议书，明确约定联</w:t>
      </w:r>
      <w:r>
        <w:rPr>
          <w:rFonts w:hint="eastAsia" w:ascii="仿宋" w:hAnsi="仿宋" w:eastAsia="仿宋" w:cs="仿宋"/>
          <w:color w:val="auto"/>
          <w:spacing w:val="-3"/>
          <w:sz w:val="24"/>
          <w:szCs w:val="24"/>
          <w:highlight w:val="none"/>
          <w:lang w:eastAsia="zh-CN"/>
        </w:rPr>
        <w:t>合体各方承担的工作和相应的责任，并将联合体协议书作为投标文件的一部分提</w:t>
      </w:r>
      <w:r>
        <w:rPr>
          <w:rFonts w:hint="eastAsia" w:ascii="仿宋" w:hAnsi="仿宋" w:eastAsia="仿宋" w:cs="仿宋"/>
          <w:color w:val="auto"/>
          <w:spacing w:val="-1"/>
          <w:sz w:val="24"/>
          <w:szCs w:val="24"/>
          <w:highlight w:val="none"/>
          <w:lang w:eastAsia="zh-CN"/>
        </w:rPr>
        <w:t>交，该协议书对联合体所有成员均具有法律约束力。</w:t>
      </w:r>
    </w:p>
    <w:p w14:paraId="0187245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4.2.3联合体中有同类资质的供应商按照联合体分工承担相同工作的，应当</w:t>
      </w:r>
      <w:r>
        <w:rPr>
          <w:rFonts w:hint="eastAsia" w:ascii="仿宋" w:hAnsi="仿宋" w:eastAsia="仿宋" w:cs="仿宋"/>
          <w:color w:val="auto"/>
          <w:spacing w:val="-1"/>
          <w:sz w:val="24"/>
          <w:szCs w:val="24"/>
          <w:highlight w:val="none"/>
          <w:lang w:eastAsia="zh-CN"/>
        </w:rPr>
        <w:t>按照资质等级较低的供应商确定资质等级。</w:t>
      </w:r>
    </w:p>
    <w:p w14:paraId="63870B7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4.2.4以联合体形式参加政府采购活动的，联合体各</w:t>
      </w:r>
      <w:r>
        <w:rPr>
          <w:rFonts w:hint="eastAsia" w:ascii="仿宋" w:hAnsi="仿宋" w:eastAsia="仿宋" w:cs="仿宋"/>
          <w:color w:val="auto"/>
          <w:spacing w:val="-3"/>
          <w:sz w:val="24"/>
          <w:szCs w:val="24"/>
          <w:highlight w:val="none"/>
          <w:lang w:eastAsia="zh-CN"/>
        </w:rPr>
        <w:t>方不得再单独参加或者与其他供应商另外组成联合体参加同一合同项下的投标，否则相关投标将被</w:t>
      </w:r>
      <w:r>
        <w:rPr>
          <w:rFonts w:hint="eastAsia" w:ascii="仿宋" w:hAnsi="仿宋" w:eastAsia="仿宋" w:cs="仿宋"/>
          <w:color w:val="auto"/>
          <w:spacing w:val="-4"/>
          <w:sz w:val="24"/>
          <w:szCs w:val="24"/>
          <w:highlight w:val="none"/>
          <w:lang w:eastAsia="zh-CN"/>
        </w:rPr>
        <w:t>认定为</w:t>
      </w:r>
      <w:r>
        <w:rPr>
          <w:rFonts w:hint="eastAsia" w:ascii="仿宋" w:hAnsi="仿宋" w:eastAsia="仿宋" w:cs="仿宋"/>
          <w:b/>
          <w:bCs/>
          <w:color w:val="auto"/>
          <w:spacing w:val="-4"/>
          <w:sz w:val="24"/>
          <w:szCs w:val="24"/>
          <w:highlight w:val="none"/>
          <w:lang w:eastAsia="zh-CN"/>
        </w:rPr>
        <w:t>投标无效</w:t>
      </w:r>
      <w:r>
        <w:rPr>
          <w:rFonts w:hint="eastAsia" w:ascii="仿宋" w:hAnsi="仿宋" w:eastAsia="仿宋" w:cs="仿宋"/>
          <w:color w:val="auto"/>
          <w:spacing w:val="-4"/>
          <w:sz w:val="24"/>
          <w:szCs w:val="24"/>
          <w:highlight w:val="none"/>
          <w:lang w:eastAsia="zh-CN"/>
        </w:rPr>
        <w:t>。</w:t>
      </w:r>
    </w:p>
    <w:p w14:paraId="5000AFA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4.2.5大中型企业、其他自然人、法人或者非法人组织与小型、微型企业组</w:t>
      </w:r>
      <w:r>
        <w:rPr>
          <w:rFonts w:hint="eastAsia" w:ascii="仿宋" w:hAnsi="仿宋" w:eastAsia="仿宋" w:cs="仿宋"/>
          <w:color w:val="auto"/>
          <w:spacing w:val="-3"/>
          <w:sz w:val="24"/>
          <w:szCs w:val="24"/>
          <w:highlight w:val="none"/>
          <w:lang w:eastAsia="zh-CN"/>
        </w:rPr>
        <w:t>成联合体共同参加投标的，联合体协议书中应写明小型、微型企业的合同金额占</w:t>
      </w:r>
      <w:r>
        <w:rPr>
          <w:rFonts w:hint="eastAsia" w:ascii="仿宋" w:hAnsi="仿宋" w:eastAsia="仿宋" w:cs="仿宋"/>
          <w:color w:val="auto"/>
          <w:spacing w:val="-1"/>
          <w:sz w:val="24"/>
          <w:szCs w:val="24"/>
          <w:highlight w:val="none"/>
          <w:lang w:eastAsia="zh-CN"/>
        </w:rPr>
        <w:t>到联合体投标合同总金额的比例。</w:t>
      </w:r>
    </w:p>
    <w:p w14:paraId="2628E9C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4.2.6 联合体中标的，采购合同应由联合体各成员的合法授权代表签字及加</w:t>
      </w:r>
      <w:r>
        <w:rPr>
          <w:rFonts w:hint="eastAsia" w:ascii="仿宋" w:hAnsi="仿宋" w:eastAsia="仿宋" w:cs="仿宋"/>
          <w:color w:val="auto"/>
          <w:spacing w:val="-3"/>
          <w:sz w:val="24"/>
          <w:szCs w:val="24"/>
          <w:highlight w:val="none"/>
          <w:lang w:eastAsia="zh-CN"/>
        </w:rPr>
        <w:t>盖联合体各成员公章，并对联合体成员作为整体和他们各自作为独立体均具有法律约束力，但若该签字或公章不齐全或缺乏，该联合体的牵头人的签署或类似的意思表示人具有代表该联合体的签署或意思表示的法律效力，并且据此各成员为</w:t>
      </w:r>
      <w:r>
        <w:rPr>
          <w:rFonts w:hint="eastAsia" w:ascii="仿宋" w:hAnsi="仿宋" w:eastAsia="仿宋" w:cs="仿宋"/>
          <w:color w:val="auto"/>
          <w:spacing w:val="-1"/>
          <w:sz w:val="24"/>
          <w:szCs w:val="24"/>
          <w:highlight w:val="none"/>
          <w:lang w:eastAsia="zh-CN"/>
        </w:rPr>
        <w:t>履行合同应向采购人与采购代理机构承担连带责任。</w:t>
      </w:r>
    </w:p>
    <w:p w14:paraId="7B07117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4.2.7 联合体或其成员不得将其在合同项下的权利或义务全部或部分转让</w:t>
      </w:r>
      <w:r>
        <w:rPr>
          <w:rFonts w:hint="eastAsia" w:ascii="仿宋" w:hAnsi="仿宋" w:eastAsia="仿宋" w:cs="仿宋"/>
          <w:color w:val="auto"/>
          <w:spacing w:val="-7"/>
          <w:sz w:val="24"/>
          <w:szCs w:val="24"/>
          <w:highlight w:val="none"/>
          <w:lang w:eastAsia="zh-CN"/>
        </w:rPr>
        <w:t>给第三人，有关分包事项须事先取得采购人书面同意</w:t>
      </w:r>
      <w:r>
        <w:rPr>
          <w:rFonts w:hint="eastAsia" w:ascii="仿宋" w:hAnsi="仿宋" w:eastAsia="仿宋" w:cs="仿宋"/>
          <w:color w:val="auto"/>
          <w:spacing w:val="-8"/>
          <w:sz w:val="24"/>
          <w:szCs w:val="24"/>
          <w:highlight w:val="none"/>
          <w:lang w:eastAsia="zh-CN"/>
        </w:rPr>
        <w:t>并且须遵守相关法律、法规、</w:t>
      </w:r>
      <w:r>
        <w:rPr>
          <w:rFonts w:hint="eastAsia" w:ascii="仿宋" w:hAnsi="仿宋" w:eastAsia="仿宋" w:cs="仿宋"/>
          <w:color w:val="auto"/>
          <w:spacing w:val="-1"/>
          <w:sz w:val="24"/>
          <w:szCs w:val="24"/>
          <w:highlight w:val="none"/>
          <w:lang w:eastAsia="zh-CN"/>
        </w:rPr>
        <w:t>本次招标的全部相关规定。</w:t>
      </w:r>
    </w:p>
    <w:p w14:paraId="2799304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4.2.8 对联合体投标的其他资格要求见“</w:t>
      </w:r>
      <w:r>
        <w:rPr>
          <w:rFonts w:hint="eastAsia" w:ascii="仿宋" w:hAnsi="仿宋" w:eastAsia="仿宋" w:cs="仿宋"/>
          <w:color w:val="auto"/>
          <w:spacing w:val="-2"/>
          <w:sz w:val="24"/>
          <w:szCs w:val="24"/>
          <w:highlight w:val="none"/>
          <w:lang w:eastAsia="zh-CN"/>
        </w:rPr>
        <w:t>第一章 招标公告”中的“二、申</w:t>
      </w:r>
      <w:r>
        <w:rPr>
          <w:rFonts w:hint="eastAsia" w:ascii="仿宋" w:hAnsi="仿宋" w:eastAsia="仿宋" w:cs="仿宋"/>
          <w:color w:val="auto"/>
          <w:spacing w:val="-1"/>
          <w:sz w:val="24"/>
          <w:szCs w:val="24"/>
          <w:highlight w:val="none"/>
          <w:lang w:eastAsia="zh-CN"/>
        </w:rPr>
        <w:t>请人的资格要求”。</w:t>
      </w:r>
    </w:p>
    <w:p w14:paraId="64EC9B5D">
      <w:pPr>
        <w:spacing w:line="360" w:lineRule="auto"/>
        <w:ind w:left="31" w:right="-27" w:rightChars="-13"/>
        <w:outlineLvl w:val="2"/>
        <w:rPr>
          <w:rFonts w:ascii="仿宋" w:hAnsi="仿宋" w:eastAsia="仿宋" w:cs="仿宋"/>
          <w:color w:val="auto"/>
          <w:sz w:val="24"/>
          <w:szCs w:val="24"/>
          <w:highlight w:val="none"/>
          <w:lang w:eastAsia="zh-CN"/>
        </w:rPr>
      </w:pPr>
      <w:bookmarkStart w:id="48" w:name="bookmark34"/>
      <w:bookmarkEnd w:id="48"/>
      <w:bookmarkStart w:id="49" w:name="bookmark33"/>
      <w:bookmarkEnd w:id="49"/>
      <w:bookmarkStart w:id="50" w:name="_Toc31491"/>
      <w:bookmarkStart w:id="51" w:name="_Toc186477692"/>
      <w:r>
        <w:rPr>
          <w:rFonts w:hint="eastAsia" w:ascii="仿宋" w:hAnsi="仿宋" w:eastAsia="仿宋" w:cs="仿宋"/>
          <w:b/>
          <w:bCs/>
          <w:color w:val="auto"/>
          <w:spacing w:val="-6"/>
          <w:sz w:val="24"/>
          <w:szCs w:val="24"/>
          <w:highlight w:val="none"/>
          <w:lang w:eastAsia="zh-CN"/>
        </w:rPr>
        <w:t>5.费用承担</w:t>
      </w:r>
      <w:bookmarkEnd w:id="50"/>
      <w:bookmarkEnd w:id="51"/>
    </w:p>
    <w:p w14:paraId="2CC311A0">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5.1不论投标的结果如何，投标人应承担所有与准备和参加投标有关的费用。</w:t>
      </w:r>
    </w:p>
    <w:p w14:paraId="26D5FE7D">
      <w:pPr>
        <w:spacing w:line="360" w:lineRule="auto"/>
        <w:ind w:left="31" w:right="-27" w:rightChars="-13"/>
        <w:outlineLvl w:val="2"/>
        <w:rPr>
          <w:rFonts w:ascii="仿宋" w:hAnsi="仿宋" w:eastAsia="仿宋" w:cs="仿宋"/>
          <w:color w:val="auto"/>
          <w:sz w:val="24"/>
          <w:szCs w:val="24"/>
          <w:highlight w:val="none"/>
          <w:lang w:eastAsia="zh-CN"/>
        </w:rPr>
      </w:pPr>
      <w:bookmarkStart w:id="52" w:name="bookmark35"/>
      <w:bookmarkEnd w:id="52"/>
      <w:bookmarkStart w:id="53" w:name="bookmark36"/>
      <w:bookmarkEnd w:id="53"/>
      <w:bookmarkStart w:id="54" w:name="_Toc16206"/>
      <w:bookmarkStart w:id="55" w:name="_Toc186477693"/>
      <w:r>
        <w:rPr>
          <w:rFonts w:hint="eastAsia" w:ascii="仿宋" w:hAnsi="仿宋" w:eastAsia="仿宋" w:cs="仿宋"/>
          <w:b/>
          <w:bCs/>
          <w:color w:val="auto"/>
          <w:spacing w:val="-6"/>
          <w:sz w:val="24"/>
          <w:szCs w:val="24"/>
          <w:highlight w:val="none"/>
          <w:lang w:eastAsia="zh-CN"/>
        </w:rPr>
        <w:t>6.保密</w:t>
      </w:r>
      <w:bookmarkEnd w:id="54"/>
      <w:bookmarkEnd w:id="55"/>
    </w:p>
    <w:p w14:paraId="2C1CA8B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6.1 参与招标投标活动的各方应对招标文件</w:t>
      </w:r>
      <w:r>
        <w:rPr>
          <w:rFonts w:hint="eastAsia" w:ascii="仿宋" w:hAnsi="仿宋" w:eastAsia="仿宋" w:cs="仿宋"/>
          <w:color w:val="auto"/>
          <w:spacing w:val="-1"/>
          <w:sz w:val="24"/>
          <w:szCs w:val="24"/>
          <w:highlight w:val="none"/>
          <w:lang w:eastAsia="zh-CN"/>
        </w:rPr>
        <w:t>和投标文件中的商业和技术等秘密保密，否则应承担相应的法律责任。</w:t>
      </w:r>
    </w:p>
    <w:p w14:paraId="7D1D1D8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6.2 投标人自领取招标文件之日起，须承担本招标项目保密义务，不得将因</w:t>
      </w:r>
      <w:r>
        <w:rPr>
          <w:rFonts w:hint="eastAsia" w:ascii="仿宋" w:hAnsi="仿宋" w:eastAsia="仿宋" w:cs="仿宋"/>
          <w:color w:val="auto"/>
          <w:spacing w:val="-1"/>
          <w:sz w:val="24"/>
          <w:szCs w:val="24"/>
          <w:highlight w:val="none"/>
          <w:lang w:eastAsia="zh-CN"/>
        </w:rPr>
        <w:t>本次招标获得的信息向第三人外传。由采购人向投标人提供的图纸、详细资料、</w:t>
      </w:r>
      <w:r>
        <w:rPr>
          <w:rFonts w:hint="eastAsia" w:ascii="仿宋" w:hAnsi="仿宋" w:eastAsia="仿宋" w:cs="仿宋"/>
          <w:color w:val="auto"/>
          <w:spacing w:val="-7"/>
          <w:sz w:val="24"/>
          <w:szCs w:val="24"/>
          <w:highlight w:val="none"/>
          <w:lang w:eastAsia="zh-CN"/>
        </w:rPr>
        <w:t>样品、模型、模件和所有其它资料，被视为保密资料，仅</w:t>
      </w:r>
      <w:r>
        <w:rPr>
          <w:rFonts w:hint="eastAsia" w:ascii="仿宋" w:hAnsi="仿宋" w:eastAsia="仿宋" w:cs="仿宋"/>
          <w:color w:val="auto"/>
          <w:spacing w:val="-8"/>
          <w:sz w:val="24"/>
          <w:szCs w:val="24"/>
          <w:highlight w:val="none"/>
          <w:lang w:eastAsia="zh-CN"/>
        </w:rPr>
        <w:t>被用于它所规定的用途。</w:t>
      </w:r>
      <w:r>
        <w:rPr>
          <w:rFonts w:hint="eastAsia" w:ascii="仿宋" w:hAnsi="仿宋" w:eastAsia="仿宋" w:cs="仿宋"/>
          <w:color w:val="auto"/>
          <w:spacing w:val="-1"/>
          <w:sz w:val="24"/>
          <w:szCs w:val="24"/>
          <w:highlight w:val="none"/>
          <w:lang w:eastAsia="zh-CN"/>
        </w:rPr>
        <w:t>除非得到采购人的同意，不能向任何第三方透露。开标结束后，应采购人要求，投标人应归还所有从采购人处获得的保密资料。</w:t>
      </w:r>
    </w:p>
    <w:p w14:paraId="23EF0A5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6.3 采购代理机构有权将投标人提供的所有资料向有关政府部</w:t>
      </w:r>
      <w:r>
        <w:rPr>
          <w:rFonts w:hint="eastAsia" w:ascii="仿宋" w:hAnsi="仿宋" w:eastAsia="仿宋" w:cs="仿宋"/>
          <w:color w:val="auto"/>
          <w:spacing w:val="3"/>
          <w:sz w:val="24"/>
          <w:szCs w:val="24"/>
          <w:highlight w:val="none"/>
          <w:lang w:eastAsia="zh-CN"/>
        </w:rPr>
        <w:t>门或评审投</w:t>
      </w:r>
      <w:r>
        <w:rPr>
          <w:rFonts w:hint="eastAsia" w:ascii="仿宋" w:hAnsi="仿宋" w:eastAsia="仿宋" w:cs="仿宋"/>
          <w:color w:val="auto"/>
          <w:spacing w:val="-1"/>
          <w:sz w:val="24"/>
          <w:szCs w:val="24"/>
          <w:highlight w:val="none"/>
          <w:lang w:eastAsia="zh-CN"/>
        </w:rPr>
        <w:t>标文件的有关人员披露。</w:t>
      </w:r>
    </w:p>
    <w:p w14:paraId="6D0E837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6.4 各级人民政府财政部门对政府采购活动进行监督检查，有权查阅、复制</w:t>
      </w:r>
      <w:r>
        <w:rPr>
          <w:rFonts w:hint="eastAsia" w:ascii="仿宋" w:hAnsi="仿宋" w:eastAsia="仿宋" w:cs="仿宋"/>
          <w:color w:val="auto"/>
          <w:spacing w:val="-1"/>
          <w:sz w:val="24"/>
          <w:szCs w:val="24"/>
          <w:highlight w:val="none"/>
          <w:lang w:eastAsia="zh-CN"/>
        </w:rPr>
        <w:t>有关文件、资料，相关单位和人员应当予以配合。</w:t>
      </w:r>
    </w:p>
    <w:p w14:paraId="4BD63C7C">
      <w:pPr>
        <w:spacing w:line="360" w:lineRule="auto"/>
        <w:ind w:left="31" w:right="-27" w:rightChars="-13"/>
        <w:outlineLvl w:val="2"/>
        <w:rPr>
          <w:rFonts w:ascii="仿宋" w:hAnsi="仿宋" w:eastAsia="仿宋" w:cs="仿宋"/>
          <w:color w:val="auto"/>
          <w:sz w:val="24"/>
          <w:szCs w:val="24"/>
          <w:highlight w:val="none"/>
          <w:lang w:eastAsia="zh-CN"/>
        </w:rPr>
      </w:pPr>
      <w:bookmarkStart w:id="56" w:name="bookmark38"/>
      <w:bookmarkEnd w:id="56"/>
      <w:bookmarkStart w:id="57" w:name="bookmark37"/>
      <w:bookmarkEnd w:id="57"/>
      <w:bookmarkStart w:id="58" w:name="_Toc186477694"/>
      <w:bookmarkStart w:id="59" w:name="_Toc16202"/>
      <w:r>
        <w:rPr>
          <w:rFonts w:hint="eastAsia" w:ascii="仿宋" w:hAnsi="仿宋" w:eastAsia="仿宋" w:cs="仿宋"/>
          <w:b/>
          <w:bCs/>
          <w:color w:val="auto"/>
          <w:spacing w:val="-6"/>
          <w:sz w:val="24"/>
          <w:szCs w:val="24"/>
          <w:highlight w:val="none"/>
          <w:lang w:eastAsia="zh-CN"/>
        </w:rPr>
        <w:t>7.语言文字</w:t>
      </w:r>
      <w:bookmarkEnd w:id="58"/>
      <w:bookmarkEnd w:id="59"/>
    </w:p>
    <w:p w14:paraId="63A15655">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7.1招标投标过程文件使用的语言文字为中文。专用术语使用外文的，应附</w:t>
      </w:r>
      <w:r>
        <w:rPr>
          <w:rFonts w:hint="eastAsia" w:ascii="仿宋" w:hAnsi="仿宋" w:eastAsia="仿宋" w:cs="仿宋"/>
          <w:color w:val="auto"/>
          <w:spacing w:val="-3"/>
          <w:sz w:val="24"/>
          <w:szCs w:val="24"/>
          <w:highlight w:val="none"/>
          <w:lang w:eastAsia="zh-CN"/>
        </w:rPr>
        <w:t>有中文注释。投标人提交的支持资料和已印制的文献可以用外文，但相应内容应附有中文翻译本，在解释投标文件时以中文翻译本为准。未附中文翻译本或翻译</w:t>
      </w:r>
      <w:r>
        <w:rPr>
          <w:rFonts w:hint="eastAsia" w:ascii="仿宋" w:hAnsi="仿宋" w:eastAsia="仿宋" w:cs="仿宋"/>
          <w:color w:val="auto"/>
          <w:sz w:val="24"/>
          <w:szCs w:val="24"/>
          <w:highlight w:val="none"/>
          <w:lang w:eastAsia="zh-CN"/>
        </w:rPr>
        <w:t>本中文内容明显与外文内容不一致的，其不</w:t>
      </w:r>
      <w:r>
        <w:rPr>
          <w:rFonts w:hint="eastAsia" w:ascii="仿宋" w:hAnsi="仿宋" w:eastAsia="仿宋" w:cs="仿宋"/>
          <w:color w:val="auto"/>
          <w:spacing w:val="-1"/>
          <w:sz w:val="24"/>
          <w:szCs w:val="24"/>
          <w:highlight w:val="none"/>
          <w:lang w:eastAsia="zh-CN"/>
        </w:rPr>
        <w:t>利后果由投标人自行承担。</w:t>
      </w:r>
    </w:p>
    <w:p w14:paraId="04A560BC">
      <w:pPr>
        <w:spacing w:line="360" w:lineRule="auto"/>
        <w:ind w:left="31" w:right="-27" w:rightChars="-13"/>
        <w:outlineLvl w:val="2"/>
        <w:rPr>
          <w:rFonts w:ascii="仿宋" w:hAnsi="仿宋" w:eastAsia="仿宋" w:cs="仿宋"/>
          <w:color w:val="auto"/>
          <w:sz w:val="24"/>
          <w:szCs w:val="24"/>
          <w:highlight w:val="none"/>
          <w:lang w:eastAsia="zh-CN"/>
        </w:rPr>
      </w:pPr>
      <w:bookmarkStart w:id="60" w:name="bookmark40"/>
      <w:bookmarkEnd w:id="60"/>
      <w:bookmarkStart w:id="61" w:name="bookmark39"/>
      <w:bookmarkEnd w:id="61"/>
      <w:bookmarkStart w:id="62" w:name="_Toc186477695"/>
      <w:bookmarkStart w:id="63" w:name="_Toc17969"/>
      <w:r>
        <w:rPr>
          <w:rFonts w:hint="eastAsia" w:ascii="仿宋" w:hAnsi="仿宋" w:eastAsia="仿宋" w:cs="仿宋"/>
          <w:b/>
          <w:bCs/>
          <w:color w:val="auto"/>
          <w:spacing w:val="-5"/>
          <w:sz w:val="24"/>
          <w:szCs w:val="24"/>
          <w:highlight w:val="none"/>
          <w:lang w:eastAsia="zh-CN"/>
        </w:rPr>
        <w:t>8.计量单位</w:t>
      </w:r>
      <w:bookmarkEnd w:id="62"/>
      <w:bookmarkEnd w:id="63"/>
    </w:p>
    <w:p w14:paraId="4BC7474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8.1所有计量均采用中华人民共和国法定计量单位。</w:t>
      </w:r>
    </w:p>
    <w:p w14:paraId="133F316D">
      <w:pPr>
        <w:spacing w:line="360" w:lineRule="auto"/>
        <w:ind w:left="31" w:right="-27" w:rightChars="-13"/>
        <w:outlineLvl w:val="2"/>
        <w:rPr>
          <w:rFonts w:ascii="仿宋" w:hAnsi="仿宋" w:eastAsia="仿宋" w:cs="仿宋"/>
          <w:color w:val="auto"/>
          <w:sz w:val="24"/>
          <w:szCs w:val="24"/>
          <w:highlight w:val="none"/>
          <w:lang w:eastAsia="zh-CN"/>
        </w:rPr>
      </w:pPr>
      <w:bookmarkStart w:id="64" w:name="bookmark42"/>
      <w:bookmarkEnd w:id="64"/>
      <w:bookmarkStart w:id="65" w:name="bookmark41"/>
      <w:bookmarkEnd w:id="65"/>
      <w:bookmarkStart w:id="66" w:name="_Toc5277"/>
      <w:bookmarkStart w:id="67" w:name="_Toc186477696"/>
      <w:r>
        <w:rPr>
          <w:rFonts w:hint="eastAsia" w:ascii="仿宋" w:hAnsi="仿宋" w:eastAsia="仿宋" w:cs="仿宋"/>
          <w:b/>
          <w:bCs/>
          <w:color w:val="auto"/>
          <w:spacing w:val="-4"/>
          <w:sz w:val="24"/>
          <w:szCs w:val="24"/>
          <w:highlight w:val="none"/>
          <w:lang w:eastAsia="zh-CN"/>
        </w:rPr>
        <w:t>9.现场考察和答疑会</w:t>
      </w:r>
      <w:bookmarkEnd w:id="66"/>
      <w:bookmarkEnd w:id="67"/>
    </w:p>
    <w:p w14:paraId="029B74A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9.1“投标人须知前附表”规定组织现场考察的，</w:t>
      </w:r>
      <w:r>
        <w:rPr>
          <w:rFonts w:hint="eastAsia" w:ascii="仿宋" w:hAnsi="仿宋" w:eastAsia="仿宋" w:cs="仿宋"/>
          <w:color w:val="auto"/>
          <w:spacing w:val="-4"/>
          <w:sz w:val="24"/>
          <w:szCs w:val="24"/>
          <w:highlight w:val="none"/>
          <w:lang w:eastAsia="zh-CN"/>
        </w:rPr>
        <w:t>采购代理机构按“投标人</w:t>
      </w:r>
      <w:r>
        <w:rPr>
          <w:rFonts w:hint="eastAsia" w:ascii="仿宋" w:hAnsi="仿宋" w:eastAsia="仿宋" w:cs="仿宋"/>
          <w:color w:val="auto"/>
          <w:spacing w:val="-2"/>
          <w:sz w:val="24"/>
          <w:szCs w:val="24"/>
          <w:highlight w:val="none"/>
          <w:lang w:eastAsia="zh-CN"/>
        </w:rPr>
        <w:t>须知前附表”规定的时间、地点组织投标人项目现场考察。</w:t>
      </w:r>
    </w:p>
    <w:p w14:paraId="2643AA8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9.2 投标人现场考察发生的费用自理。</w:t>
      </w:r>
    </w:p>
    <w:p w14:paraId="3C6947D1">
      <w:pPr>
        <w:spacing w:line="360" w:lineRule="auto"/>
        <w:ind w:left="31" w:right="-27" w:rightChars="-13"/>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9.3 在现场考察中，因投标人自身原因发生的人员伤亡和财产损失，由投标人自行负责。</w:t>
      </w:r>
    </w:p>
    <w:p w14:paraId="2FF5FD9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9.4 采购人在现场考察中介绍的项目场地和相关的周边环境情况，仅供投标人在编制投标文件时参考，采购人和采购代理机构不对投标人据此作出的判断和决策负责。</w:t>
      </w:r>
    </w:p>
    <w:p w14:paraId="62CDD11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9.5“投标人须知前附表”规定召开答疑会的，采</w:t>
      </w:r>
      <w:r>
        <w:rPr>
          <w:rFonts w:hint="eastAsia" w:ascii="仿宋" w:hAnsi="仿宋" w:eastAsia="仿宋" w:cs="仿宋"/>
          <w:color w:val="auto"/>
          <w:spacing w:val="-4"/>
          <w:sz w:val="24"/>
          <w:szCs w:val="24"/>
          <w:highlight w:val="none"/>
          <w:lang w:eastAsia="zh-CN"/>
        </w:rPr>
        <w:t>购代理机构按“投标人须</w:t>
      </w:r>
      <w:r>
        <w:rPr>
          <w:rFonts w:hint="eastAsia" w:ascii="仿宋" w:hAnsi="仿宋" w:eastAsia="仿宋" w:cs="仿宋"/>
          <w:color w:val="auto"/>
          <w:spacing w:val="-2"/>
          <w:sz w:val="24"/>
          <w:szCs w:val="24"/>
          <w:highlight w:val="none"/>
          <w:lang w:eastAsia="zh-CN"/>
        </w:rPr>
        <w:t>知前附表”规定的时间和地点召开答疑会，澄清投标人提出的问题。</w:t>
      </w:r>
    </w:p>
    <w:p w14:paraId="3E68CD7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9.6由于未参加现场考察或未参加标前答疑会而导致对项目实际情况不了</w:t>
      </w:r>
      <w:r>
        <w:rPr>
          <w:rFonts w:hint="eastAsia" w:ascii="仿宋" w:hAnsi="仿宋" w:eastAsia="仿宋" w:cs="仿宋"/>
          <w:color w:val="auto"/>
          <w:spacing w:val="-3"/>
          <w:sz w:val="24"/>
          <w:szCs w:val="24"/>
          <w:highlight w:val="none"/>
          <w:lang w:eastAsia="zh-CN"/>
        </w:rPr>
        <w:t>解，影响投标文件编制、投标报价准确性、综合因素响应不全面等问题的，由投</w:t>
      </w:r>
      <w:r>
        <w:rPr>
          <w:rFonts w:hint="eastAsia" w:ascii="仿宋" w:hAnsi="仿宋" w:eastAsia="仿宋" w:cs="仿宋"/>
          <w:color w:val="auto"/>
          <w:spacing w:val="-1"/>
          <w:sz w:val="24"/>
          <w:szCs w:val="24"/>
          <w:highlight w:val="none"/>
          <w:lang w:eastAsia="zh-CN"/>
        </w:rPr>
        <w:t>标人自行承担不利评审后果。</w:t>
      </w:r>
    </w:p>
    <w:p w14:paraId="0541430C">
      <w:pPr>
        <w:spacing w:line="360" w:lineRule="auto"/>
        <w:ind w:left="31" w:right="-27" w:rightChars="-13"/>
        <w:outlineLvl w:val="2"/>
        <w:rPr>
          <w:rFonts w:ascii="仿宋" w:hAnsi="仿宋" w:eastAsia="仿宋" w:cs="仿宋"/>
          <w:color w:val="auto"/>
          <w:sz w:val="24"/>
          <w:szCs w:val="24"/>
          <w:highlight w:val="none"/>
          <w:lang w:eastAsia="zh-CN"/>
        </w:rPr>
      </w:pPr>
      <w:bookmarkStart w:id="68" w:name="bookmark44"/>
      <w:bookmarkEnd w:id="68"/>
      <w:bookmarkStart w:id="69" w:name="bookmark43"/>
      <w:bookmarkEnd w:id="69"/>
      <w:bookmarkStart w:id="70" w:name="_Toc22755"/>
      <w:bookmarkStart w:id="71" w:name="_Toc186477697"/>
      <w:r>
        <w:rPr>
          <w:rFonts w:hint="eastAsia" w:ascii="仿宋" w:hAnsi="仿宋" w:eastAsia="仿宋" w:cs="仿宋"/>
          <w:b/>
          <w:bCs/>
          <w:color w:val="auto"/>
          <w:spacing w:val="-6"/>
          <w:sz w:val="24"/>
          <w:szCs w:val="24"/>
          <w:highlight w:val="none"/>
          <w:lang w:eastAsia="zh-CN"/>
        </w:rPr>
        <w:t>10.电子投标说明</w:t>
      </w:r>
      <w:bookmarkEnd w:id="70"/>
      <w:bookmarkEnd w:id="71"/>
    </w:p>
    <w:p w14:paraId="6951353C">
      <w:pPr>
        <w:spacing w:line="440" w:lineRule="exact"/>
        <w:rPr>
          <w:rFonts w:ascii="仿宋" w:hAnsi="仿宋" w:eastAsia="仿宋" w:cs="仿宋"/>
          <w:color w:val="auto"/>
          <w:sz w:val="24"/>
          <w:highlight w:val="none"/>
          <w:shd w:val="clear" w:color="auto" w:fill="FFFFFF"/>
          <w:lang w:eastAsia="zh-CN"/>
        </w:rPr>
      </w:pPr>
      <w:bookmarkStart w:id="72" w:name="bookmark45"/>
      <w:bookmarkEnd w:id="72"/>
      <w:bookmarkStart w:id="73" w:name="bookmark46"/>
      <w:bookmarkEnd w:id="73"/>
      <w:bookmarkStart w:id="74" w:name="_Toc186477698"/>
      <w:r>
        <w:rPr>
          <w:rFonts w:hint="eastAsia" w:ascii="仿宋" w:hAnsi="仿宋" w:eastAsia="仿宋" w:cs="仿宋"/>
          <w:color w:val="auto"/>
          <w:sz w:val="24"/>
          <w:highlight w:val="none"/>
          <w:shd w:val="clear" w:color="auto" w:fill="FFFFFF"/>
          <w:lang w:eastAsia="zh-CN"/>
        </w:rPr>
        <w:t>10.1、本项目采用全流程不见面电子开评标。</w:t>
      </w:r>
    </w:p>
    <w:p w14:paraId="74787D8A">
      <w:pPr>
        <w:spacing w:line="440" w:lineRule="exact"/>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10.2、本项目实行网上投标，采用加密电子投标响应文件(投标人须使用CA加密设备通过政采云电子投标客户端制作投标响应文件)。若投标人参与投标，自行承担投标一切费用。</w:t>
      </w:r>
    </w:p>
    <w:p w14:paraId="4A7F6511">
      <w:pPr>
        <w:spacing w:line="440" w:lineRule="exact"/>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10.3、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申领。如需咨询，请联系新疆CA服务热线0991-2819290；</w:t>
      </w:r>
    </w:p>
    <w:p w14:paraId="472147A5">
      <w:pPr>
        <w:spacing w:line="440" w:lineRule="exact"/>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10.4、投标人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717E1285">
      <w:pPr>
        <w:spacing w:line="440" w:lineRule="exact"/>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10.5、本项目采用不见面开标，投标人应当在投标截止时间前,将生成的“电子加密投标文件”上传递交至“政府采购云平台”,投标截止时间以后上传递交的投标文件将被“政府采购云平台”拒收。投标人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7026FB6D">
      <w:pPr>
        <w:spacing w:line="440" w:lineRule="exact"/>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10.6、投标人在开标前须提前配置好电脑浏览器（建议使用360浏览器或谷歌浏览器）,开标时登录政采云平台，在“项目采购-开标评标”功能中，使用制作加密投标文件电子标书的CA锁进行解密及报价确认。本项目投标文件的解密时间定为30分钟内,若投标人在规定时间内因自身原因导致无法正常解密,后果由投标人自行承担。</w:t>
      </w:r>
    </w:p>
    <w:p w14:paraId="23E322F7">
      <w:pPr>
        <w:spacing w:before="240" w:line="360" w:lineRule="auto"/>
        <w:ind w:left="31" w:right="-27" w:rightChars="-13"/>
        <w:outlineLvl w:val="2"/>
        <w:rPr>
          <w:rFonts w:ascii="仿宋" w:hAnsi="仿宋" w:eastAsia="仿宋" w:cs="仿宋"/>
          <w:b/>
          <w:bCs/>
          <w:color w:val="auto"/>
          <w:spacing w:val="-6"/>
          <w:sz w:val="24"/>
          <w:szCs w:val="24"/>
          <w:highlight w:val="none"/>
          <w:lang w:eastAsia="zh-CN"/>
        </w:rPr>
      </w:pPr>
      <w:bookmarkStart w:id="75" w:name="_Toc12958"/>
      <w:r>
        <w:rPr>
          <w:rFonts w:hint="eastAsia" w:ascii="仿宋" w:hAnsi="仿宋" w:eastAsia="仿宋" w:cs="仿宋"/>
          <w:b/>
          <w:bCs/>
          <w:color w:val="auto"/>
          <w:spacing w:val="-6"/>
          <w:sz w:val="24"/>
          <w:szCs w:val="24"/>
          <w:highlight w:val="none"/>
          <w:lang w:eastAsia="zh-CN"/>
        </w:rPr>
        <w:t>（二）招标文件</w:t>
      </w:r>
      <w:bookmarkEnd w:id="74"/>
      <w:bookmarkEnd w:id="75"/>
    </w:p>
    <w:p w14:paraId="218E4692">
      <w:pPr>
        <w:spacing w:line="360" w:lineRule="auto"/>
        <w:ind w:left="31" w:right="-27" w:rightChars="-13"/>
        <w:outlineLvl w:val="2"/>
        <w:rPr>
          <w:rFonts w:ascii="仿宋" w:hAnsi="仿宋" w:eastAsia="仿宋" w:cs="仿宋"/>
          <w:color w:val="auto"/>
          <w:sz w:val="24"/>
          <w:szCs w:val="24"/>
          <w:highlight w:val="none"/>
          <w:lang w:eastAsia="zh-CN"/>
        </w:rPr>
      </w:pPr>
      <w:bookmarkStart w:id="76" w:name="bookmark48"/>
      <w:bookmarkEnd w:id="76"/>
      <w:bookmarkStart w:id="77" w:name="bookmark47"/>
      <w:bookmarkEnd w:id="77"/>
      <w:bookmarkStart w:id="78" w:name="_Toc21045"/>
      <w:bookmarkStart w:id="79" w:name="_Toc186477699"/>
      <w:r>
        <w:rPr>
          <w:rFonts w:hint="eastAsia" w:ascii="仿宋" w:hAnsi="仿宋" w:eastAsia="仿宋" w:cs="仿宋"/>
          <w:b/>
          <w:bCs/>
          <w:color w:val="auto"/>
          <w:spacing w:val="-6"/>
          <w:sz w:val="24"/>
          <w:szCs w:val="24"/>
          <w:highlight w:val="none"/>
          <w:lang w:eastAsia="zh-CN"/>
        </w:rPr>
        <w:t>11.招标文件的组成</w:t>
      </w:r>
      <w:bookmarkEnd w:id="78"/>
      <w:bookmarkEnd w:id="79"/>
    </w:p>
    <w:p w14:paraId="0D6C693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11.1本招标文件包括下列文件及根据本章第9款、第12款对招标文件所作的澄清或者修改。</w:t>
      </w:r>
    </w:p>
    <w:p w14:paraId="59F166B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第一章 招标公告</w:t>
      </w:r>
    </w:p>
    <w:p w14:paraId="63DEB74E">
      <w:pPr>
        <w:spacing w:line="360" w:lineRule="auto"/>
        <w:ind w:left="31" w:right="-27" w:rightChars="-13"/>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第二章 投标人须知</w:t>
      </w:r>
    </w:p>
    <w:p w14:paraId="586B8C2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第三章 采购需求</w:t>
      </w:r>
    </w:p>
    <w:p w14:paraId="378BD28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第四章资格审查</w:t>
      </w:r>
    </w:p>
    <w:p w14:paraId="5C2B4B2E">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第五章 评标方法及标准</w:t>
      </w:r>
    </w:p>
    <w:p w14:paraId="6E47079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第六章 合同草案</w:t>
      </w:r>
    </w:p>
    <w:p w14:paraId="62AD807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第七章 投标文件的格式</w:t>
      </w:r>
    </w:p>
    <w:p w14:paraId="453B9DCC">
      <w:pPr>
        <w:spacing w:line="360" w:lineRule="auto"/>
        <w:ind w:left="31" w:right="-27" w:rightChars="-13"/>
        <w:outlineLvl w:val="2"/>
        <w:rPr>
          <w:rFonts w:ascii="仿宋" w:hAnsi="仿宋" w:eastAsia="仿宋" w:cs="仿宋"/>
          <w:color w:val="auto"/>
          <w:sz w:val="24"/>
          <w:szCs w:val="24"/>
          <w:highlight w:val="none"/>
          <w:lang w:eastAsia="zh-CN"/>
        </w:rPr>
      </w:pPr>
      <w:bookmarkStart w:id="80" w:name="bookmark49"/>
      <w:bookmarkEnd w:id="80"/>
      <w:bookmarkStart w:id="81" w:name="bookmark50"/>
      <w:bookmarkEnd w:id="81"/>
      <w:bookmarkStart w:id="82" w:name="_Toc186477700"/>
      <w:bookmarkStart w:id="83" w:name="_Toc19400"/>
      <w:r>
        <w:rPr>
          <w:rFonts w:hint="eastAsia" w:ascii="仿宋" w:hAnsi="仿宋" w:eastAsia="仿宋" w:cs="仿宋"/>
          <w:b/>
          <w:bCs/>
          <w:color w:val="auto"/>
          <w:spacing w:val="-4"/>
          <w:sz w:val="24"/>
          <w:szCs w:val="24"/>
          <w:highlight w:val="none"/>
          <w:lang w:eastAsia="zh-CN"/>
        </w:rPr>
        <w:t>12.招标文件的询问、澄清或者修改</w:t>
      </w:r>
      <w:bookmarkEnd w:id="82"/>
      <w:bookmarkEnd w:id="83"/>
    </w:p>
    <w:p w14:paraId="416B5B25">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12.1 投标人对采购项目有疑问的，可以按照“投标人须知前附表”中的规</w:t>
      </w:r>
      <w:r>
        <w:rPr>
          <w:rFonts w:hint="eastAsia" w:ascii="仿宋" w:hAnsi="仿宋" w:eastAsia="仿宋" w:cs="仿宋"/>
          <w:color w:val="auto"/>
          <w:spacing w:val="-4"/>
          <w:sz w:val="24"/>
          <w:szCs w:val="24"/>
          <w:highlight w:val="none"/>
          <w:lang w:eastAsia="zh-CN"/>
        </w:rPr>
        <w:t>定提出询问。提出后，请投标人及时通过交易平台“答疑文件下载”栏目查看答</w:t>
      </w:r>
      <w:r>
        <w:rPr>
          <w:rFonts w:hint="eastAsia" w:ascii="仿宋" w:hAnsi="仿宋" w:eastAsia="仿宋" w:cs="仿宋"/>
          <w:color w:val="auto"/>
          <w:spacing w:val="-8"/>
          <w:sz w:val="24"/>
          <w:szCs w:val="24"/>
          <w:highlight w:val="none"/>
          <w:lang w:eastAsia="zh-CN"/>
        </w:rPr>
        <w:t>疑文件或澄清文件。必要时，采购代理机构将组织相关专家召开答疑会，如召开，</w:t>
      </w:r>
      <w:r>
        <w:rPr>
          <w:rFonts w:hint="eastAsia" w:ascii="仿宋" w:hAnsi="仿宋" w:eastAsia="仿宋" w:cs="仿宋"/>
          <w:color w:val="auto"/>
          <w:spacing w:val="-3"/>
          <w:sz w:val="24"/>
          <w:szCs w:val="24"/>
          <w:highlight w:val="none"/>
          <w:lang w:eastAsia="zh-CN"/>
        </w:rPr>
        <w:t>答疑会安排另行通知。采购人或采购代理机构将在收到询问后依法予以答复。对招标文件询问的答复，在必要时将以澄清形式推送给每个获取招标文件的潜在投</w:t>
      </w:r>
      <w:r>
        <w:rPr>
          <w:rFonts w:hint="eastAsia" w:ascii="仿宋" w:hAnsi="仿宋" w:eastAsia="仿宋" w:cs="仿宋"/>
          <w:color w:val="auto"/>
          <w:spacing w:val="-1"/>
          <w:sz w:val="24"/>
          <w:szCs w:val="24"/>
          <w:highlight w:val="none"/>
          <w:lang w:eastAsia="zh-CN"/>
        </w:rPr>
        <w:t>标人(答复中不包括问题的来源)。</w:t>
      </w:r>
    </w:p>
    <w:p w14:paraId="1705DD7E">
      <w:pPr>
        <w:spacing w:line="360" w:lineRule="auto"/>
        <w:ind w:left="31" w:leftChars="15" w:right="-27" w:rightChars="-13" w:firstLine="458" w:firstLineChars="196"/>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投标人在规定的时间内未对招标文件提出疑问或要求澄清</w:t>
      </w:r>
      <w:r>
        <w:rPr>
          <w:rFonts w:hint="eastAsia" w:ascii="仿宋" w:hAnsi="仿宋" w:eastAsia="仿宋" w:cs="仿宋"/>
          <w:color w:val="auto"/>
          <w:spacing w:val="-4"/>
          <w:sz w:val="24"/>
          <w:szCs w:val="24"/>
          <w:highlight w:val="none"/>
          <w:lang w:eastAsia="zh-CN"/>
        </w:rPr>
        <w:t>的，采购代理机构</w:t>
      </w:r>
      <w:r>
        <w:rPr>
          <w:rFonts w:hint="eastAsia" w:ascii="仿宋" w:hAnsi="仿宋" w:eastAsia="仿宋" w:cs="仿宋"/>
          <w:color w:val="auto"/>
          <w:spacing w:val="-5"/>
          <w:sz w:val="24"/>
          <w:szCs w:val="24"/>
          <w:highlight w:val="none"/>
          <w:lang w:eastAsia="zh-CN"/>
        </w:rPr>
        <w:t>将视其为同意，对在“投标人须知前附表”中“提出询问的时间要求”之后就招</w:t>
      </w:r>
      <w:r>
        <w:rPr>
          <w:rFonts w:hint="eastAsia" w:ascii="仿宋" w:hAnsi="仿宋" w:eastAsia="仿宋" w:cs="仿宋"/>
          <w:color w:val="auto"/>
          <w:spacing w:val="-1"/>
          <w:sz w:val="24"/>
          <w:szCs w:val="24"/>
          <w:highlight w:val="none"/>
          <w:lang w:eastAsia="zh-CN"/>
        </w:rPr>
        <w:t>标文件内容提出的疑问及澄清要求将不予受理。</w:t>
      </w:r>
    </w:p>
    <w:p w14:paraId="6977EF9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12.2 采购人或者采购代理机构可以对已发出的招标文件进行必要的澄清或</w:t>
      </w:r>
      <w:r>
        <w:rPr>
          <w:rFonts w:hint="eastAsia" w:ascii="仿宋" w:hAnsi="仿宋" w:eastAsia="仿宋" w:cs="仿宋"/>
          <w:color w:val="auto"/>
          <w:spacing w:val="-3"/>
          <w:sz w:val="24"/>
          <w:szCs w:val="24"/>
          <w:highlight w:val="none"/>
          <w:lang w:eastAsia="zh-CN"/>
        </w:rPr>
        <w:t>者修改。澄清或修改的内容为招标文件的组成部分，并对所有获取招标文件的潜</w:t>
      </w:r>
      <w:r>
        <w:rPr>
          <w:rFonts w:hint="eastAsia" w:ascii="仿宋" w:hAnsi="仿宋" w:eastAsia="仿宋" w:cs="仿宋"/>
          <w:color w:val="auto"/>
          <w:spacing w:val="-1"/>
          <w:sz w:val="24"/>
          <w:szCs w:val="24"/>
          <w:highlight w:val="none"/>
          <w:lang w:eastAsia="zh-CN"/>
        </w:rPr>
        <w:t>在投标人具有约束力。</w:t>
      </w:r>
    </w:p>
    <w:p w14:paraId="305FD69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12.3 招标文件的澄清或者修改以当面交接、邮寄、传真或电子邮件、网站</w:t>
      </w:r>
      <w:r>
        <w:rPr>
          <w:rFonts w:hint="eastAsia" w:ascii="仿宋" w:hAnsi="仿宋" w:eastAsia="仿宋" w:cs="仿宋"/>
          <w:color w:val="auto"/>
          <w:spacing w:val="-3"/>
          <w:sz w:val="24"/>
          <w:szCs w:val="24"/>
          <w:highlight w:val="none"/>
          <w:lang w:eastAsia="zh-CN"/>
        </w:rPr>
        <w:t>披露等其中至少一种方式，发给所有领取招标文件的潜在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w:t>
      </w:r>
      <w:r>
        <w:rPr>
          <w:rFonts w:hint="eastAsia" w:ascii="仿宋" w:hAnsi="仿宋" w:eastAsia="仿宋" w:cs="仿宋"/>
          <w:color w:val="auto"/>
          <w:spacing w:val="-4"/>
          <w:sz w:val="24"/>
          <w:szCs w:val="24"/>
          <w:highlight w:val="none"/>
          <w:lang w:eastAsia="zh-CN"/>
        </w:rPr>
        <w:t>时间。</w:t>
      </w:r>
    </w:p>
    <w:p w14:paraId="21BF039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12.4 “投标人须知”所称“书面形式”包括系统消息、政府采购云平台发</w:t>
      </w:r>
      <w:r>
        <w:rPr>
          <w:rFonts w:hint="eastAsia" w:ascii="仿宋" w:hAnsi="仿宋" w:eastAsia="仿宋" w:cs="仿宋"/>
          <w:color w:val="auto"/>
          <w:spacing w:val="-2"/>
          <w:sz w:val="24"/>
          <w:szCs w:val="24"/>
          <w:highlight w:val="none"/>
          <w:lang w:eastAsia="zh-CN"/>
        </w:rPr>
        <w:t>布的公告。</w:t>
      </w:r>
    </w:p>
    <w:p w14:paraId="1B6DADA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12.5采购代理机构一旦对招标文件作出了澄清、修改，即刻发生效力，采</w:t>
      </w:r>
      <w:r>
        <w:rPr>
          <w:rFonts w:hint="eastAsia" w:ascii="仿宋" w:hAnsi="仿宋" w:eastAsia="仿宋" w:cs="仿宋"/>
          <w:color w:val="auto"/>
          <w:spacing w:val="-3"/>
          <w:sz w:val="24"/>
          <w:szCs w:val="24"/>
          <w:highlight w:val="none"/>
          <w:lang w:eastAsia="zh-CN"/>
        </w:rPr>
        <w:t>购代理机构有关的澄清、修改文件，将作为招标文件的组成部分，对所有现实的或潜在的投标人均具有约束力，而无论是否已经实际收到上述文件。同时，采购</w:t>
      </w:r>
      <w:r>
        <w:rPr>
          <w:rFonts w:hint="eastAsia" w:ascii="仿宋" w:hAnsi="仿宋" w:eastAsia="仿宋" w:cs="仿宋"/>
          <w:color w:val="auto"/>
          <w:spacing w:val="-1"/>
          <w:sz w:val="24"/>
          <w:szCs w:val="24"/>
          <w:highlight w:val="none"/>
          <w:lang w:eastAsia="zh-CN"/>
        </w:rPr>
        <w:t>代理机构和投标人的权利及义务将受到新的截止期的约束。</w:t>
      </w:r>
    </w:p>
    <w:p w14:paraId="44E5375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12.6采购代理机构对招标文件作出的澄清、修改在平台内进行披露，请投</w:t>
      </w:r>
      <w:r>
        <w:rPr>
          <w:rFonts w:hint="eastAsia" w:ascii="仿宋" w:hAnsi="仿宋" w:eastAsia="仿宋" w:cs="仿宋"/>
          <w:color w:val="auto"/>
          <w:spacing w:val="-3"/>
          <w:sz w:val="24"/>
          <w:szCs w:val="24"/>
          <w:highlight w:val="none"/>
          <w:lang w:eastAsia="zh-CN"/>
        </w:rPr>
        <w:t>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w:t>
      </w:r>
      <w:r>
        <w:rPr>
          <w:rFonts w:hint="eastAsia" w:ascii="仿宋" w:hAnsi="仿宋" w:eastAsia="仿宋" w:cs="仿宋"/>
          <w:color w:val="auto"/>
          <w:spacing w:val="-1"/>
          <w:sz w:val="24"/>
          <w:szCs w:val="24"/>
          <w:highlight w:val="none"/>
          <w:lang w:eastAsia="zh-CN"/>
        </w:rPr>
        <w:t>不一致时，以最后发布的内容为准。</w:t>
      </w:r>
    </w:p>
    <w:p w14:paraId="1AFEDC41">
      <w:pPr>
        <w:spacing w:line="360" w:lineRule="auto"/>
        <w:ind w:left="31" w:right="-27" w:rightChars="-13"/>
        <w:outlineLvl w:val="2"/>
        <w:rPr>
          <w:rFonts w:ascii="仿宋" w:hAnsi="仿宋" w:eastAsia="仿宋" w:cs="仿宋"/>
          <w:color w:val="auto"/>
          <w:sz w:val="24"/>
          <w:szCs w:val="24"/>
          <w:highlight w:val="none"/>
          <w:lang w:eastAsia="zh-CN"/>
        </w:rPr>
      </w:pPr>
      <w:bookmarkStart w:id="84" w:name="bookmark52"/>
      <w:bookmarkEnd w:id="84"/>
      <w:bookmarkStart w:id="85" w:name="bookmark51"/>
      <w:bookmarkEnd w:id="85"/>
      <w:bookmarkStart w:id="86" w:name="_Toc186477701"/>
      <w:bookmarkStart w:id="87" w:name="_Toc31225"/>
      <w:r>
        <w:rPr>
          <w:rFonts w:hint="eastAsia" w:ascii="仿宋" w:hAnsi="仿宋" w:eastAsia="仿宋" w:cs="仿宋"/>
          <w:b/>
          <w:bCs/>
          <w:color w:val="auto"/>
          <w:spacing w:val="-6"/>
          <w:sz w:val="24"/>
          <w:szCs w:val="24"/>
          <w:highlight w:val="none"/>
          <w:lang w:eastAsia="zh-CN"/>
        </w:rPr>
        <w:t>（三）投标文件</w:t>
      </w:r>
      <w:bookmarkEnd w:id="86"/>
      <w:bookmarkEnd w:id="87"/>
    </w:p>
    <w:p w14:paraId="741526D5">
      <w:pPr>
        <w:spacing w:line="360" w:lineRule="auto"/>
        <w:ind w:left="31" w:right="-27" w:rightChars="-13"/>
        <w:outlineLvl w:val="2"/>
        <w:rPr>
          <w:rFonts w:ascii="仿宋" w:hAnsi="仿宋" w:eastAsia="仿宋" w:cs="仿宋"/>
          <w:color w:val="auto"/>
          <w:sz w:val="24"/>
          <w:szCs w:val="24"/>
          <w:highlight w:val="none"/>
          <w:lang w:eastAsia="zh-CN"/>
        </w:rPr>
      </w:pPr>
      <w:bookmarkStart w:id="88" w:name="bookmark56"/>
      <w:bookmarkEnd w:id="88"/>
      <w:bookmarkStart w:id="89" w:name="bookmark54"/>
      <w:bookmarkEnd w:id="89"/>
      <w:bookmarkStart w:id="90" w:name="bookmark53"/>
      <w:bookmarkEnd w:id="90"/>
      <w:bookmarkStart w:id="91" w:name="_Toc29408"/>
      <w:bookmarkStart w:id="92" w:name="_Toc186477702"/>
      <w:r>
        <w:rPr>
          <w:rFonts w:hint="eastAsia" w:ascii="仿宋" w:hAnsi="仿宋" w:eastAsia="仿宋" w:cs="仿宋"/>
          <w:b/>
          <w:bCs/>
          <w:color w:val="auto"/>
          <w:spacing w:val="-6"/>
          <w:sz w:val="24"/>
          <w:szCs w:val="24"/>
          <w:highlight w:val="none"/>
          <w:lang w:eastAsia="zh-CN"/>
        </w:rPr>
        <w:t>13.投标文件的组成</w:t>
      </w:r>
      <w:bookmarkEnd w:id="91"/>
      <w:bookmarkEnd w:id="92"/>
    </w:p>
    <w:p w14:paraId="108D068B">
      <w:pPr>
        <w:widowControl w:val="0"/>
        <w:spacing w:line="360" w:lineRule="auto"/>
        <w:ind w:left="28"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13.1投标人应完整地按招标文件提供的投标文件格式及要求编写投标文件，具体内容详见“第七章 投标文件格式”的相关内容。</w:t>
      </w:r>
    </w:p>
    <w:p w14:paraId="6CCD1E8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13.2投标人应提交招标文件要求的证明文件，证明其投标内容符合招标文</w:t>
      </w:r>
      <w:r>
        <w:rPr>
          <w:rFonts w:hint="eastAsia" w:ascii="仿宋" w:hAnsi="仿宋" w:eastAsia="仿宋" w:cs="仿宋"/>
          <w:color w:val="auto"/>
          <w:spacing w:val="-3"/>
          <w:sz w:val="24"/>
          <w:szCs w:val="24"/>
          <w:highlight w:val="none"/>
          <w:lang w:eastAsia="zh-CN"/>
        </w:rPr>
        <w:t>件规定，该证明文件是投标文件的一部分。证明文件形式可以是文字资料、图纸</w:t>
      </w:r>
      <w:r>
        <w:rPr>
          <w:rFonts w:hint="eastAsia" w:ascii="仿宋" w:hAnsi="仿宋" w:eastAsia="仿宋" w:cs="仿宋"/>
          <w:color w:val="auto"/>
          <w:spacing w:val="-2"/>
          <w:sz w:val="24"/>
          <w:szCs w:val="24"/>
          <w:highlight w:val="none"/>
          <w:lang w:eastAsia="zh-CN"/>
        </w:rPr>
        <w:t>和数据等。</w:t>
      </w:r>
    </w:p>
    <w:p w14:paraId="654AFB4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13.3为保证公平公正，除非本招标文件另有规定或说明，投标人对同一项</w:t>
      </w:r>
      <w:r>
        <w:rPr>
          <w:rFonts w:hint="eastAsia" w:ascii="仿宋" w:hAnsi="仿宋" w:eastAsia="仿宋" w:cs="仿宋"/>
          <w:color w:val="auto"/>
          <w:spacing w:val="-4"/>
          <w:sz w:val="24"/>
          <w:szCs w:val="24"/>
          <w:highlight w:val="none"/>
          <w:lang w:eastAsia="zh-CN"/>
        </w:rPr>
        <w:t>目投标时，不得同时提供备选投标方案。</w:t>
      </w:r>
    </w:p>
    <w:p w14:paraId="72C44058">
      <w:pPr>
        <w:spacing w:line="360" w:lineRule="auto"/>
        <w:ind w:left="31" w:right="-27" w:rightChars="-13"/>
        <w:outlineLvl w:val="3"/>
        <w:rPr>
          <w:rFonts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14.投标报价</w:t>
      </w:r>
    </w:p>
    <w:p w14:paraId="6A86260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14.1 投标人的报价均应以人民币进行报价。</w:t>
      </w:r>
    </w:p>
    <w:p w14:paraId="18EAD05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 投标人应按照本招标文件规定的报价方式进行报价，投标报价中不得</w:t>
      </w:r>
      <w:r>
        <w:rPr>
          <w:rFonts w:hint="eastAsia" w:ascii="仿宋" w:hAnsi="仿宋" w:eastAsia="仿宋" w:cs="仿宋"/>
          <w:color w:val="auto"/>
          <w:spacing w:val="-3"/>
          <w:sz w:val="24"/>
          <w:szCs w:val="24"/>
          <w:highlight w:val="none"/>
          <w:lang w:eastAsia="zh-CN"/>
        </w:rPr>
        <w:t>包含招标文件要求以外的内容，否则，在评标时不予核减。投标报价中也不得缺</w:t>
      </w:r>
      <w:r>
        <w:rPr>
          <w:rFonts w:hint="eastAsia" w:ascii="仿宋" w:hAnsi="仿宋" w:eastAsia="仿宋" w:cs="仿宋"/>
          <w:color w:val="auto"/>
          <w:spacing w:val="-1"/>
          <w:sz w:val="24"/>
          <w:szCs w:val="24"/>
          <w:highlight w:val="none"/>
          <w:lang w:eastAsia="zh-CN"/>
        </w:rPr>
        <w:t>漏招标文件所要求的内容，否则，其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30EA9F7E">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投标人的报价应包括为完成本项目所发生的一切费用和税</w:t>
      </w:r>
      <w:r>
        <w:rPr>
          <w:rFonts w:hint="eastAsia" w:ascii="仿宋" w:hAnsi="仿宋" w:eastAsia="仿宋" w:cs="仿宋"/>
          <w:color w:val="auto"/>
          <w:spacing w:val="-4"/>
          <w:sz w:val="24"/>
          <w:szCs w:val="24"/>
          <w:highlight w:val="none"/>
          <w:lang w:eastAsia="zh-CN"/>
        </w:rPr>
        <w:t>费，采购人将不再</w:t>
      </w:r>
      <w:r>
        <w:rPr>
          <w:rFonts w:hint="eastAsia" w:ascii="仿宋" w:hAnsi="仿宋" w:eastAsia="仿宋" w:cs="仿宋"/>
          <w:color w:val="auto"/>
          <w:spacing w:val="-3"/>
          <w:sz w:val="24"/>
          <w:szCs w:val="24"/>
          <w:highlight w:val="none"/>
          <w:lang w:eastAsia="zh-CN"/>
        </w:rPr>
        <w:t>支付报价以外的任何费用。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w:t>
      </w:r>
      <w:r>
        <w:rPr>
          <w:rFonts w:hint="eastAsia" w:ascii="仿宋" w:hAnsi="仿宋" w:eastAsia="仿宋" w:cs="仿宋"/>
          <w:color w:val="auto"/>
          <w:spacing w:val="-1"/>
          <w:sz w:val="24"/>
          <w:szCs w:val="24"/>
          <w:highlight w:val="none"/>
          <w:lang w:eastAsia="zh-CN"/>
        </w:rPr>
        <w:t>任何失误，所导致的任何不利后果均应当由投标人自行承担。</w:t>
      </w:r>
    </w:p>
    <w:p w14:paraId="278B361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投标人的报价应包括但不限于下列内容：</w:t>
      </w:r>
    </w:p>
    <w:p w14:paraId="40E6942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14.2.1 投标货物及标准附件、备品备件、专用工具等的出厂价（包括已在</w:t>
      </w:r>
      <w:r>
        <w:rPr>
          <w:rFonts w:hint="eastAsia" w:ascii="仿宋" w:hAnsi="仿宋" w:eastAsia="仿宋" w:cs="仿宋"/>
          <w:color w:val="auto"/>
          <w:spacing w:val="-3"/>
          <w:sz w:val="24"/>
          <w:szCs w:val="24"/>
          <w:highlight w:val="none"/>
          <w:lang w:eastAsia="zh-CN"/>
        </w:rPr>
        <w:t>中国国内的进口货物完税后的仓库交货价、展室交货价或货架交货价）和运至最终目的地的运输费和保险费，安装调试、检验、技术服务、培训、质量保证、售</w:t>
      </w:r>
      <w:r>
        <w:rPr>
          <w:rFonts w:hint="eastAsia" w:ascii="仿宋" w:hAnsi="仿宋" w:eastAsia="仿宋" w:cs="仿宋"/>
          <w:color w:val="auto"/>
          <w:spacing w:val="-2"/>
          <w:sz w:val="24"/>
          <w:szCs w:val="24"/>
          <w:highlight w:val="none"/>
          <w:lang w:eastAsia="zh-CN"/>
        </w:rPr>
        <w:t>后服务、税费等；</w:t>
      </w:r>
    </w:p>
    <w:p w14:paraId="63618AD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14.2.2 按照招标文件要求完成本项目的全部相关费用。</w:t>
      </w:r>
    </w:p>
    <w:p w14:paraId="0225606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14.3 投标人须严格按照分项报价表规定的内容填写货物单价以及其他事项。</w:t>
      </w:r>
      <w:r>
        <w:rPr>
          <w:rFonts w:hint="eastAsia" w:ascii="仿宋" w:hAnsi="仿宋" w:eastAsia="仿宋" w:cs="仿宋"/>
          <w:color w:val="auto"/>
          <w:spacing w:val="-3"/>
          <w:sz w:val="24"/>
          <w:szCs w:val="24"/>
          <w:highlight w:val="none"/>
          <w:lang w:eastAsia="zh-CN"/>
        </w:rPr>
        <w:t>投标人应根据本招标文件的规定和要求、市场价格水平及其走势、投标人的管理水平、投标人的方案和由这些因素决定的投标人之于本项目的成本水平等提出自</w:t>
      </w:r>
      <w:r>
        <w:rPr>
          <w:rFonts w:hint="eastAsia" w:ascii="仿宋" w:hAnsi="仿宋" w:eastAsia="仿宋" w:cs="仿宋"/>
          <w:color w:val="auto"/>
          <w:sz w:val="24"/>
          <w:szCs w:val="24"/>
          <w:highlight w:val="none"/>
          <w:lang w:eastAsia="zh-CN"/>
        </w:rPr>
        <w:t>己的报价。报价应合理，并包含完成本招标文件采购需求全部内容的所有费用，所有根据本招标文件或其它原因应由投标人支付的税</w:t>
      </w:r>
      <w:r>
        <w:rPr>
          <w:rFonts w:hint="eastAsia" w:ascii="仿宋" w:hAnsi="仿宋" w:eastAsia="仿宋" w:cs="仿宋"/>
          <w:color w:val="auto"/>
          <w:spacing w:val="-1"/>
          <w:sz w:val="24"/>
          <w:szCs w:val="24"/>
          <w:highlight w:val="none"/>
          <w:lang w:eastAsia="zh-CN"/>
        </w:rPr>
        <w:t>款和其他应缴纳的费用都应包括在投标人提交的投标报价中。</w:t>
      </w:r>
    </w:p>
    <w:p w14:paraId="394E2910">
      <w:pPr>
        <w:spacing w:line="360" w:lineRule="auto"/>
        <w:ind w:left="31" w:right="-27" w:rightChars="-13"/>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14.4 投标人在投标文件中注明免费的项目将视为包含在投标报价中。</w:t>
      </w:r>
    </w:p>
    <w:p w14:paraId="21B3653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14.5 每一种采购内容只允许有一个报价，否则其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。除非招标文件</w:t>
      </w:r>
      <w:r>
        <w:rPr>
          <w:rFonts w:hint="eastAsia" w:ascii="仿宋" w:hAnsi="仿宋" w:eastAsia="仿宋" w:cs="仿宋"/>
          <w:color w:val="auto"/>
          <w:spacing w:val="-3"/>
          <w:sz w:val="24"/>
          <w:szCs w:val="24"/>
          <w:highlight w:val="none"/>
          <w:lang w:eastAsia="zh-CN"/>
        </w:rPr>
        <w:t>另有规定，不接受可选择或可调整的投标方案和报价，任何有选择的或可调</w:t>
      </w:r>
      <w:r>
        <w:rPr>
          <w:rFonts w:hint="eastAsia" w:ascii="仿宋" w:hAnsi="仿宋" w:eastAsia="仿宋" w:cs="仿宋"/>
          <w:color w:val="auto"/>
          <w:spacing w:val="-4"/>
          <w:sz w:val="24"/>
          <w:szCs w:val="24"/>
          <w:highlight w:val="none"/>
          <w:lang w:eastAsia="zh-CN"/>
        </w:rPr>
        <w:t>整的</w:t>
      </w:r>
      <w:r>
        <w:rPr>
          <w:rFonts w:hint="eastAsia" w:ascii="仿宋" w:hAnsi="仿宋" w:eastAsia="仿宋" w:cs="仿宋"/>
          <w:color w:val="auto"/>
          <w:spacing w:val="-1"/>
          <w:sz w:val="24"/>
          <w:szCs w:val="24"/>
          <w:highlight w:val="none"/>
          <w:lang w:eastAsia="zh-CN"/>
        </w:rPr>
        <w:t>投标方案和报价将被视为非实质性响应招标文件,其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5B7AD4D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14.6 投标报价不得超过“第一章 招标公告”中规定</w:t>
      </w:r>
      <w:r>
        <w:rPr>
          <w:rFonts w:hint="eastAsia" w:ascii="仿宋" w:hAnsi="仿宋" w:eastAsia="仿宋" w:cs="仿宋"/>
          <w:color w:val="auto"/>
          <w:spacing w:val="-5"/>
          <w:sz w:val="24"/>
          <w:szCs w:val="24"/>
          <w:highlight w:val="none"/>
          <w:lang w:eastAsia="zh-CN"/>
        </w:rPr>
        <w:t>的最高投标限价或者预</w:t>
      </w:r>
      <w:r>
        <w:rPr>
          <w:rFonts w:hint="eastAsia" w:ascii="仿宋" w:hAnsi="仿宋" w:eastAsia="仿宋" w:cs="仿宋"/>
          <w:color w:val="auto"/>
          <w:spacing w:val="-1"/>
          <w:sz w:val="24"/>
          <w:szCs w:val="24"/>
          <w:highlight w:val="none"/>
          <w:lang w:eastAsia="zh-CN"/>
        </w:rPr>
        <w:t>算金额，否则评标委员会将对其作</w:t>
      </w:r>
      <w:r>
        <w:rPr>
          <w:rFonts w:hint="eastAsia" w:ascii="仿宋" w:hAnsi="仿宋" w:eastAsia="仿宋" w:cs="仿宋"/>
          <w:b/>
          <w:bCs/>
          <w:color w:val="auto"/>
          <w:spacing w:val="-1"/>
          <w:sz w:val="24"/>
          <w:szCs w:val="24"/>
          <w:highlight w:val="none"/>
          <w:lang w:eastAsia="zh-CN"/>
        </w:rPr>
        <w:t>无效投</w:t>
      </w:r>
      <w:r>
        <w:rPr>
          <w:rFonts w:hint="eastAsia" w:ascii="仿宋" w:hAnsi="仿宋" w:eastAsia="仿宋" w:cs="仿宋"/>
          <w:b/>
          <w:bCs/>
          <w:color w:val="auto"/>
          <w:spacing w:val="-2"/>
          <w:sz w:val="24"/>
          <w:szCs w:val="24"/>
          <w:highlight w:val="none"/>
          <w:lang w:eastAsia="zh-CN"/>
        </w:rPr>
        <w:t>标处理</w:t>
      </w:r>
      <w:r>
        <w:rPr>
          <w:rFonts w:hint="eastAsia" w:ascii="仿宋" w:hAnsi="仿宋" w:eastAsia="仿宋" w:cs="仿宋"/>
          <w:color w:val="auto"/>
          <w:spacing w:val="-2"/>
          <w:sz w:val="24"/>
          <w:szCs w:val="24"/>
          <w:highlight w:val="none"/>
          <w:lang w:eastAsia="zh-CN"/>
        </w:rPr>
        <w:t>。</w:t>
      </w:r>
    </w:p>
    <w:p w14:paraId="5856F1E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14.7 投标人对投标报价若有说明应在投标文件中显著处注明。</w:t>
      </w:r>
    </w:p>
    <w:p w14:paraId="7C38ED0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除政策性文件规定以外，投标人所报价格在合同实施期间不因市场变化因素</w:t>
      </w:r>
      <w:r>
        <w:rPr>
          <w:rFonts w:hint="eastAsia" w:ascii="仿宋" w:hAnsi="仿宋" w:eastAsia="仿宋" w:cs="仿宋"/>
          <w:color w:val="auto"/>
          <w:spacing w:val="-3"/>
          <w:sz w:val="24"/>
          <w:szCs w:val="24"/>
          <w:highlight w:val="none"/>
          <w:lang w:eastAsia="zh-CN"/>
        </w:rPr>
        <w:t>而变动。</w:t>
      </w:r>
    </w:p>
    <w:p w14:paraId="5F8A18C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14.8 对于有配件、耗材、选件、备件和特殊工具的货物，还应</w:t>
      </w:r>
      <w:r>
        <w:rPr>
          <w:rFonts w:hint="eastAsia" w:ascii="仿宋" w:hAnsi="仿宋" w:eastAsia="仿宋" w:cs="仿宋"/>
          <w:color w:val="auto"/>
          <w:spacing w:val="-1"/>
          <w:sz w:val="24"/>
          <w:szCs w:val="24"/>
          <w:highlight w:val="none"/>
          <w:lang w:eastAsia="zh-CN"/>
        </w:rPr>
        <w:t>填报投标货物配件、耗材、选件表和备件及特殊工具清</w:t>
      </w:r>
      <w:r>
        <w:rPr>
          <w:rFonts w:hint="eastAsia" w:ascii="仿宋" w:hAnsi="仿宋" w:eastAsia="仿宋" w:cs="仿宋"/>
          <w:color w:val="auto"/>
          <w:spacing w:val="-2"/>
          <w:sz w:val="24"/>
          <w:szCs w:val="24"/>
          <w:highlight w:val="none"/>
          <w:lang w:eastAsia="zh-CN"/>
        </w:rPr>
        <w:t>单，注明品牌、型号、产地、功能、</w:t>
      </w:r>
      <w:r>
        <w:rPr>
          <w:rFonts w:hint="eastAsia" w:ascii="仿宋" w:hAnsi="仿宋" w:eastAsia="仿宋" w:cs="仿宋"/>
          <w:color w:val="auto"/>
          <w:spacing w:val="-3"/>
          <w:sz w:val="24"/>
          <w:szCs w:val="24"/>
          <w:highlight w:val="none"/>
          <w:lang w:eastAsia="zh-CN"/>
        </w:rPr>
        <w:t>单价、批量折扣等内容，该表格格式由投标人自行设计。投标人按照上述要求分类报价，其目的是便于评标，但在任何情况下并不限制采购人以其他条款签订合</w:t>
      </w:r>
      <w:r>
        <w:rPr>
          <w:rFonts w:hint="eastAsia" w:ascii="仿宋" w:hAnsi="仿宋" w:eastAsia="仿宋" w:cs="仿宋"/>
          <w:color w:val="auto"/>
          <w:spacing w:val="-2"/>
          <w:sz w:val="24"/>
          <w:szCs w:val="24"/>
          <w:highlight w:val="none"/>
          <w:lang w:eastAsia="zh-CN"/>
        </w:rPr>
        <w:t>同的权利。</w:t>
      </w:r>
    </w:p>
    <w:p w14:paraId="6C21BC1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14.9 最低报价不能作为中标的保证。</w:t>
      </w:r>
    </w:p>
    <w:p w14:paraId="0B18F02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14.10采购人不得向投标人索要或者接受其给予的赠品、回扣或者与采购无关的其他商品、服务。</w:t>
      </w:r>
    </w:p>
    <w:p w14:paraId="1592CAAD">
      <w:pPr>
        <w:spacing w:line="360" w:lineRule="auto"/>
        <w:ind w:left="31" w:right="-27" w:rightChars="-13"/>
        <w:outlineLvl w:val="2"/>
        <w:rPr>
          <w:rFonts w:ascii="仿宋" w:hAnsi="仿宋" w:eastAsia="仿宋" w:cs="仿宋"/>
          <w:color w:val="auto"/>
          <w:sz w:val="24"/>
          <w:szCs w:val="24"/>
          <w:highlight w:val="none"/>
          <w:lang w:eastAsia="zh-CN"/>
        </w:rPr>
      </w:pPr>
      <w:bookmarkStart w:id="93" w:name="bookmark57"/>
      <w:bookmarkEnd w:id="93"/>
      <w:bookmarkStart w:id="94" w:name="bookmark58"/>
      <w:bookmarkEnd w:id="94"/>
      <w:bookmarkStart w:id="95" w:name="_Toc186477703"/>
      <w:bookmarkStart w:id="96" w:name="_Toc16684"/>
      <w:r>
        <w:rPr>
          <w:rFonts w:hint="eastAsia" w:ascii="仿宋" w:hAnsi="仿宋" w:eastAsia="仿宋" w:cs="仿宋"/>
          <w:b/>
          <w:bCs/>
          <w:color w:val="auto"/>
          <w:spacing w:val="-7"/>
          <w:sz w:val="24"/>
          <w:szCs w:val="24"/>
          <w:highlight w:val="none"/>
          <w:lang w:eastAsia="zh-CN"/>
        </w:rPr>
        <w:t>15.投标有效期</w:t>
      </w:r>
      <w:bookmarkEnd w:id="95"/>
      <w:bookmarkEnd w:id="96"/>
    </w:p>
    <w:p w14:paraId="13B03AD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15.1 投标有效期见“第二章 投标人须知前附</w:t>
      </w:r>
      <w:r>
        <w:rPr>
          <w:rFonts w:hint="eastAsia" w:ascii="仿宋" w:hAnsi="仿宋" w:eastAsia="仿宋" w:cs="仿宋"/>
          <w:color w:val="auto"/>
          <w:spacing w:val="-5"/>
          <w:sz w:val="24"/>
          <w:szCs w:val="24"/>
          <w:highlight w:val="none"/>
          <w:lang w:eastAsia="zh-CN"/>
        </w:rPr>
        <w:t>表”，投标人承诺的投标有效</w:t>
      </w:r>
      <w:r>
        <w:rPr>
          <w:rFonts w:hint="eastAsia" w:ascii="仿宋" w:hAnsi="仿宋" w:eastAsia="仿宋" w:cs="仿宋"/>
          <w:color w:val="auto"/>
          <w:spacing w:val="-2"/>
          <w:sz w:val="24"/>
          <w:szCs w:val="24"/>
          <w:highlight w:val="none"/>
          <w:lang w:eastAsia="zh-CN"/>
        </w:rPr>
        <w:t>期少于招标文件规定期限的，其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03B722A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15.2 投标有效期从提交投标文件的截止之日起算。投标文件中承诺的投标</w:t>
      </w:r>
      <w:r>
        <w:rPr>
          <w:rFonts w:hint="eastAsia" w:ascii="仿宋" w:hAnsi="仿宋" w:eastAsia="仿宋" w:cs="仿宋"/>
          <w:color w:val="auto"/>
          <w:spacing w:val="-3"/>
          <w:sz w:val="24"/>
          <w:szCs w:val="24"/>
          <w:highlight w:val="none"/>
          <w:lang w:eastAsia="zh-CN"/>
        </w:rPr>
        <w:t>有效期应当不少于招标文件中载明的投标有效期。投标有效期内投标人撤销投标</w:t>
      </w:r>
      <w:r>
        <w:rPr>
          <w:rFonts w:hint="eastAsia" w:ascii="仿宋" w:hAnsi="仿宋" w:eastAsia="仿宋" w:cs="仿宋"/>
          <w:color w:val="auto"/>
          <w:spacing w:val="-1"/>
          <w:sz w:val="24"/>
          <w:szCs w:val="24"/>
          <w:highlight w:val="none"/>
          <w:lang w:eastAsia="zh-CN"/>
        </w:rPr>
        <w:t>文件的，采购人或者采购代理机构可以不退还投标保证金。</w:t>
      </w:r>
    </w:p>
    <w:p w14:paraId="024157D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15.3特殊情况下，在原投标文件有效期截止之前，采购代理机构</w:t>
      </w:r>
      <w:r>
        <w:rPr>
          <w:rFonts w:hint="eastAsia" w:ascii="仿宋" w:hAnsi="仿宋" w:eastAsia="仿宋" w:cs="仿宋"/>
          <w:color w:val="auto"/>
          <w:spacing w:val="-2"/>
          <w:sz w:val="24"/>
          <w:szCs w:val="24"/>
          <w:highlight w:val="none"/>
          <w:lang w:eastAsia="zh-CN"/>
        </w:rPr>
        <w:t>或采购人</w:t>
      </w:r>
      <w:r>
        <w:rPr>
          <w:rFonts w:hint="eastAsia" w:ascii="仿宋" w:hAnsi="仿宋" w:eastAsia="仿宋" w:cs="仿宋"/>
          <w:color w:val="auto"/>
          <w:spacing w:val="-3"/>
          <w:sz w:val="24"/>
          <w:szCs w:val="24"/>
          <w:highlight w:val="none"/>
          <w:lang w:eastAsia="zh-CN"/>
        </w:rPr>
        <w:t>可要求投标人延长投标有效期。需要延长投标有效期时，采购代理机构或采购人将以书面形式通知所有投标人，投标人应以书面形式答复是否同意延长投标有效</w:t>
      </w:r>
      <w:r>
        <w:rPr>
          <w:rFonts w:hint="eastAsia" w:ascii="仿宋" w:hAnsi="仿宋" w:eastAsia="仿宋" w:cs="仿宋"/>
          <w:color w:val="auto"/>
          <w:spacing w:val="-4"/>
          <w:sz w:val="24"/>
          <w:szCs w:val="24"/>
          <w:highlight w:val="none"/>
          <w:lang w:eastAsia="zh-CN"/>
        </w:rPr>
        <w:t>期。</w:t>
      </w:r>
    </w:p>
    <w:p w14:paraId="761798F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15.4投标人同意延长的，其投标保证金的有效期也相应延</w:t>
      </w:r>
      <w:r>
        <w:rPr>
          <w:rFonts w:hint="eastAsia" w:ascii="仿宋" w:hAnsi="仿宋" w:eastAsia="仿宋" w:cs="仿宋"/>
          <w:color w:val="auto"/>
          <w:spacing w:val="-2"/>
          <w:sz w:val="24"/>
          <w:szCs w:val="24"/>
          <w:highlight w:val="none"/>
          <w:lang w:eastAsia="zh-CN"/>
        </w:rPr>
        <w:t>长，但不得要求</w:t>
      </w:r>
      <w:r>
        <w:rPr>
          <w:rFonts w:hint="eastAsia" w:ascii="仿宋" w:hAnsi="仿宋" w:eastAsia="仿宋" w:cs="仿宋"/>
          <w:color w:val="auto"/>
          <w:spacing w:val="-3"/>
          <w:sz w:val="24"/>
          <w:szCs w:val="24"/>
          <w:highlight w:val="none"/>
          <w:lang w:eastAsia="zh-CN"/>
        </w:rPr>
        <w:t>或被允许修改或撤销其投标文件；投标人拒绝延长的，其投标文件在原投标</w:t>
      </w:r>
      <w:r>
        <w:rPr>
          <w:rFonts w:hint="eastAsia" w:ascii="仿宋" w:hAnsi="仿宋" w:eastAsia="仿宋" w:cs="仿宋"/>
          <w:color w:val="auto"/>
          <w:spacing w:val="-4"/>
          <w:sz w:val="24"/>
          <w:szCs w:val="24"/>
          <w:highlight w:val="none"/>
          <w:lang w:eastAsia="zh-CN"/>
        </w:rPr>
        <w:t>有效</w:t>
      </w:r>
      <w:r>
        <w:rPr>
          <w:rFonts w:hint="eastAsia" w:ascii="仿宋" w:hAnsi="仿宋" w:eastAsia="仿宋" w:cs="仿宋"/>
          <w:color w:val="auto"/>
          <w:spacing w:val="-1"/>
          <w:sz w:val="24"/>
          <w:szCs w:val="24"/>
          <w:highlight w:val="none"/>
          <w:lang w:eastAsia="zh-CN"/>
        </w:rPr>
        <w:t>期满后将不再有效，但其提交的投标保证金可予以退还。</w:t>
      </w:r>
    </w:p>
    <w:p w14:paraId="02CF2BFF">
      <w:pPr>
        <w:spacing w:line="360" w:lineRule="auto"/>
        <w:ind w:left="31" w:right="-27" w:rightChars="-13"/>
        <w:outlineLvl w:val="2"/>
        <w:rPr>
          <w:rFonts w:ascii="仿宋" w:hAnsi="仿宋" w:eastAsia="仿宋" w:cs="仿宋"/>
          <w:color w:val="auto"/>
          <w:sz w:val="24"/>
          <w:szCs w:val="24"/>
          <w:highlight w:val="none"/>
          <w:lang w:eastAsia="zh-CN"/>
        </w:rPr>
      </w:pPr>
      <w:bookmarkStart w:id="97" w:name="bookmark59"/>
      <w:bookmarkEnd w:id="97"/>
      <w:bookmarkStart w:id="98" w:name="bookmark60"/>
      <w:bookmarkEnd w:id="98"/>
      <w:bookmarkStart w:id="99" w:name="_Toc8434"/>
      <w:bookmarkStart w:id="100" w:name="_Toc186477704"/>
      <w:r>
        <w:rPr>
          <w:rFonts w:hint="eastAsia" w:ascii="仿宋" w:hAnsi="仿宋" w:eastAsia="仿宋" w:cs="仿宋"/>
          <w:b/>
          <w:bCs/>
          <w:color w:val="auto"/>
          <w:spacing w:val="-6"/>
          <w:sz w:val="24"/>
          <w:szCs w:val="24"/>
          <w:highlight w:val="none"/>
          <w:lang w:eastAsia="zh-CN"/>
        </w:rPr>
        <w:t>16.投标文件的编制</w:t>
      </w:r>
      <w:bookmarkEnd w:id="99"/>
      <w:bookmarkEnd w:id="100"/>
    </w:p>
    <w:p w14:paraId="4A5511C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16.1投标文件应在供应商客户端中进行编制，在投标文件</w:t>
      </w:r>
      <w:r>
        <w:rPr>
          <w:rFonts w:hint="eastAsia" w:ascii="仿宋" w:hAnsi="仿宋" w:eastAsia="仿宋" w:cs="仿宋"/>
          <w:color w:val="auto"/>
          <w:spacing w:val="-2"/>
          <w:sz w:val="24"/>
          <w:szCs w:val="24"/>
          <w:highlight w:val="none"/>
          <w:lang w:eastAsia="zh-CN"/>
        </w:rPr>
        <w:t>中要求加盖印章的，除有特殊说明之外，可使用电子签章签署。</w:t>
      </w:r>
    </w:p>
    <w:p w14:paraId="7A80A7D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16.2投标人在供应商客户端中按照供应商客户端中的格式</w:t>
      </w:r>
      <w:r>
        <w:rPr>
          <w:rFonts w:hint="eastAsia" w:ascii="仿宋" w:hAnsi="仿宋" w:eastAsia="仿宋" w:cs="仿宋"/>
          <w:color w:val="auto"/>
          <w:spacing w:val="-2"/>
          <w:sz w:val="24"/>
          <w:szCs w:val="24"/>
          <w:highlight w:val="none"/>
          <w:lang w:eastAsia="zh-CN"/>
        </w:rPr>
        <w:t>要求填写响应内</w:t>
      </w:r>
      <w:r>
        <w:rPr>
          <w:rFonts w:hint="eastAsia" w:ascii="仿宋" w:hAnsi="仿宋" w:eastAsia="仿宋" w:cs="仿宋"/>
          <w:color w:val="auto"/>
          <w:spacing w:val="-3"/>
          <w:sz w:val="24"/>
          <w:szCs w:val="24"/>
          <w:highlight w:val="none"/>
          <w:lang w:eastAsia="zh-CN"/>
        </w:rPr>
        <w:t>容后，生成投标文件。投标人须按照招标文件的要求使用电子签章对要求加</w:t>
      </w:r>
      <w:r>
        <w:rPr>
          <w:rFonts w:hint="eastAsia" w:ascii="仿宋" w:hAnsi="仿宋" w:eastAsia="仿宋" w:cs="仿宋"/>
          <w:color w:val="auto"/>
          <w:spacing w:val="-4"/>
          <w:sz w:val="24"/>
          <w:szCs w:val="24"/>
          <w:highlight w:val="none"/>
          <w:lang w:eastAsia="zh-CN"/>
        </w:rPr>
        <w:t>盖印</w:t>
      </w:r>
      <w:r>
        <w:rPr>
          <w:rFonts w:hint="eastAsia" w:ascii="仿宋" w:hAnsi="仿宋" w:eastAsia="仿宋" w:cs="仿宋"/>
          <w:color w:val="auto"/>
          <w:spacing w:val="-2"/>
          <w:sz w:val="24"/>
          <w:szCs w:val="24"/>
          <w:highlight w:val="none"/>
          <w:lang w:eastAsia="zh-CN"/>
        </w:rPr>
        <w:t>章的部分逐一进行签章。</w:t>
      </w:r>
    </w:p>
    <w:p w14:paraId="0F36E946">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16.3投标人应详细阅读招标文件的全部内容。投标文件须</w:t>
      </w:r>
      <w:r>
        <w:rPr>
          <w:rFonts w:hint="eastAsia" w:ascii="仿宋" w:hAnsi="仿宋" w:eastAsia="仿宋" w:cs="仿宋"/>
          <w:color w:val="auto"/>
          <w:spacing w:val="-2"/>
          <w:sz w:val="24"/>
          <w:szCs w:val="24"/>
          <w:highlight w:val="none"/>
          <w:lang w:eastAsia="zh-CN"/>
        </w:rPr>
        <w:t>对招标文件中的</w:t>
      </w:r>
      <w:r>
        <w:rPr>
          <w:rFonts w:hint="eastAsia" w:ascii="仿宋" w:hAnsi="仿宋" w:eastAsia="仿宋" w:cs="仿宋"/>
          <w:color w:val="auto"/>
          <w:spacing w:val="-3"/>
          <w:sz w:val="24"/>
          <w:szCs w:val="24"/>
          <w:highlight w:val="none"/>
          <w:lang w:eastAsia="zh-CN"/>
        </w:rPr>
        <w:t>内容作出实质性和完整的响应，如果投标文件填报的内容不详，或没有提供招标</w:t>
      </w:r>
      <w:r>
        <w:rPr>
          <w:rFonts w:hint="eastAsia" w:ascii="仿宋" w:hAnsi="仿宋" w:eastAsia="仿宋" w:cs="仿宋"/>
          <w:color w:val="auto"/>
          <w:spacing w:val="-1"/>
          <w:sz w:val="24"/>
          <w:szCs w:val="24"/>
          <w:highlight w:val="none"/>
          <w:lang w:eastAsia="zh-CN"/>
        </w:rPr>
        <w:t>文件中所要求的全部资料及数据，将可能导致其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3DAE742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16.4投标文件须严格按照本招标文件第七章规定的格式提</w:t>
      </w:r>
      <w:r>
        <w:rPr>
          <w:rFonts w:hint="eastAsia" w:ascii="仿宋" w:hAnsi="仿宋" w:eastAsia="仿宋" w:cs="仿宋"/>
          <w:color w:val="auto"/>
          <w:spacing w:val="-2"/>
          <w:sz w:val="24"/>
          <w:szCs w:val="24"/>
          <w:highlight w:val="none"/>
          <w:lang w:eastAsia="zh-CN"/>
        </w:rPr>
        <w:t>交，并按规定的</w:t>
      </w:r>
      <w:r>
        <w:rPr>
          <w:rFonts w:hint="eastAsia" w:ascii="仿宋" w:hAnsi="仿宋" w:eastAsia="仿宋" w:cs="仿宋"/>
          <w:color w:val="auto"/>
          <w:spacing w:val="-4"/>
          <w:sz w:val="24"/>
          <w:szCs w:val="24"/>
          <w:highlight w:val="none"/>
          <w:lang w:eastAsia="zh-CN"/>
        </w:rPr>
        <w:t>统一格式逐项填写，不准有空项；无相应内容可填的项，应填写“无”、“未测</w:t>
      </w:r>
      <w:r>
        <w:rPr>
          <w:rFonts w:hint="eastAsia" w:ascii="仿宋" w:hAnsi="仿宋" w:eastAsia="仿宋" w:cs="仿宋"/>
          <w:color w:val="auto"/>
          <w:spacing w:val="-5"/>
          <w:sz w:val="24"/>
          <w:szCs w:val="24"/>
          <w:highlight w:val="none"/>
          <w:lang w:eastAsia="zh-CN"/>
        </w:rPr>
        <w:t>试”、“没有相应指标”等明确的回答文字。由于编排混乱导致投标文件被误读</w:t>
      </w:r>
      <w:r>
        <w:rPr>
          <w:rFonts w:hint="eastAsia" w:ascii="仿宋" w:hAnsi="仿宋" w:eastAsia="仿宋" w:cs="仿宋"/>
          <w:color w:val="auto"/>
          <w:spacing w:val="-1"/>
          <w:sz w:val="24"/>
          <w:szCs w:val="24"/>
          <w:highlight w:val="none"/>
          <w:lang w:eastAsia="zh-CN"/>
        </w:rPr>
        <w:t>或查找不到，其责任由投标人承担。</w:t>
      </w:r>
    </w:p>
    <w:p w14:paraId="41C0B2A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16.5货物的技术参数有具体数值要求的，且招标文</w:t>
      </w:r>
      <w:r>
        <w:rPr>
          <w:rFonts w:hint="eastAsia" w:ascii="仿宋" w:hAnsi="仿宋" w:eastAsia="仿宋" w:cs="仿宋"/>
          <w:color w:val="auto"/>
          <w:spacing w:val="-2"/>
          <w:sz w:val="24"/>
          <w:szCs w:val="24"/>
          <w:highlight w:val="none"/>
          <w:lang w:eastAsia="zh-CN"/>
        </w:rPr>
        <w:t>件要求投标人提供响应</w:t>
      </w:r>
      <w:r>
        <w:rPr>
          <w:rFonts w:hint="eastAsia" w:ascii="仿宋" w:hAnsi="仿宋" w:eastAsia="仿宋" w:cs="仿宋"/>
          <w:color w:val="auto"/>
          <w:spacing w:val="-3"/>
          <w:sz w:val="24"/>
          <w:szCs w:val="24"/>
          <w:highlight w:val="none"/>
          <w:lang w:eastAsia="zh-CN"/>
        </w:rPr>
        <w:t>产</w:t>
      </w:r>
      <w:r>
        <w:rPr>
          <w:rFonts w:hint="eastAsia" w:ascii="仿宋" w:hAnsi="仿宋" w:eastAsia="仿宋" w:cs="仿宋"/>
          <w:color w:val="auto"/>
          <w:spacing w:val="-1"/>
          <w:sz w:val="24"/>
          <w:szCs w:val="24"/>
          <w:highlight w:val="none"/>
          <w:lang w:eastAsia="zh-CN"/>
        </w:rPr>
        <w:t>品彩页、检验检测报告、厂家使用说明书等证明材料（具体要求以评标方法及标准的内容为准），则投标人在技术参数响应表中须标注</w:t>
      </w:r>
      <w:r>
        <w:rPr>
          <w:rFonts w:hint="eastAsia" w:ascii="仿宋" w:hAnsi="仿宋" w:eastAsia="仿宋" w:cs="仿宋"/>
          <w:color w:val="auto"/>
          <w:spacing w:val="-3"/>
          <w:sz w:val="24"/>
          <w:szCs w:val="24"/>
          <w:highlight w:val="none"/>
          <w:lang w:eastAsia="zh-CN"/>
        </w:rPr>
        <w:t>产品实际参数数值，照搬照抄招标文件参数、不注明实际</w:t>
      </w:r>
      <w:r>
        <w:rPr>
          <w:rFonts w:hint="eastAsia" w:ascii="仿宋" w:hAnsi="仿宋" w:eastAsia="仿宋" w:cs="仿宋"/>
          <w:color w:val="auto"/>
          <w:spacing w:val="-4"/>
          <w:sz w:val="24"/>
          <w:szCs w:val="24"/>
          <w:highlight w:val="none"/>
          <w:lang w:eastAsia="zh-CN"/>
        </w:rPr>
        <w:t>数值者</w:t>
      </w:r>
      <w:r>
        <w:rPr>
          <w:rFonts w:hint="eastAsia" w:ascii="仿宋" w:hAnsi="仿宋" w:eastAsia="仿宋" w:cs="仿宋"/>
          <w:b/>
          <w:bCs/>
          <w:color w:val="auto"/>
          <w:spacing w:val="-4"/>
          <w:sz w:val="24"/>
          <w:szCs w:val="24"/>
          <w:highlight w:val="none"/>
          <w:lang w:eastAsia="zh-CN"/>
        </w:rPr>
        <w:t>视为未响应</w:t>
      </w:r>
      <w:r>
        <w:rPr>
          <w:rFonts w:hint="eastAsia" w:ascii="仿宋" w:hAnsi="仿宋" w:eastAsia="仿宋" w:cs="仿宋"/>
          <w:color w:val="auto"/>
          <w:spacing w:val="-4"/>
          <w:sz w:val="24"/>
          <w:szCs w:val="24"/>
          <w:highlight w:val="none"/>
          <w:lang w:eastAsia="zh-CN"/>
        </w:rPr>
        <w:t>。</w:t>
      </w:r>
    </w:p>
    <w:p w14:paraId="505F668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16.6开标一览表为在开标时唱标的内容，要求按格式统一填写</w:t>
      </w:r>
      <w:r>
        <w:rPr>
          <w:rFonts w:hint="eastAsia" w:ascii="仿宋" w:hAnsi="仿宋" w:eastAsia="仿宋" w:cs="仿宋"/>
          <w:color w:val="auto"/>
          <w:spacing w:val="-2"/>
          <w:sz w:val="24"/>
          <w:szCs w:val="24"/>
          <w:highlight w:val="none"/>
          <w:lang w:eastAsia="zh-CN"/>
        </w:rPr>
        <w:t>，不得自行</w:t>
      </w:r>
      <w:r>
        <w:rPr>
          <w:rFonts w:hint="eastAsia" w:ascii="仿宋" w:hAnsi="仿宋" w:eastAsia="仿宋" w:cs="仿宋"/>
          <w:color w:val="auto"/>
          <w:spacing w:val="-3"/>
          <w:sz w:val="24"/>
          <w:szCs w:val="24"/>
          <w:highlight w:val="none"/>
          <w:lang w:eastAsia="zh-CN"/>
        </w:rPr>
        <w:t>增减内容。</w:t>
      </w:r>
    </w:p>
    <w:p w14:paraId="2471C32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16.7投标人须注意：为合理节约政府采购评审成本，提倡</w:t>
      </w:r>
      <w:r>
        <w:rPr>
          <w:rFonts w:hint="eastAsia" w:ascii="仿宋" w:hAnsi="仿宋" w:eastAsia="仿宋" w:cs="仿宋"/>
          <w:color w:val="auto"/>
          <w:spacing w:val="-2"/>
          <w:sz w:val="24"/>
          <w:szCs w:val="24"/>
          <w:highlight w:val="none"/>
          <w:lang w:eastAsia="zh-CN"/>
        </w:rPr>
        <w:t>诚实信用的投标</w:t>
      </w:r>
      <w:r>
        <w:rPr>
          <w:rFonts w:hint="eastAsia" w:ascii="仿宋" w:hAnsi="仿宋" w:eastAsia="仿宋" w:cs="仿宋"/>
          <w:color w:val="auto"/>
          <w:spacing w:val="-3"/>
          <w:sz w:val="24"/>
          <w:szCs w:val="24"/>
          <w:highlight w:val="none"/>
          <w:lang w:eastAsia="zh-CN"/>
        </w:rPr>
        <w:t>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w:t>
      </w:r>
      <w:r>
        <w:rPr>
          <w:rFonts w:hint="eastAsia" w:ascii="仿宋" w:hAnsi="仿宋" w:eastAsia="仿宋" w:cs="仿宋"/>
          <w:color w:val="auto"/>
          <w:spacing w:val="-1"/>
          <w:sz w:val="24"/>
          <w:szCs w:val="24"/>
          <w:highlight w:val="none"/>
          <w:lang w:eastAsia="zh-CN"/>
        </w:rPr>
        <w:t>被认定为属于偏离，则评标委员会有权视具体情形评审时按</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处理。</w:t>
      </w:r>
    </w:p>
    <w:p w14:paraId="4E68D80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16.8投标人必须保证投标文件所提供的全部资料真实可</w:t>
      </w:r>
      <w:r>
        <w:rPr>
          <w:rFonts w:hint="eastAsia" w:ascii="仿宋" w:hAnsi="仿宋" w:eastAsia="仿宋" w:cs="仿宋"/>
          <w:color w:val="auto"/>
          <w:spacing w:val="-4"/>
          <w:sz w:val="24"/>
          <w:szCs w:val="24"/>
          <w:highlight w:val="none"/>
          <w:lang w:eastAsia="zh-CN"/>
        </w:rPr>
        <w:t>靠，并接受采购人、</w:t>
      </w:r>
      <w:r>
        <w:rPr>
          <w:rFonts w:hint="eastAsia" w:ascii="仿宋" w:hAnsi="仿宋" w:eastAsia="仿宋" w:cs="仿宋"/>
          <w:color w:val="auto"/>
          <w:spacing w:val="-1"/>
          <w:sz w:val="24"/>
          <w:szCs w:val="24"/>
          <w:highlight w:val="none"/>
          <w:lang w:eastAsia="zh-CN"/>
        </w:rPr>
        <w:t>采购代理机构或评标委员会对其中任何资料进一步审查的要求。</w:t>
      </w:r>
    </w:p>
    <w:p w14:paraId="7B32EB9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16.9投标人在投标文件及相关文件的签订、履行、通知等</w:t>
      </w:r>
      <w:r>
        <w:rPr>
          <w:rFonts w:hint="eastAsia" w:ascii="仿宋" w:hAnsi="仿宋" w:eastAsia="仿宋" w:cs="仿宋"/>
          <w:color w:val="auto"/>
          <w:spacing w:val="-2"/>
          <w:sz w:val="24"/>
          <w:szCs w:val="24"/>
          <w:highlight w:val="none"/>
          <w:lang w:eastAsia="zh-CN"/>
        </w:rPr>
        <w:t>事项的文件中的</w:t>
      </w:r>
      <w:r>
        <w:rPr>
          <w:rFonts w:hint="eastAsia" w:ascii="仿宋" w:hAnsi="仿宋" w:eastAsia="仿宋" w:cs="仿宋"/>
          <w:color w:val="auto"/>
          <w:spacing w:val="-3"/>
          <w:sz w:val="24"/>
          <w:szCs w:val="24"/>
          <w:highlight w:val="none"/>
          <w:lang w:eastAsia="zh-CN"/>
        </w:rPr>
        <w:t>单位盖章、印章、公章等处均指与当事人全称相一致的标准公章，不得使用其他形式（如带有“专用章”等字样的印章）。不符合本条规定的按</w:t>
      </w:r>
      <w:r>
        <w:rPr>
          <w:rFonts w:hint="eastAsia" w:ascii="仿宋" w:hAnsi="仿宋" w:eastAsia="仿宋" w:cs="仿宋"/>
          <w:b/>
          <w:bCs/>
          <w:color w:val="auto"/>
          <w:spacing w:val="-3"/>
          <w:sz w:val="24"/>
          <w:szCs w:val="24"/>
          <w:highlight w:val="none"/>
          <w:lang w:eastAsia="zh-CN"/>
        </w:rPr>
        <w:t>无效投标</w:t>
      </w:r>
      <w:r>
        <w:rPr>
          <w:rFonts w:hint="eastAsia" w:ascii="仿宋" w:hAnsi="仿宋" w:eastAsia="仿宋" w:cs="仿宋"/>
          <w:color w:val="auto"/>
          <w:spacing w:val="-3"/>
          <w:sz w:val="24"/>
          <w:szCs w:val="24"/>
          <w:highlight w:val="none"/>
          <w:lang w:eastAsia="zh-CN"/>
        </w:rPr>
        <w:t>处理。</w:t>
      </w:r>
    </w:p>
    <w:p w14:paraId="3FB18FF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16.10 电子投标文件的编制</w:t>
      </w:r>
    </w:p>
    <w:p w14:paraId="4B5B2B8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16.10.1电子投标文件需按招标文件要求进行制作编制。投标文件制作时，不同内容按标签提示制作导入，按照招标文件中明确的投标文件目录和格式进行</w:t>
      </w:r>
      <w:r>
        <w:rPr>
          <w:rFonts w:hint="eastAsia" w:ascii="仿宋" w:hAnsi="仿宋" w:eastAsia="仿宋" w:cs="仿宋"/>
          <w:color w:val="auto"/>
          <w:spacing w:val="-1"/>
          <w:sz w:val="24"/>
          <w:szCs w:val="24"/>
          <w:highlight w:val="none"/>
          <w:lang w:eastAsia="zh-CN"/>
        </w:rPr>
        <w:t>编制，保证目录清晰、内容完整；</w:t>
      </w:r>
    </w:p>
    <w:p w14:paraId="2CB8A17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w:t>
      </w:r>
      <w:r>
        <w:rPr>
          <w:rFonts w:hint="eastAsia" w:ascii="仿宋" w:hAnsi="仿宋" w:eastAsia="仿宋" w:cs="仿宋"/>
          <w:color w:val="auto"/>
          <w:spacing w:val="-1"/>
          <w:sz w:val="24"/>
          <w:szCs w:val="24"/>
          <w:highlight w:val="none"/>
          <w:lang w:eastAsia="zh-CN"/>
        </w:rPr>
        <w:t>入电子辅助评标系统，该投标文件视为无效投标文件，</w:t>
      </w:r>
      <w:r>
        <w:rPr>
          <w:rFonts w:hint="eastAsia" w:ascii="仿宋" w:hAnsi="仿宋" w:eastAsia="仿宋" w:cs="仿宋"/>
          <w:b/>
          <w:bCs/>
          <w:color w:val="auto"/>
          <w:spacing w:val="-1"/>
          <w:sz w:val="24"/>
          <w:szCs w:val="24"/>
          <w:highlight w:val="none"/>
          <w:lang w:eastAsia="zh-CN"/>
        </w:rPr>
        <w:t>其投标无效</w:t>
      </w:r>
      <w:r>
        <w:rPr>
          <w:rFonts w:hint="eastAsia" w:ascii="仿宋" w:hAnsi="仿宋" w:eastAsia="仿宋" w:cs="仿宋"/>
          <w:color w:val="auto"/>
          <w:spacing w:val="-1"/>
          <w:sz w:val="24"/>
          <w:szCs w:val="24"/>
          <w:highlight w:val="none"/>
          <w:lang w:eastAsia="zh-CN"/>
        </w:rPr>
        <w:t>。</w:t>
      </w:r>
    </w:p>
    <w:p w14:paraId="7DF80D7A">
      <w:pPr>
        <w:spacing w:line="360" w:lineRule="auto"/>
        <w:ind w:left="31" w:right="-27" w:rightChars="-13"/>
        <w:outlineLvl w:val="2"/>
        <w:rPr>
          <w:rFonts w:ascii="仿宋" w:hAnsi="仿宋" w:eastAsia="仿宋" w:cs="仿宋"/>
          <w:color w:val="auto"/>
          <w:sz w:val="24"/>
          <w:szCs w:val="24"/>
          <w:highlight w:val="none"/>
          <w:lang w:eastAsia="zh-CN"/>
        </w:rPr>
      </w:pPr>
      <w:bookmarkStart w:id="101" w:name="bookmark61"/>
      <w:bookmarkEnd w:id="101"/>
      <w:bookmarkStart w:id="102" w:name="bookmark62"/>
      <w:bookmarkEnd w:id="102"/>
      <w:bookmarkStart w:id="103" w:name="_Toc186477705"/>
      <w:bookmarkStart w:id="104" w:name="_Toc143"/>
      <w:r>
        <w:rPr>
          <w:rFonts w:hint="eastAsia" w:ascii="仿宋" w:hAnsi="仿宋" w:eastAsia="仿宋" w:cs="仿宋"/>
          <w:b/>
          <w:bCs/>
          <w:color w:val="auto"/>
          <w:spacing w:val="-8"/>
          <w:sz w:val="24"/>
          <w:szCs w:val="24"/>
          <w:highlight w:val="none"/>
          <w:lang w:eastAsia="zh-CN"/>
        </w:rPr>
        <w:t>（四）投标</w:t>
      </w:r>
      <w:bookmarkEnd w:id="103"/>
      <w:bookmarkEnd w:id="104"/>
    </w:p>
    <w:p w14:paraId="34631613">
      <w:pPr>
        <w:widowControl w:val="0"/>
        <w:spacing w:line="360" w:lineRule="auto"/>
        <w:ind w:left="28" w:right="-27" w:rightChars="-13"/>
        <w:outlineLvl w:val="2"/>
        <w:rPr>
          <w:rFonts w:ascii="仿宋" w:hAnsi="仿宋" w:eastAsia="仿宋" w:cs="仿宋"/>
          <w:color w:val="auto"/>
          <w:sz w:val="24"/>
          <w:szCs w:val="24"/>
          <w:highlight w:val="none"/>
          <w:lang w:eastAsia="zh-CN"/>
        </w:rPr>
      </w:pPr>
      <w:bookmarkStart w:id="105" w:name="bookmark64"/>
      <w:bookmarkEnd w:id="105"/>
      <w:bookmarkStart w:id="106" w:name="bookmark66"/>
      <w:bookmarkEnd w:id="106"/>
      <w:bookmarkStart w:id="107" w:name="bookmark63"/>
      <w:bookmarkEnd w:id="107"/>
      <w:bookmarkStart w:id="108" w:name="_Toc2075"/>
      <w:bookmarkStart w:id="109" w:name="_Toc186477706"/>
      <w:r>
        <w:rPr>
          <w:rFonts w:hint="eastAsia" w:ascii="仿宋" w:hAnsi="仿宋" w:eastAsia="仿宋" w:cs="仿宋"/>
          <w:b/>
          <w:bCs/>
          <w:color w:val="auto"/>
          <w:spacing w:val="-7"/>
          <w:sz w:val="24"/>
          <w:szCs w:val="24"/>
          <w:highlight w:val="none"/>
          <w:lang w:eastAsia="zh-CN"/>
        </w:rPr>
        <w:t>17.投标保证金</w:t>
      </w:r>
      <w:bookmarkEnd w:id="108"/>
      <w:bookmarkEnd w:id="109"/>
    </w:p>
    <w:p w14:paraId="2CBC2C9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17.1投标人应按照招标文件“第二章 投标人须知前附表”规定的金额及要</w:t>
      </w:r>
      <w:r>
        <w:rPr>
          <w:rFonts w:hint="eastAsia" w:ascii="仿宋" w:hAnsi="仿宋" w:eastAsia="仿宋" w:cs="仿宋"/>
          <w:color w:val="auto"/>
          <w:spacing w:val="-7"/>
          <w:sz w:val="24"/>
          <w:szCs w:val="24"/>
          <w:highlight w:val="none"/>
          <w:lang w:eastAsia="zh-CN"/>
        </w:rPr>
        <w:t>求提交投标保证金。投标人自愿超额缴纳投标保证</w:t>
      </w:r>
      <w:r>
        <w:rPr>
          <w:rFonts w:hint="eastAsia" w:ascii="仿宋" w:hAnsi="仿宋" w:eastAsia="仿宋" w:cs="仿宋"/>
          <w:color w:val="auto"/>
          <w:spacing w:val="-8"/>
          <w:sz w:val="24"/>
          <w:szCs w:val="24"/>
          <w:highlight w:val="none"/>
          <w:lang w:eastAsia="zh-CN"/>
        </w:rPr>
        <w:t>金的，投标文件不做无效处理。</w:t>
      </w:r>
    </w:p>
    <w:p w14:paraId="55FB23DF">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17.2提交投标保证金可采用的形式：政府采购法律法规接受</w:t>
      </w:r>
      <w:r>
        <w:rPr>
          <w:rFonts w:hint="eastAsia" w:ascii="仿宋" w:hAnsi="仿宋" w:eastAsia="仿宋" w:cs="仿宋"/>
          <w:color w:val="auto"/>
          <w:spacing w:val="-4"/>
          <w:sz w:val="24"/>
          <w:szCs w:val="24"/>
          <w:highlight w:val="none"/>
          <w:lang w:eastAsia="zh-CN"/>
        </w:rPr>
        <w:t>的支票、汇票、</w:t>
      </w:r>
      <w:r>
        <w:rPr>
          <w:rFonts w:hint="eastAsia" w:ascii="仿宋" w:hAnsi="仿宋" w:eastAsia="仿宋" w:cs="仿宋"/>
          <w:color w:val="auto"/>
          <w:spacing w:val="-3"/>
          <w:sz w:val="24"/>
          <w:szCs w:val="24"/>
          <w:highlight w:val="none"/>
          <w:lang w:eastAsia="zh-CN"/>
        </w:rPr>
        <w:t>本票、网上银行支付或者金融机构、担保机构出具的保函等非现金形式。投标人未按照招标文件要求提交投标保证金的，其</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4"/>
          <w:sz w:val="24"/>
          <w:szCs w:val="24"/>
          <w:highlight w:val="none"/>
          <w:lang w:eastAsia="zh-CN"/>
        </w:rPr>
        <w:t>投标保证金有效期同投标</w:t>
      </w:r>
      <w:r>
        <w:rPr>
          <w:rFonts w:hint="eastAsia" w:ascii="仿宋" w:hAnsi="仿宋" w:eastAsia="仿宋" w:cs="仿宋"/>
          <w:color w:val="auto"/>
          <w:spacing w:val="-3"/>
          <w:sz w:val="24"/>
          <w:szCs w:val="24"/>
          <w:highlight w:val="none"/>
          <w:lang w:eastAsia="zh-CN"/>
        </w:rPr>
        <w:t>有效期。</w:t>
      </w:r>
    </w:p>
    <w:p w14:paraId="1E1DAE8D">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17.3投标保证金到账（保函提交）截止时间同投标截止时</w:t>
      </w:r>
      <w:r>
        <w:rPr>
          <w:rFonts w:hint="eastAsia" w:ascii="仿宋" w:hAnsi="仿宋" w:eastAsia="仿宋" w:cs="仿宋"/>
          <w:color w:val="auto"/>
          <w:spacing w:val="-2"/>
          <w:sz w:val="24"/>
          <w:szCs w:val="24"/>
          <w:highlight w:val="none"/>
          <w:lang w:eastAsia="zh-CN"/>
        </w:rPr>
        <w:t>间。以支票、汇票、本票、网上银行支付等形式提交投标保证金的，应在投标截止时间前到账；</w:t>
      </w:r>
      <w:r>
        <w:rPr>
          <w:rFonts w:hint="eastAsia" w:ascii="仿宋" w:hAnsi="仿宋" w:eastAsia="仿宋" w:cs="仿宋"/>
          <w:color w:val="auto"/>
          <w:spacing w:val="-3"/>
          <w:sz w:val="24"/>
          <w:szCs w:val="24"/>
          <w:highlight w:val="none"/>
          <w:lang w:eastAsia="zh-CN"/>
        </w:rPr>
        <w:t>以金融机构、担保机构出具的保函等形式提交投标保证金的，应在投标截止时间</w:t>
      </w:r>
      <w:r>
        <w:rPr>
          <w:rFonts w:hint="eastAsia" w:ascii="仿宋" w:hAnsi="仿宋" w:eastAsia="仿宋" w:cs="仿宋"/>
          <w:color w:val="auto"/>
          <w:spacing w:val="-2"/>
          <w:sz w:val="24"/>
          <w:szCs w:val="24"/>
          <w:highlight w:val="none"/>
          <w:lang w:eastAsia="zh-CN"/>
        </w:rPr>
        <w:t>前将投标保证金支付原件扫描后作为投标文件的组成部分与投标文件一起上传。</w:t>
      </w:r>
      <w:r>
        <w:rPr>
          <w:rFonts w:hint="eastAsia" w:ascii="仿宋" w:hAnsi="仿宋" w:eastAsia="仿宋" w:cs="仿宋"/>
          <w:color w:val="auto"/>
          <w:spacing w:val="-3"/>
          <w:sz w:val="24"/>
          <w:szCs w:val="24"/>
          <w:highlight w:val="none"/>
          <w:lang w:eastAsia="zh-CN"/>
        </w:rPr>
        <w:t>由于到账时间晚于投标截止时间，或者票据错误、印鉴不清等原因导致不能到账的，其</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5F6B933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17.4 投标人为联合体的，可以由联合体中的一方或者多方共同提交投</w:t>
      </w:r>
      <w:r>
        <w:rPr>
          <w:rFonts w:hint="eastAsia" w:ascii="仿宋" w:hAnsi="仿宋" w:eastAsia="仿宋" w:cs="仿宋"/>
          <w:color w:val="auto"/>
          <w:spacing w:val="-1"/>
          <w:sz w:val="24"/>
          <w:szCs w:val="24"/>
          <w:highlight w:val="none"/>
          <w:lang w:eastAsia="zh-CN"/>
        </w:rPr>
        <w:t>标保证金，其提交的投标保证金对联合体各方均具有约束力。</w:t>
      </w:r>
    </w:p>
    <w:p w14:paraId="597DC0E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 5 个工作日内退还，中标投标人的投标保证金应当自采购合同签订之日起 5 个工作日内退还。</w:t>
      </w:r>
    </w:p>
    <w:p w14:paraId="744DBFB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17.6 投标人在投标截止时间前撤回已提交的投标文件的，自收到投标人书</w:t>
      </w:r>
      <w:r>
        <w:rPr>
          <w:rFonts w:hint="eastAsia" w:ascii="仿宋" w:hAnsi="仿宋" w:eastAsia="仿宋" w:cs="仿宋"/>
          <w:color w:val="auto"/>
          <w:sz w:val="24"/>
          <w:szCs w:val="24"/>
          <w:highlight w:val="none"/>
          <w:lang w:eastAsia="zh-CN"/>
        </w:rPr>
        <w:t>面撤回通知之日起 5 个工作日内，退还已收取的投标保证金，但因投标人自身</w:t>
      </w:r>
      <w:r>
        <w:rPr>
          <w:rFonts w:hint="eastAsia" w:ascii="仿宋" w:hAnsi="仿宋" w:eastAsia="仿宋" w:cs="仿宋"/>
          <w:color w:val="auto"/>
          <w:spacing w:val="-1"/>
          <w:sz w:val="24"/>
          <w:szCs w:val="24"/>
          <w:highlight w:val="none"/>
          <w:lang w:eastAsia="zh-CN"/>
        </w:rPr>
        <w:t>原因导致无法及时退还的除外。</w:t>
      </w:r>
    </w:p>
    <w:p w14:paraId="60F05D2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17.7 终止招标项目已经收取投标保证金的，自终止采</w:t>
      </w:r>
      <w:r>
        <w:rPr>
          <w:rFonts w:hint="eastAsia" w:ascii="仿宋" w:hAnsi="仿宋" w:eastAsia="仿宋" w:cs="仿宋"/>
          <w:color w:val="auto"/>
          <w:spacing w:val="-4"/>
          <w:sz w:val="24"/>
          <w:szCs w:val="24"/>
          <w:highlight w:val="none"/>
          <w:lang w:eastAsia="zh-CN"/>
        </w:rPr>
        <w:t>购活动后 5 个工作日</w:t>
      </w:r>
      <w:r>
        <w:rPr>
          <w:rFonts w:hint="eastAsia" w:ascii="仿宋" w:hAnsi="仿宋" w:eastAsia="仿宋" w:cs="仿宋"/>
          <w:color w:val="auto"/>
          <w:spacing w:val="-2"/>
          <w:sz w:val="24"/>
          <w:szCs w:val="24"/>
          <w:highlight w:val="none"/>
          <w:lang w:eastAsia="zh-CN"/>
        </w:rPr>
        <w:t>内退还已收取的投标保证金及其在银行产生的孳息。</w:t>
      </w:r>
    </w:p>
    <w:p w14:paraId="312DBAA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17.8 有下列情形之一的，采购人或采购代理</w:t>
      </w:r>
      <w:r>
        <w:rPr>
          <w:rFonts w:hint="eastAsia" w:ascii="仿宋" w:hAnsi="仿宋" w:eastAsia="仿宋" w:cs="仿宋"/>
          <w:color w:val="auto"/>
          <w:spacing w:val="-4"/>
          <w:sz w:val="24"/>
          <w:szCs w:val="24"/>
          <w:highlight w:val="none"/>
          <w:lang w:eastAsia="zh-CN"/>
        </w:rPr>
        <w:t>机构可以不予退还投标保证金,</w:t>
      </w:r>
      <w:r>
        <w:rPr>
          <w:rFonts w:hint="eastAsia" w:ascii="仿宋" w:hAnsi="仿宋" w:eastAsia="仿宋" w:cs="仿宋"/>
          <w:color w:val="auto"/>
          <w:spacing w:val="-1"/>
          <w:sz w:val="24"/>
          <w:szCs w:val="24"/>
          <w:highlight w:val="none"/>
          <w:lang w:eastAsia="zh-CN"/>
        </w:rPr>
        <w:t>情节严重的将其列入不良记录名单：</w:t>
      </w:r>
    </w:p>
    <w:p w14:paraId="4929E13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17.8.1 开标后在投标有效期内，投标人撤销其投标的；</w:t>
      </w:r>
    </w:p>
    <w:p w14:paraId="12633A4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17.8.2中标后无正当理由不与采购人签订合同的；</w:t>
      </w:r>
    </w:p>
    <w:p w14:paraId="55FFE19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17.8.3中标人与采购人订立背离合同实质性内容的其他协议；</w:t>
      </w:r>
    </w:p>
    <w:p w14:paraId="02B2097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17.8.4 将中标项目转让给他人，或者在投标文件中未说明，且</w:t>
      </w:r>
      <w:r>
        <w:rPr>
          <w:rFonts w:hint="eastAsia" w:ascii="仿宋" w:hAnsi="仿宋" w:eastAsia="仿宋" w:cs="仿宋"/>
          <w:color w:val="auto"/>
          <w:spacing w:val="-1"/>
          <w:sz w:val="24"/>
          <w:szCs w:val="24"/>
          <w:highlight w:val="none"/>
          <w:lang w:eastAsia="zh-CN"/>
        </w:rPr>
        <w:t>未经采购人</w:t>
      </w:r>
      <w:r>
        <w:rPr>
          <w:rFonts w:hint="eastAsia" w:ascii="仿宋" w:hAnsi="仿宋" w:eastAsia="仿宋" w:cs="仿宋"/>
          <w:color w:val="auto"/>
          <w:spacing w:val="-3"/>
          <w:sz w:val="24"/>
          <w:szCs w:val="24"/>
          <w:highlight w:val="none"/>
          <w:lang w:eastAsia="zh-CN"/>
        </w:rPr>
        <w:t>同意，将中标项目分包给他人的；</w:t>
      </w:r>
    </w:p>
    <w:p w14:paraId="3A3D3A1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17.8.5 存在串通投标行为的；</w:t>
      </w:r>
    </w:p>
    <w:p w14:paraId="3D582A6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17.8.6 存在弄虚作假或提供虚假材料谋取中</w:t>
      </w:r>
      <w:r>
        <w:rPr>
          <w:rFonts w:hint="eastAsia" w:ascii="仿宋" w:hAnsi="仿宋" w:eastAsia="仿宋" w:cs="仿宋"/>
          <w:color w:val="auto"/>
          <w:spacing w:val="-2"/>
          <w:sz w:val="24"/>
          <w:szCs w:val="24"/>
          <w:highlight w:val="none"/>
          <w:lang w:eastAsia="zh-CN"/>
        </w:rPr>
        <w:t>标的；</w:t>
      </w:r>
    </w:p>
    <w:p w14:paraId="0FC7572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17.8.7 投标人其他未按招标文件规定和合同约定履行义务的行为。</w:t>
      </w:r>
    </w:p>
    <w:p w14:paraId="33FA2FAA">
      <w:pPr>
        <w:widowControl w:val="0"/>
        <w:spacing w:line="360" w:lineRule="auto"/>
        <w:ind w:left="28"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17.10为支持和促进中小企业发展，进一步发挥政府采购政策功能，本采购项目适用于政府采购融资优惠、政采贷、电子保函相关政策，鼓励投标人使用电子保函代替现金缴纳各类保证金，在线完成保函的申请、审核、开票、出函等环节，投标人注意区分办理保函类型，并确认投标有效期。</w:t>
      </w:r>
    </w:p>
    <w:p w14:paraId="5103BCFF">
      <w:pPr>
        <w:widowControl w:val="0"/>
        <w:spacing w:line="360" w:lineRule="auto"/>
        <w:ind w:left="28"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17.10.1如采用政采云电子保函形式，可按照以下形式进行在线申请，电子保函申请链接（https://jinrong.zcygov.cn/luban/finance/letter/xinjiang?pageModelFlag=650000&amp;utm=site.site-PC-42055.1718-block_comp_1709189989843012.6.33f19dd0635411ef9be3cb6599db755d），如遇问题可拨打客服电话：95763。</w:t>
      </w:r>
    </w:p>
    <w:p w14:paraId="3AAB979B">
      <w:pPr>
        <w:spacing w:line="360" w:lineRule="auto"/>
        <w:ind w:left="31" w:right="-27" w:rightChars="-13"/>
        <w:outlineLvl w:val="3"/>
        <w:rPr>
          <w:rFonts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18.投标文件的加密</w:t>
      </w:r>
    </w:p>
    <w:p w14:paraId="671C010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18.1投标人在供应商客户端中生成投标文件并完成签章之后，使用CA证书在供应商客户端中对投标文件进行加密。</w:t>
      </w:r>
    </w:p>
    <w:p w14:paraId="3EA1B07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18.2投标人应在供应商客户端中对加密的投标文件进行解</w:t>
      </w:r>
      <w:r>
        <w:rPr>
          <w:rFonts w:hint="eastAsia" w:ascii="仿宋" w:hAnsi="仿宋" w:eastAsia="仿宋" w:cs="仿宋"/>
          <w:color w:val="auto"/>
          <w:spacing w:val="-2"/>
          <w:sz w:val="24"/>
          <w:szCs w:val="24"/>
          <w:highlight w:val="none"/>
          <w:lang w:eastAsia="zh-CN"/>
        </w:rPr>
        <w:t>密验证，以防止</w:t>
      </w:r>
      <w:r>
        <w:rPr>
          <w:rFonts w:hint="eastAsia" w:ascii="仿宋" w:hAnsi="仿宋" w:eastAsia="仿宋" w:cs="仿宋"/>
          <w:color w:val="auto"/>
          <w:spacing w:val="-1"/>
          <w:sz w:val="24"/>
          <w:szCs w:val="24"/>
          <w:highlight w:val="none"/>
          <w:lang w:eastAsia="zh-CN"/>
        </w:rPr>
        <w:t>投标文件加密异常，在开标时无法解密。</w:t>
      </w:r>
    </w:p>
    <w:p w14:paraId="734F05A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18.3 投标人应保证加密投标文件的C</w:t>
      </w:r>
      <w:r>
        <w:rPr>
          <w:rFonts w:hint="eastAsia" w:ascii="仿宋" w:hAnsi="仿宋" w:eastAsia="仿宋" w:cs="仿宋"/>
          <w:color w:val="auto"/>
          <w:spacing w:val="-2"/>
          <w:sz w:val="24"/>
          <w:szCs w:val="24"/>
          <w:highlight w:val="none"/>
          <w:lang w:eastAsia="zh-CN"/>
        </w:rPr>
        <w:t>A证书有效期在开标时间之前。若CA</w:t>
      </w:r>
      <w:r>
        <w:rPr>
          <w:rFonts w:hint="eastAsia" w:ascii="仿宋" w:hAnsi="仿宋" w:eastAsia="仿宋" w:cs="仿宋"/>
          <w:color w:val="auto"/>
          <w:spacing w:val="-1"/>
          <w:sz w:val="24"/>
          <w:szCs w:val="24"/>
          <w:highlight w:val="none"/>
          <w:lang w:eastAsia="zh-CN"/>
        </w:rPr>
        <w:t>证书有效期临近开标时间，建议投标人提前办理CA证书续期，以免开标时无法</w:t>
      </w:r>
      <w:r>
        <w:rPr>
          <w:rFonts w:hint="eastAsia" w:ascii="仿宋" w:hAnsi="仿宋" w:eastAsia="仿宋" w:cs="仿宋"/>
          <w:color w:val="auto"/>
          <w:spacing w:val="-2"/>
          <w:sz w:val="24"/>
          <w:szCs w:val="24"/>
          <w:highlight w:val="none"/>
          <w:lang w:eastAsia="zh-CN"/>
        </w:rPr>
        <w:t>进行解密。</w:t>
      </w:r>
    </w:p>
    <w:p w14:paraId="771B0060">
      <w:pPr>
        <w:spacing w:line="360" w:lineRule="auto"/>
        <w:ind w:left="31" w:right="-27" w:rightChars="-13"/>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18.4投标人在投标文件递交截止时间前通过</w:t>
      </w:r>
      <w:r>
        <w:rPr>
          <w:rFonts w:hint="eastAsia" w:ascii="仿宋" w:hAnsi="仿宋" w:eastAsia="仿宋" w:cs="仿宋"/>
          <w:color w:val="auto"/>
          <w:spacing w:val="-2"/>
          <w:sz w:val="24"/>
          <w:szCs w:val="24"/>
          <w:highlight w:val="none"/>
          <w:lang w:eastAsia="zh-CN"/>
        </w:rPr>
        <w:t>新疆</w:t>
      </w:r>
      <w:r>
        <w:rPr>
          <w:rFonts w:hint="eastAsia" w:ascii="仿宋" w:hAnsi="仿宋" w:eastAsia="仿宋" w:cs="仿宋"/>
          <w:color w:val="auto"/>
          <w:spacing w:val="-2"/>
          <w:sz w:val="24"/>
          <w:szCs w:val="24"/>
          <w:highlight w:val="none"/>
        </w:rPr>
        <w:t>政府采购网</w:t>
      </w:r>
      <w:r>
        <w:rPr>
          <w:rFonts w:hint="eastAsia" w:ascii="仿宋" w:hAnsi="仿宋" w:eastAsia="仿宋" w:cs="仿宋"/>
          <w:b/>
          <w:bCs/>
          <w:color w:val="auto"/>
          <w:spacing w:val="-2"/>
          <w:sz w:val="24"/>
          <w:szCs w:val="24"/>
          <w:highlight w:val="none"/>
        </w:rPr>
        <w:t>（http://www.ccgp-xinjiang.gov.cn/</w:t>
      </w:r>
      <w:r>
        <w:rPr>
          <w:rFonts w:hint="eastAsia" w:ascii="仿宋" w:hAnsi="仿宋" w:eastAsia="仿宋" w:cs="仿宋"/>
          <w:b/>
          <w:bCs/>
          <w:color w:val="auto"/>
          <w:spacing w:val="-4"/>
          <w:sz w:val="24"/>
          <w:szCs w:val="24"/>
          <w:highlight w:val="none"/>
        </w:rPr>
        <w:t>）</w:t>
      </w:r>
      <w:r>
        <w:rPr>
          <w:rFonts w:hint="eastAsia" w:ascii="仿宋" w:hAnsi="仿宋" w:eastAsia="仿宋" w:cs="仿宋"/>
          <w:color w:val="auto"/>
          <w:spacing w:val="-4"/>
          <w:sz w:val="24"/>
          <w:szCs w:val="24"/>
          <w:highlight w:val="none"/>
        </w:rPr>
        <w:t>的”政采云登录入口”登录后，将加密电子投标文件</w:t>
      </w:r>
      <w:r>
        <w:rPr>
          <w:rFonts w:hint="eastAsia" w:ascii="仿宋" w:hAnsi="仿宋" w:eastAsia="仿宋" w:cs="仿宋"/>
          <w:color w:val="auto"/>
          <w:spacing w:val="2"/>
          <w:sz w:val="24"/>
          <w:szCs w:val="24"/>
          <w:highlight w:val="none"/>
        </w:rPr>
        <w:t>上传到对应项目的指定位置，投</w:t>
      </w:r>
      <w:r>
        <w:rPr>
          <w:rFonts w:hint="eastAsia" w:ascii="仿宋" w:hAnsi="仿宋" w:eastAsia="仿宋" w:cs="仿宋"/>
          <w:color w:val="auto"/>
          <w:spacing w:val="1"/>
          <w:sz w:val="24"/>
          <w:szCs w:val="24"/>
          <w:highlight w:val="none"/>
        </w:rPr>
        <w:t>标人认为有必要提交的其他资</w:t>
      </w:r>
      <w:r>
        <w:rPr>
          <w:rFonts w:hint="eastAsia" w:ascii="仿宋" w:hAnsi="仿宋" w:eastAsia="仿宋" w:cs="仿宋"/>
          <w:color w:val="auto"/>
          <w:spacing w:val="-1"/>
          <w:sz w:val="24"/>
          <w:szCs w:val="24"/>
          <w:highlight w:val="none"/>
        </w:rPr>
        <w:t>料请于投标截止时间前一并提交。</w:t>
      </w:r>
    </w:p>
    <w:p w14:paraId="2006E7D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18.5如果投标人未按上述要求加密并上传，采购代理机</w:t>
      </w:r>
      <w:r>
        <w:rPr>
          <w:rFonts w:hint="eastAsia" w:ascii="仿宋" w:hAnsi="仿宋" w:eastAsia="仿宋" w:cs="仿宋"/>
          <w:color w:val="auto"/>
          <w:spacing w:val="-2"/>
          <w:sz w:val="24"/>
          <w:szCs w:val="24"/>
          <w:highlight w:val="none"/>
          <w:lang w:eastAsia="zh-CN"/>
        </w:rPr>
        <w:t>构对投标文件的误</w:t>
      </w:r>
      <w:r>
        <w:rPr>
          <w:rFonts w:hint="eastAsia" w:ascii="仿宋" w:hAnsi="仿宋" w:eastAsia="仿宋" w:cs="仿宋"/>
          <w:color w:val="auto"/>
          <w:spacing w:val="-8"/>
          <w:sz w:val="24"/>
          <w:szCs w:val="24"/>
          <w:highlight w:val="none"/>
          <w:lang w:eastAsia="zh-CN"/>
        </w:rPr>
        <w:t>投、无法解密、传输错误等问题概不负责。对由此造成无法正常开启的投标文件，</w:t>
      </w:r>
      <w:r>
        <w:rPr>
          <w:rFonts w:hint="eastAsia" w:ascii="仿宋" w:hAnsi="仿宋" w:eastAsia="仿宋" w:cs="仿宋"/>
          <w:color w:val="auto"/>
          <w:spacing w:val="-1"/>
          <w:sz w:val="24"/>
          <w:szCs w:val="24"/>
          <w:highlight w:val="none"/>
          <w:lang w:eastAsia="zh-CN"/>
        </w:rPr>
        <w:t>采购代理机构有权予以拒绝，并退回投标人。</w:t>
      </w:r>
    </w:p>
    <w:p w14:paraId="757FF23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18.6本项目采用不见面开标，无需提供电子投标文件U盘。</w:t>
      </w:r>
    </w:p>
    <w:p w14:paraId="65A3E4FA">
      <w:pPr>
        <w:spacing w:line="360" w:lineRule="auto"/>
        <w:ind w:left="31" w:right="-27" w:rightChars="-13"/>
        <w:outlineLvl w:val="2"/>
        <w:rPr>
          <w:rFonts w:ascii="仿宋" w:hAnsi="仿宋" w:eastAsia="仿宋" w:cs="仿宋"/>
          <w:color w:val="auto"/>
          <w:sz w:val="24"/>
          <w:szCs w:val="24"/>
          <w:highlight w:val="none"/>
          <w:lang w:eastAsia="zh-CN"/>
        </w:rPr>
      </w:pPr>
      <w:bookmarkStart w:id="110" w:name="bookmark67"/>
      <w:bookmarkEnd w:id="110"/>
      <w:bookmarkStart w:id="111" w:name="bookmark68"/>
      <w:bookmarkEnd w:id="111"/>
      <w:bookmarkStart w:id="112" w:name="_Toc186477707"/>
      <w:bookmarkStart w:id="113" w:name="_Toc21696"/>
      <w:r>
        <w:rPr>
          <w:rFonts w:hint="eastAsia" w:ascii="仿宋" w:hAnsi="仿宋" w:eastAsia="仿宋" w:cs="仿宋"/>
          <w:b/>
          <w:bCs/>
          <w:color w:val="auto"/>
          <w:spacing w:val="-5"/>
          <w:sz w:val="24"/>
          <w:szCs w:val="24"/>
          <w:highlight w:val="none"/>
          <w:lang w:eastAsia="zh-CN"/>
        </w:rPr>
        <w:t>19.投标文件的递交（上传）</w:t>
      </w:r>
      <w:bookmarkEnd w:id="112"/>
      <w:bookmarkEnd w:id="113"/>
    </w:p>
    <w:p w14:paraId="7DE25FA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19.1 投标人应在“第一章 招标公告”规定的投标截止</w:t>
      </w:r>
      <w:r>
        <w:rPr>
          <w:rFonts w:hint="eastAsia" w:ascii="仿宋" w:hAnsi="仿宋" w:eastAsia="仿宋" w:cs="仿宋"/>
          <w:color w:val="auto"/>
          <w:spacing w:val="-3"/>
          <w:sz w:val="24"/>
          <w:szCs w:val="24"/>
          <w:highlight w:val="none"/>
          <w:lang w:eastAsia="zh-CN"/>
        </w:rPr>
        <w:t>时间前递交（上传）投标文件。</w:t>
      </w:r>
    </w:p>
    <w:p w14:paraId="1177263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19.2 投标人递交（上传）投标文件的地点见“第一章 招标公告”。</w:t>
      </w:r>
    </w:p>
    <w:p w14:paraId="41FCABB6">
      <w:pPr>
        <w:spacing w:line="360" w:lineRule="auto"/>
        <w:ind w:left="31" w:right="-27" w:rightChars="-13"/>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1"/>
          <w:sz w:val="24"/>
          <w:szCs w:val="24"/>
          <w:highlight w:val="none"/>
          <w:lang w:eastAsia="zh-CN"/>
        </w:rPr>
        <w:t>19.3投标人应充分评估集中同时投标带来的网络影响，尽</w:t>
      </w:r>
      <w:r>
        <w:rPr>
          <w:rFonts w:hint="eastAsia" w:ascii="仿宋" w:hAnsi="仿宋" w:eastAsia="仿宋" w:cs="仿宋"/>
          <w:color w:val="auto"/>
          <w:spacing w:val="-2"/>
          <w:sz w:val="24"/>
          <w:szCs w:val="24"/>
          <w:highlight w:val="none"/>
          <w:lang w:eastAsia="zh-CN"/>
        </w:rPr>
        <w:t>量避开投标高峰</w:t>
      </w:r>
      <w:r>
        <w:rPr>
          <w:rFonts w:hint="eastAsia" w:ascii="仿宋" w:hAnsi="仿宋" w:eastAsia="仿宋" w:cs="仿宋"/>
          <w:color w:val="auto"/>
          <w:spacing w:val="-3"/>
          <w:sz w:val="24"/>
          <w:szCs w:val="24"/>
          <w:highlight w:val="none"/>
          <w:lang w:eastAsia="zh-CN"/>
        </w:rPr>
        <w:t>时间，错峰进行电子投标。</w:t>
      </w:r>
    </w:p>
    <w:p w14:paraId="1200D67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19.4 投标人应在供应商客户端中下载未加密且完成签章的投标文件妥善保存，以便启动应急开标程序时使用。</w:t>
      </w:r>
    </w:p>
    <w:p w14:paraId="25F087F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19.5投标人所递交的投标文件不予退还。</w:t>
      </w:r>
    </w:p>
    <w:p w14:paraId="1BA6AE35">
      <w:pPr>
        <w:spacing w:line="360" w:lineRule="auto"/>
        <w:ind w:left="31" w:right="-27" w:rightChars="-13"/>
        <w:outlineLvl w:val="2"/>
        <w:rPr>
          <w:rFonts w:ascii="仿宋" w:hAnsi="仿宋" w:eastAsia="仿宋" w:cs="仿宋"/>
          <w:color w:val="auto"/>
          <w:sz w:val="24"/>
          <w:szCs w:val="24"/>
          <w:highlight w:val="none"/>
          <w:lang w:eastAsia="zh-CN"/>
        </w:rPr>
      </w:pPr>
      <w:bookmarkStart w:id="114" w:name="bookmark69"/>
      <w:bookmarkEnd w:id="114"/>
      <w:bookmarkStart w:id="115" w:name="bookmark70"/>
      <w:bookmarkEnd w:id="115"/>
      <w:bookmarkStart w:id="116" w:name="_Toc186477708"/>
      <w:bookmarkStart w:id="117" w:name="_Toc426"/>
      <w:r>
        <w:rPr>
          <w:rFonts w:hint="eastAsia" w:ascii="仿宋" w:hAnsi="仿宋" w:eastAsia="仿宋" w:cs="仿宋"/>
          <w:b/>
          <w:bCs/>
          <w:color w:val="auto"/>
          <w:spacing w:val="-5"/>
          <w:sz w:val="24"/>
          <w:szCs w:val="24"/>
          <w:highlight w:val="none"/>
          <w:lang w:eastAsia="zh-CN"/>
        </w:rPr>
        <w:t>20.拒收</w:t>
      </w:r>
      <w:bookmarkEnd w:id="116"/>
      <w:bookmarkEnd w:id="117"/>
    </w:p>
    <w:p w14:paraId="6192D6C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20.1 超过投标文件提交截止时间或者不按</w:t>
      </w:r>
      <w:r>
        <w:rPr>
          <w:rFonts w:hint="eastAsia" w:ascii="仿宋" w:hAnsi="仿宋" w:eastAsia="仿宋" w:cs="仿宋"/>
          <w:color w:val="auto"/>
          <w:spacing w:val="-1"/>
          <w:sz w:val="24"/>
          <w:szCs w:val="24"/>
          <w:highlight w:val="none"/>
          <w:lang w:eastAsia="zh-CN"/>
        </w:rPr>
        <w:t>照本章要求加密的投标文件，交</w:t>
      </w:r>
      <w:r>
        <w:rPr>
          <w:rFonts w:hint="eastAsia" w:ascii="仿宋" w:hAnsi="仿宋" w:eastAsia="仿宋" w:cs="仿宋"/>
          <w:color w:val="auto"/>
          <w:spacing w:val="-4"/>
          <w:sz w:val="24"/>
          <w:szCs w:val="24"/>
          <w:highlight w:val="none"/>
          <w:lang w:eastAsia="zh-CN"/>
        </w:rPr>
        <w:t>易系统应当拒收。</w:t>
      </w:r>
    </w:p>
    <w:p w14:paraId="309B579F">
      <w:pPr>
        <w:spacing w:line="360" w:lineRule="auto"/>
        <w:ind w:left="31" w:right="-27" w:rightChars="-13"/>
        <w:outlineLvl w:val="2"/>
        <w:rPr>
          <w:rFonts w:ascii="仿宋" w:hAnsi="仿宋" w:eastAsia="仿宋" w:cs="仿宋"/>
          <w:color w:val="auto"/>
          <w:sz w:val="24"/>
          <w:szCs w:val="24"/>
          <w:highlight w:val="none"/>
          <w:lang w:eastAsia="zh-CN"/>
        </w:rPr>
      </w:pPr>
      <w:bookmarkStart w:id="118" w:name="bookmark72"/>
      <w:bookmarkEnd w:id="118"/>
      <w:bookmarkStart w:id="119" w:name="bookmark71"/>
      <w:bookmarkEnd w:id="119"/>
      <w:bookmarkStart w:id="120" w:name="_Toc186477709"/>
      <w:bookmarkStart w:id="121" w:name="_Toc19533"/>
      <w:r>
        <w:rPr>
          <w:rFonts w:hint="eastAsia" w:ascii="仿宋" w:hAnsi="仿宋" w:eastAsia="仿宋" w:cs="仿宋"/>
          <w:b/>
          <w:bCs/>
          <w:color w:val="auto"/>
          <w:spacing w:val="-4"/>
          <w:sz w:val="24"/>
          <w:szCs w:val="24"/>
          <w:highlight w:val="none"/>
          <w:lang w:eastAsia="zh-CN"/>
        </w:rPr>
        <w:t>21.投标文件的修改与撤回</w:t>
      </w:r>
      <w:bookmarkEnd w:id="120"/>
      <w:bookmarkEnd w:id="121"/>
    </w:p>
    <w:p w14:paraId="0C438A3A">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21.1投标人在“第一章 招标公告”规定的投标文件递交截止时间之前，可随时撤回已上传的电子投标文件，将修改好的</w:t>
      </w:r>
      <w:r>
        <w:rPr>
          <w:rFonts w:hint="eastAsia" w:ascii="仿宋" w:hAnsi="仿宋" w:eastAsia="仿宋" w:cs="仿宋"/>
          <w:color w:val="auto"/>
          <w:sz w:val="24"/>
          <w:szCs w:val="24"/>
          <w:highlight w:val="none"/>
          <w:lang w:eastAsia="zh-CN"/>
        </w:rPr>
        <w:t>电子投标文件在投标文件递交截止时间前重新上传到</w:t>
      </w:r>
      <w:r>
        <w:rPr>
          <w:rFonts w:hint="eastAsia" w:ascii="仿宋" w:hAnsi="仿宋" w:eastAsia="仿宋" w:cs="仿宋"/>
          <w:color w:val="auto"/>
          <w:spacing w:val="-2"/>
          <w:sz w:val="24"/>
          <w:szCs w:val="24"/>
          <w:highlight w:val="none"/>
          <w:lang w:eastAsia="zh-CN"/>
        </w:rPr>
        <w:t>政府采购电子交易云平台的指定位置。</w:t>
      </w:r>
    </w:p>
    <w:p w14:paraId="09E558F3">
      <w:pPr>
        <w:spacing w:line="360" w:lineRule="auto"/>
        <w:ind w:left="31" w:right="-27" w:rightChars="-13"/>
        <w:outlineLvl w:val="2"/>
        <w:rPr>
          <w:rFonts w:ascii="仿宋" w:hAnsi="仿宋" w:eastAsia="仿宋" w:cs="仿宋"/>
          <w:color w:val="auto"/>
          <w:sz w:val="24"/>
          <w:szCs w:val="24"/>
          <w:highlight w:val="none"/>
          <w:lang w:eastAsia="zh-CN"/>
        </w:rPr>
      </w:pPr>
      <w:bookmarkStart w:id="122" w:name="bookmark74"/>
      <w:bookmarkEnd w:id="122"/>
      <w:bookmarkStart w:id="123" w:name="bookmark73"/>
      <w:bookmarkEnd w:id="123"/>
      <w:bookmarkStart w:id="124" w:name="_Toc186477710"/>
      <w:bookmarkStart w:id="125" w:name="_Toc6763"/>
      <w:r>
        <w:rPr>
          <w:rFonts w:hint="eastAsia" w:ascii="仿宋" w:hAnsi="仿宋" w:eastAsia="仿宋" w:cs="仿宋"/>
          <w:b/>
          <w:bCs/>
          <w:color w:val="auto"/>
          <w:spacing w:val="-5"/>
          <w:sz w:val="24"/>
          <w:szCs w:val="24"/>
          <w:highlight w:val="none"/>
          <w:lang w:eastAsia="zh-CN"/>
        </w:rPr>
        <w:t>22.实物样品</w:t>
      </w:r>
      <w:bookmarkEnd w:id="124"/>
      <w:bookmarkEnd w:id="125"/>
    </w:p>
    <w:p w14:paraId="259CE75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22.1“投标人须知前附表”要求提供样品的，样品的具体要求及评审详见“第</w:t>
      </w:r>
      <w:r>
        <w:rPr>
          <w:rFonts w:hint="eastAsia" w:ascii="仿宋" w:hAnsi="仿宋" w:eastAsia="仿宋" w:cs="仿宋"/>
          <w:color w:val="auto"/>
          <w:spacing w:val="-2"/>
          <w:sz w:val="24"/>
          <w:szCs w:val="24"/>
          <w:highlight w:val="none"/>
          <w:lang w:eastAsia="zh-CN"/>
        </w:rPr>
        <w:t>三章 采购需求”和“第五章 评标方法及标准”。</w:t>
      </w:r>
    </w:p>
    <w:p w14:paraId="1F8BD4D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22.2样品退还：未中标的投标人应按照“投标人须知前附表”要求自行联</w:t>
      </w:r>
      <w:r>
        <w:rPr>
          <w:rFonts w:hint="eastAsia" w:ascii="仿宋" w:hAnsi="仿宋" w:eastAsia="仿宋" w:cs="仿宋"/>
          <w:color w:val="auto"/>
          <w:spacing w:val="-3"/>
          <w:sz w:val="24"/>
          <w:szCs w:val="24"/>
          <w:highlight w:val="none"/>
          <w:lang w:eastAsia="zh-CN"/>
        </w:rPr>
        <w:t>系采购人取回投标样品；中标人的样品由采购人进行保管、封存，并作</w:t>
      </w:r>
      <w:r>
        <w:rPr>
          <w:rFonts w:hint="eastAsia" w:ascii="仿宋" w:hAnsi="仿宋" w:eastAsia="仿宋" w:cs="仿宋"/>
          <w:color w:val="auto"/>
          <w:spacing w:val="-4"/>
          <w:sz w:val="24"/>
          <w:szCs w:val="24"/>
          <w:highlight w:val="none"/>
          <w:lang w:eastAsia="zh-CN"/>
        </w:rPr>
        <w:t>为履约验</w:t>
      </w:r>
      <w:r>
        <w:rPr>
          <w:rFonts w:hint="eastAsia" w:ascii="仿宋" w:hAnsi="仿宋" w:eastAsia="仿宋" w:cs="仿宋"/>
          <w:color w:val="auto"/>
          <w:spacing w:val="-1"/>
          <w:sz w:val="24"/>
          <w:szCs w:val="24"/>
          <w:highlight w:val="none"/>
          <w:lang w:eastAsia="zh-CN"/>
        </w:rPr>
        <w:t>收的参考（招标文件另有规定的从其规定）。</w:t>
      </w:r>
    </w:p>
    <w:p w14:paraId="4A3F1CBD">
      <w:pPr>
        <w:spacing w:line="360" w:lineRule="auto"/>
        <w:ind w:left="31" w:right="-27" w:rightChars="-13"/>
        <w:outlineLvl w:val="2"/>
        <w:rPr>
          <w:rFonts w:ascii="仿宋" w:hAnsi="仿宋" w:eastAsia="仿宋" w:cs="仿宋"/>
          <w:color w:val="auto"/>
          <w:sz w:val="24"/>
          <w:szCs w:val="24"/>
          <w:highlight w:val="none"/>
          <w:lang w:eastAsia="zh-CN"/>
        </w:rPr>
      </w:pPr>
      <w:bookmarkStart w:id="126" w:name="bookmark75"/>
      <w:bookmarkEnd w:id="126"/>
      <w:bookmarkStart w:id="127" w:name="bookmark76"/>
      <w:bookmarkEnd w:id="127"/>
      <w:bookmarkStart w:id="128" w:name="_Toc32619"/>
      <w:bookmarkStart w:id="129" w:name="_Toc186477711"/>
      <w:r>
        <w:rPr>
          <w:rFonts w:hint="eastAsia" w:ascii="仿宋" w:hAnsi="仿宋" w:eastAsia="仿宋" w:cs="仿宋"/>
          <w:b/>
          <w:bCs/>
          <w:color w:val="auto"/>
          <w:spacing w:val="-5"/>
          <w:sz w:val="24"/>
          <w:szCs w:val="24"/>
          <w:highlight w:val="none"/>
          <w:lang w:eastAsia="zh-CN"/>
        </w:rPr>
        <w:t>23.演示</w:t>
      </w:r>
      <w:bookmarkEnd w:id="128"/>
      <w:bookmarkEnd w:id="129"/>
    </w:p>
    <w:p w14:paraId="55603D8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23.1要求投标人进行演示的，演示要求详见“投标人须知前附表”。</w:t>
      </w:r>
    </w:p>
    <w:p w14:paraId="124C761B">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23.2演示的评审详见“第三章 采购需求”和“第五章 评标方法及标准”。</w:t>
      </w:r>
    </w:p>
    <w:p w14:paraId="4F997339">
      <w:pPr>
        <w:spacing w:line="360" w:lineRule="auto"/>
        <w:ind w:left="31" w:right="-27" w:rightChars="-13"/>
        <w:outlineLvl w:val="2"/>
        <w:rPr>
          <w:rFonts w:ascii="仿宋" w:hAnsi="仿宋" w:eastAsia="仿宋" w:cs="仿宋"/>
          <w:color w:val="auto"/>
          <w:sz w:val="24"/>
          <w:szCs w:val="24"/>
          <w:highlight w:val="none"/>
          <w:lang w:eastAsia="zh-CN"/>
        </w:rPr>
      </w:pPr>
      <w:bookmarkStart w:id="130" w:name="bookmark77"/>
      <w:bookmarkEnd w:id="130"/>
      <w:bookmarkStart w:id="131" w:name="bookmark78"/>
      <w:bookmarkEnd w:id="131"/>
      <w:bookmarkStart w:id="132" w:name="_Toc186477712"/>
      <w:bookmarkStart w:id="133" w:name="_Toc5648"/>
      <w:r>
        <w:rPr>
          <w:rFonts w:hint="eastAsia" w:ascii="仿宋" w:hAnsi="仿宋" w:eastAsia="仿宋" w:cs="仿宋"/>
          <w:b/>
          <w:bCs/>
          <w:color w:val="auto"/>
          <w:spacing w:val="-8"/>
          <w:sz w:val="24"/>
          <w:szCs w:val="24"/>
          <w:highlight w:val="none"/>
          <w:lang w:eastAsia="zh-CN"/>
        </w:rPr>
        <w:t>（五）开标</w:t>
      </w:r>
      <w:bookmarkEnd w:id="132"/>
      <w:bookmarkEnd w:id="133"/>
    </w:p>
    <w:p w14:paraId="764AFBAF">
      <w:pPr>
        <w:spacing w:line="360" w:lineRule="auto"/>
        <w:ind w:left="31" w:right="-27" w:rightChars="-13"/>
        <w:outlineLvl w:val="2"/>
        <w:rPr>
          <w:rFonts w:ascii="仿宋" w:hAnsi="仿宋" w:eastAsia="仿宋" w:cs="仿宋"/>
          <w:color w:val="auto"/>
          <w:sz w:val="24"/>
          <w:szCs w:val="24"/>
          <w:highlight w:val="none"/>
          <w:lang w:eastAsia="zh-CN"/>
        </w:rPr>
      </w:pPr>
      <w:bookmarkStart w:id="134" w:name="bookmark79"/>
      <w:bookmarkEnd w:id="134"/>
      <w:bookmarkStart w:id="135" w:name="bookmark80"/>
      <w:bookmarkEnd w:id="135"/>
      <w:bookmarkStart w:id="136" w:name="_Toc9763"/>
      <w:bookmarkStart w:id="137" w:name="_Toc186477713"/>
      <w:r>
        <w:rPr>
          <w:rFonts w:hint="eastAsia" w:ascii="仿宋" w:hAnsi="仿宋" w:eastAsia="仿宋" w:cs="仿宋"/>
          <w:b/>
          <w:bCs/>
          <w:color w:val="auto"/>
          <w:spacing w:val="-5"/>
          <w:sz w:val="24"/>
          <w:szCs w:val="24"/>
          <w:highlight w:val="none"/>
          <w:lang w:eastAsia="zh-CN"/>
        </w:rPr>
        <w:t>24.开标会议</w:t>
      </w:r>
      <w:bookmarkEnd w:id="136"/>
      <w:bookmarkEnd w:id="137"/>
    </w:p>
    <w:p w14:paraId="067AAB66">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24.1开标会按“第一章 招标公告”规定的开标时间和地点准时举行，采购人、采购代理机构邀请所有投标人准时参加开标会。投标人应按照招标文件的要</w:t>
      </w:r>
      <w:r>
        <w:rPr>
          <w:rFonts w:hint="eastAsia" w:ascii="仿宋" w:hAnsi="仿宋" w:eastAsia="仿宋" w:cs="仿宋"/>
          <w:color w:val="auto"/>
          <w:spacing w:val="-2"/>
          <w:sz w:val="24"/>
          <w:szCs w:val="24"/>
          <w:highlight w:val="none"/>
          <w:lang w:eastAsia="zh-CN"/>
        </w:rPr>
        <w:t>求参与不见面开标。</w:t>
      </w:r>
    </w:p>
    <w:p w14:paraId="0AEF608C">
      <w:pPr>
        <w:widowControl w:val="0"/>
        <w:spacing w:line="360" w:lineRule="auto"/>
        <w:ind w:left="28" w:right="-27" w:rightChars="-13"/>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24.2 采购代理机构按照招标文件规定的时间、地点主持开标。采购人在规定的投标文件递交截止时间（开标时间）和地点进行不见面远程开标。投标人的法定代表人或其委托代理人无需到达开标现场，仅需在任意地点通过政府采购云平台（网址：https://www.zcygov.cn/）的“政采云登录入口”登录后，进入“政采云远程开标大厅”参加开标会议，并使用CA密钥完成远程解密、提疑澄清、开标唱标、结果公布等交互环节。</w:t>
      </w:r>
    </w:p>
    <w:p w14:paraId="3D808369">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24.3开标过程将宣布投标人名称、投标价格和招标文件规定的需要宣布的</w:t>
      </w:r>
      <w:r>
        <w:rPr>
          <w:rFonts w:hint="eastAsia" w:ascii="仿宋" w:hAnsi="仿宋" w:eastAsia="仿宋" w:cs="仿宋"/>
          <w:color w:val="auto"/>
          <w:spacing w:val="-3"/>
          <w:sz w:val="24"/>
          <w:szCs w:val="24"/>
          <w:highlight w:val="none"/>
          <w:lang w:eastAsia="zh-CN"/>
        </w:rPr>
        <w:t>其他内容并进行记录，并由参加开标的各投标人确认。投标人未在规定时间内提</w:t>
      </w:r>
      <w:r>
        <w:rPr>
          <w:rFonts w:hint="eastAsia" w:ascii="仿宋" w:hAnsi="仿宋" w:eastAsia="仿宋" w:cs="仿宋"/>
          <w:color w:val="auto"/>
          <w:spacing w:val="-1"/>
          <w:sz w:val="24"/>
          <w:szCs w:val="24"/>
          <w:highlight w:val="none"/>
          <w:lang w:eastAsia="zh-CN"/>
        </w:rPr>
        <w:t>出疑义或确认一览表的，视同认可开标结果。</w:t>
      </w:r>
    </w:p>
    <w:p w14:paraId="174A5F98">
      <w:pPr>
        <w:spacing w:line="360" w:lineRule="auto"/>
        <w:ind w:left="31" w:right="-27" w:rightChars="-13"/>
        <w:outlineLvl w:val="2"/>
        <w:rPr>
          <w:rFonts w:ascii="仿宋" w:hAnsi="仿宋" w:eastAsia="仿宋" w:cs="仿宋"/>
          <w:color w:val="auto"/>
          <w:sz w:val="24"/>
          <w:szCs w:val="24"/>
          <w:highlight w:val="none"/>
          <w:lang w:eastAsia="zh-CN"/>
        </w:rPr>
      </w:pPr>
      <w:bookmarkStart w:id="138" w:name="bookmark81"/>
      <w:bookmarkEnd w:id="138"/>
      <w:bookmarkStart w:id="139" w:name="bookmark82"/>
      <w:bookmarkEnd w:id="139"/>
      <w:bookmarkStart w:id="140" w:name="_Toc186477714"/>
      <w:bookmarkStart w:id="141" w:name="_Toc19218"/>
      <w:r>
        <w:rPr>
          <w:rFonts w:hint="eastAsia" w:ascii="仿宋" w:hAnsi="仿宋" w:eastAsia="仿宋" w:cs="仿宋"/>
          <w:b/>
          <w:bCs/>
          <w:color w:val="auto"/>
          <w:spacing w:val="-5"/>
          <w:sz w:val="24"/>
          <w:szCs w:val="24"/>
          <w:highlight w:val="none"/>
          <w:lang w:eastAsia="zh-CN"/>
        </w:rPr>
        <w:t>25.开标程序</w:t>
      </w:r>
      <w:bookmarkEnd w:id="140"/>
      <w:bookmarkEnd w:id="141"/>
    </w:p>
    <w:p w14:paraId="6D33924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25.1 投标人不足3家的，不得开标。</w:t>
      </w:r>
    </w:p>
    <w:p w14:paraId="42280B3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25.2 评标委员会成员不得参加开标活动。</w:t>
      </w:r>
    </w:p>
    <w:p w14:paraId="46ECE8F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25.3主持人按下列程序进行开标：</w:t>
      </w:r>
    </w:p>
    <w:p w14:paraId="34F662D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（1）宣布开标会纪律；</w:t>
      </w:r>
    </w:p>
    <w:p w14:paraId="4486F87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（2）介绍参加开标会的单位和人员；</w:t>
      </w:r>
    </w:p>
    <w:p w14:paraId="0800214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（3）发起投标文件解密。投标人应在“投标人须知前附表”规定的时间内</w:t>
      </w:r>
      <w:r>
        <w:rPr>
          <w:rFonts w:hint="eastAsia" w:ascii="仿宋" w:hAnsi="仿宋" w:eastAsia="仿宋" w:cs="仿宋"/>
          <w:color w:val="auto"/>
          <w:spacing w:val="-1"/>
          <w:sz w:val="24"/>
          <w:szCs w:val="24"/>
          <w:highlight w:val="none"/>
          <w:lang w:eastAsia="zh-CN"/>
        </w:rPr>
        <w:t>使用加密投标文件的CA证书在系统中完成投标文件的解</w:t>
      </w:r>
      <w:r>
        <w:rPr>
          <w:rFonts w:hint="eastAsia" w:ascii="仿宋" w:hAnsi="仿宋" w:eastAsia="仿宋" w:cs="仿宋"/>
          <w:color w:val="auto"/>
          <w:spacing w:val="-2"/>
          <w:sz w:val="24"/>
          <w:szCs w:val="24"/>
          <w:highlight w:val="none"/>
          <w:lang w:eastAsia="zh-CN"/>
        </w:rPr>
        <w:t>密；</w:t>
      </w:r>
    </w:p>
    <w:p w14:paraId="6D98573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（4）解密完成后，系统自动显示投标人名称、投标价格和招标文件规定的</w:t>
      </w:r>
      <w:r>
        <w:rPr>
          <w:rFonts w:hint="eastAsia" w:ascii="仿宋" w:hAnsi="仿宋" w:eastAsia="仿宋" w:cs="仿宋"/>
          <w:color w:val="auto"/>
          <w:spacing w:val="-3"/>
          <w:sz w:val="24"/>
          <w:szCs w:val="24"/>
          <w:highlight w:val="none"/>
          <w:lang w:eastAsia="zh-CN"/>
        </w:rPr>
        <w:t>需要宣布的其他内容；</w:t>
      </w:r>
    </w:p>
    <w:p w14:paraId="2912B683">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（5）系统自动生成开标记录表，投标人应在线对开标记录进行签署确认；</w:t>
      </w:r>
    </w:p>
    <w:p w14:paraId="27473F7C">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（6）开标会结束。</w:t>
      </w:r>
    </w:p>
    <w:p w14:paraId="2D8951A5">
      <w:pPr>
        <w:spacing w:line="360" w:lineRule="auto"/>
        <w:ind w:left="31" w:right="-27" w:rightChars="-13"/>
        <w:outlineLvl w:val="2"/>
        <w:rPr>
          <w:rFonts w:ascii="仿宋" w:hAnsi="仿宋" w:eastAsia="仿宋" w:cs="仿宋"/>
          <w:color w:val="auto"/>
          <w:sz w:val="24"/>
          <w:szCs w:val="24"/>
          <w:highlight w:val="none"/>
          <w:lang w:eastAsia="zh-CN"/>
        </w:rPr>
      </w:pPr>
      <w:bookmarkStart w:id="142" w:name="bookmark84"/>
      <w:bookmarkEnd w:id="142"/>
      <w:bookmarkStart w:id="143" w:name="bookmark83"/>
      <w:bookmarkEnd w:id="143"/>
      <w:bookmarkStart w:id="144" w:name="_Toc10556"/>
      <w:bookmarkStart w:id="145" w:name="_Toc186477715"/>
      <w:r>
        <w:rPr>
          <w:rFonts w:hint="eastAsia" w:ascii="仿宋" w:hAnsi="仿宋" w:eastAsia="仿宋" w:cs="仿宋"/>
          <w:b/>
          <w:bCs/>
          <w:color w:val="auto"/>
          <w:spacing w:val="-4"/>
          <w:sz w:val="24"/>
          <w:szCs w:val="24"/>
          <w:highlight w:val="none"/>
          <w:lang w:eastAsia="zh-CN"/>
        </w:rPr>
        <w:t>26.开标疑义及回避情形</w:t>
      </w:r>
      <w:bookmarkEnd w:id="144"/>
      <w:bookmarkEnd w:id="145"/>
    </w:p>
    <w:p w14:paraId="46802F7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26.1投标人代表对开标过程和开标记录有疑义，以及认为采购人、采购代</w:t>
      </w:r>
      <w:r>
        <w:rPr>
          <w:rFonts w:hint="eastAsia" w:ascii="仿宋" w:hAnsi="仿宋" w:eastAsia="仿宋" w:cs="仿宋"/>
          <w:color w:val="auto"/>
          <w:spacing w:val="-3"/>
          <w:sz w:val="24"/>
          <w:szCs w:val="24"/>
          <w:highlight w:val="none"/>
          <w:lang w:eastAsia="zh-CN"/>
        </w:rPr>
        <w:t>理机构相关工作人员有需要回避的情形的，应在开标会议中提出询问或者回避申请。采购人、采购代理机构对投标人授权代表提出的询问或者回避申请应当及时处理。</w:t>
      </w:r>
    </w:p>
    <w:p w14:paraId="519F5CD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26.2投标人未参加开标的，视同认可开标</w:t>
      </w:r>
      <w:r>
        <w:rPr>
          <w:rFonts w:hint="eastAsia" w:ascii="仿宋" w:hAnsi="仿宋" w:eastAsia="仿宋" w:cs="仿宋"/>
          <w:color w:val="auto"/>
          <w:spacing w:val="-2"/>
          <w:sz w:val="24"/>
          <w:szCs w:val="24"/>
          <w:highlight w:val="none"/>
          <w:lang w:eastAsia="zh-CN"/>
        </w:rPr>
        <w:t>结果。</w:t>
      </w:r>
    </w:p>
    <w:p w14:paraId="5921A3FB">
      <w:pPr>
        <w:spacing w:line="360" w:lineRule="auto"/>
        <w:ind w:left="31" w:right="-27" w:rightChars="-13"/>
        <w:outlineLvl w:val="2"/>
        <w:rPr>
          <w:rFonts w:ascii="仿宋" w:hAnsi="仿宋" w:eastAsia="仿宋" w:cs="仿宋"/>
          <w:color w:val="auto"/>
          <w:sz w:val="24"/>
          <w:szCs w:val="24"/>
          <w:highlight w:val="none"/>
          <w:lang w:eastAsia="zh-CN"/>
        </w:rPr>
      </w:pPr>
      <w:bookmarkStart w:id="146" w:name="bookmark85"/>
      <w:bookmarkEnd w:id="146"/>
      <w:bookmarkStart w:id="147" w:name="bookmark86"/>
      <w:bookmarkEnd w:id="147"/>
      <w:bookmarkStart w:id="148" w:name="_Toc186477716"/>
      <w:bookmarkStart w:id="149" w:name="_Toc650"/>
      <w:r>
        <w:rPr>
          <w:rFonts w:hint="eastAsia" w:ascii="仿宋" w:hAnsi="仿宋" w:eastAsia="仿宋" w:cs="仿宋"/>
          <w:b/>
          <w:bCs/>
          <w:color w:val="auto"/>
          <w:spacing w:val="-6"/>
          <w:sz w:val="24"/>
          <w:szCs w:val="24"/>
          <w:highlight w:val="none"/>
          <w:lang w:eastAsia="zh-CN"/>
        </w:rPr>
        <w:t>（六）资格审查</w:t>
      </w:r>
      <w:bookmarkEnd w:id="148"/>
      <w:bookmarkEnd w:id="149"/>
    </w:p>
    <w:p w14:paraId="606101EF">
      <w:pPr>
        <w:spacing w:line="360" w:lineRule="auto"/>
        <w:ind w:left="31" w:right="-27" w:rightChars="-13"/>
        <w:outlineLvl w:val="2"/>
        <w:rPr>
          <w:rFonts w:ascii="仿宋" w:hAnsi="仿宋" w:eastAsia="仿宋" w:cs="仿宋"/>
          <w:color w:val="auto"/>
          <w:sz w:val="24"/>
          <w:szCs w:val="24"/>
          <w:highlight w:val="none"/>
          <w:lang w:eastAsia="zh-CN"/>
        </w:rPr>
      </w:pPr>
      <w:bookmarkStart w:id="150" w:name="bookmark87"/>
      <w:bookmarkEnd w:id="150"/>
      <w:bookmarkStart w:id="151" w:name="bookmark88"/>
      <w:bookmarkEnd w:id="151"/>
      <w:bookmarkStart w:id="152" w:name="_Toc19246"/>
      <w:bookmarkStart w:id="153" w:name="_Toc186477717"/>
      <w:r>
        <w:rPr>
          <w:rFonts w:hint="eastAsia" w:ascii="仿宋" w:hAnsi="仿宋" w:eastAsia="仿宋" w:cs="仿宋"/>
          <w:b/>
          <w:bCs/>
          <w:color w:val="auto"/>
          <w:spacing w:val="-4"/>
          <w:sz w:val="24"/>
          <w:szCs w:val="24"/>
          <w:highlight w:val="none"/>
          <w:lang w:eastAsia="zh-CN"/>
        </w:rPr>
        <w:t>27.资格审查及审查主体</w:t>
      </w:r>
      <w:bookmarkEnd w:id="152"/>
      <w:bookmarkEnd w:id="153"/>
    </w:p>
    <w:p w14:paraId="0D79E3F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27.1开标结束后，采购人或者采购代理机构应当依法对投标人的资格进行</w:t>
      </w:r>
      <w:r>
        <w:rPr>
          <w:rFonts w:hint="eastAsia" w:ascii="仿宋" w:hAnsi="仿宋" w:eastAsia="仿宋" w:cs="仿宋"/>
          <w:color w:val="auto"/>
          <w:spacing w:val="-8"/>
          <w:sz w:val="24"/>
          <w:szCs w:val="24"/>
          <w:highlight w:val="none"/>
          <w:lang w:eastAsia="zh-CN"/>
        </w:rPr>
        <w:t>审查。</w:t>
      </w:r>
    </w:p>
    <w:p w14:paraId="0331653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27.2资格审查按“第四章 资格审查”的规定进行。</w:t>
      </w:r>
    </w:p>
    <w:p w14:paraId="5980492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27.3资格审查结束后，应及时对资格审查结果进行复核，对资格审查错误进行及时纠正并记录。</w:t>
      </w:r>
    </w:p>
    <w:p w14:paraId="4543A06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27.4资格审查合格投标人不足3家的，不得评标。</w:t>
      </w:r>
    </w:p>
    <w:p w14:paraId="5ED63272">
      <w:pPr>
        <w:spacing w:line="360" w:lineRule="auto"/>
        <w:ind w:left="31" w:right="-27" w:rightChars="-13"/>
        <w:outlineLvl w:val="2"/>
        <w:rPr>
          <w:rFonts w:ascii="仿宋" w:hAnsi="仿宋" w:eastAsia="仿宋" w:cs="仿宋"/>
          <w:color w:val="auto"/>
          <w:sz w:val="24"/>
          <w:szCs w:val="24"/>
          <w:highlight w:val="none"/>
          <w:lang w:eastAsia="zh-CN"/>
        </w:rPr>
      </w:pPr>
      <w:bookmarkStart w:id="154" w:name="bookmark89"/>
      <w:bookmarkEnd w:id="154"/>
      <w:bookmarkStart w:id="155" w:name="bookmark90"/>
      <w:bookmarkEnd w:id="155"/>
      <w:bookmarkStart w:id="156" w:name="_Toc186477718"/>
      <w:bookmarkStart w:id="157" w:name="_Toc9161"/>
      <w:r>
        <w:rPr>
          <w:rFonts w:hint="eastAsia" w:ascii="仿宋" w:hAnsi="仿宋" w:eastAsia="仿宋" w:cs="仿宋"/>
          <w:b/>
          <w:bCs/>
          <w:color w:val="auto"/>
          <w:spacing w:val="-8"/>
          <w:sz w:val="24"/>
          <w:szCs w:val="24"/>
          <w:highlight w:val="none"/>
          <w:lang w:eastAsia="zh-CN"/>
        </w:rPr>
        <w:t>（七）评标</w:t>
      </w:r>
      <w:bookmarkEnd w:id="156"/>
      <w:bookmarkEnd w:id="157"/>
    </w:p>
    <w:p w14:paraId="5071300A">
      <w:pPr>
        <w:spacing w:line="360" w:lineRule="auto"/>
        <w:ind w:left="31" w:right="-27" w:rightChars="-13"/>
        <w:outlineLvl w:val="2"/>
        <w:rPr>
          <w:rFonts w:ascii="仿宋" w:hAnsi="仿宋" w:eastAsia="仿宋" w:cs="仿宋"/>
          <w:color w:val="auto"/>
          <w:sz w:val="24"/>
          <w:szCs w:val="24"/>
          <w:highlight w:val="none"/>
          <w:lang w:eastAsia="zh-CN"/>
        </w:rPr>
      </w:pPr>
      <w:bookmarkStart w:id="158" w:name="bookmark91"/>
      <w:bookmarkEnd w:id="158"/>
      <w:bookmarkStart w:id="159" w:name="bookmark92"/>
      <w:bookmarkEnd w:id="159"/>
      <w:bookmarkStart w:id="160" w:name="_Toc186477719"/>
      <w:bookmarkStart w:id="161" w:name="_Toc12760"/>
      <w:r>
        <w:rPr>
          <w:rFonts w:hint="eastAsia" w:ascii="仿宋" w:hAnsi="仿宋" w:eastAsia="仿宋" w:cs="仿宋"/>
          <w:b/>
          <w:bCs/>
          <w:color w:val="auto"/>
          <w:spacing w:val="-4"/>
          <w:sz w:val="24"/>
          <w:szCs w:val="24"/>
          <w:highlight w:val="none"/>
          <w:lang w:eastAsia="zh-CN"/>
        </w:rPr>
        <w:t>28.评标委员会</w:t>
      </w:r>
      <w:bookmarkEnd w:id="160"/>
      <w:bookmarkEnd w:id="161"/>
    </w:p>
    <w:p w14:paraId="497BA103">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28.1 评标由采购人依法组建的评标委员会</w:t>
      </w:r>
      <w:r>
        <w:rPr>
          <w:rFonts w:hint="eastAsia" w:ascii="仿宋" w:hAnsi="仿宋" w:eastAsia="仿宋" w:cs="仿宋"/>
          <w:color w:val="auto"/>
          <w:spacing w:val="-1"/>
          <w:sz w:val="24"/>
          <w:szCs w:val="24"/>
          <w:highlight w:val="none"/>
          <w:lang w:eastAsia="zh-CN"/>
        </w:rPr>
        <w:t>负责。评标委员会由采购人代表</w:t>
      </w:r>
      <w:r>
        <w:rPr>
          <w:rFonts w:hint="eastAsia" w:ascii="仿宋" w:hAnsi="仿宋" w:eastAsia="仿宋" w:cs="仿宋"/>
          <w:color w:val="auto"/>
          <w:spacing w:val="-4"/>
          <w:sz w:val="24"/>
          <w:szCs w:val="24"/>
          <w:highlight w:val="none"/>
          <w:lang w:eastAsia="zh-CN"/>
        </w:rPr>
        <w:t>和评审专家组成，成员人数应当为5人以上单数，其中评审专家不得少于成员总</w:t>
      </w:r>
      <w:r>
        <w:rPr>
          <w:rFonts w:hint="eastAsia" w:ascii="仿宋" w:hAnsi="仿宋" w:eastAsia="仿宋" w:cs="仿宋"/>
          <w:color w:val="auto"/>
          <w:spacing w:val="-3"/>
          <w:sz w:val="24"/>
          <w:szCs w:val="24"/>
          <w:highlight w:val="none"/>
          <w:lang w:eastAsia="zh-CN"/>
        </w:rPr>
        <w:t>数的三分之二。采购人或者采购代理机构应当从省级以上财政部门设立的政府采</w:t>
      </w:r>
      <w:r>
        <w:rPr>
          <w:rFonts w:hint="eastAsia" w:ascii="仿宋" w:hAnsi="仿宋" w:eastAsia="仿宋" w:cs="仿宋"/>
          <w:color w:val="auto"/>
          <w:spacing w:val="-1"/>
          <w:sz w:val="24"/>
          <w:szCs w:val="24"/>
          <w:highlight w:val="none"/>
          <w:lang w:eastAsia="zh-CN"/>
        </w:rPr>
        <w:t>购评审专家库中，通过随机方式抽取评审专家。</w:t>
      </w:r>
    </w:p>
    <w:p w14:paraId="05CF913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28.2 采购项目符合下列情形之一的，评标委员会成员人数应当</w:t>
      </w:r>
      <w:r>
        <w:rPr>
          <w:rFonts w:hint="eastAsia" w:ascii="仿宋" w:hAnsi="仿宋" w:eastAsia="仿宋" w:cs="仿宋"/>
          <w:color w:val="auto"/>
          <w:spacing w:val="-2"/>
          <w:sz w:val="24"/>
          <w:szCs w:val="24"/>
          <w:highlight w:val="none"/>
          <w:lang w:eastAsia="zh-CN"/>
        </w:rPr>
        <w:t>为7人以上</w:t>
      </w:r>
      <w:r>
        <w:rPr>
          <w:rFonts w:hint="eastAsia" w:ascii="仿宋" w:hAnsi="仿宋" w:eastAsia="仿宋" w:cs="仿宋"/>
          <w:color w:val="auto"/>
          <w:spacing w:val="-4"/>
          <w:sz w:val="24"/>
          <w:szCs w:val="24"/>
          <w:highlight w:val="none"/>
          <w:lang w:eastAsia="zh-CN"/>
        </w:rPr>
        <w:t>单数：</w:t>
      </w:r>
    </w:p>
    <w:p w14:paraId="6C803BD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（1）采购预算金额在1000万元以上；</w:t>
      </w:r>
    </w:p>
    <w:p w14:paraId="5795E0C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（2）技术复杂；</w:t>
      </w:r>
    </w:p>
    <w:p w14:paraId="328051B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（3）社会影响较大。</w:t>
      </w:r>
    </w:p>
    <w:p w14:paraId="336EFE49">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28.3评审专家对本单位的采购项目只能作为采购人代表参与评标，对技术</w:t>
      </w:r>
      <w:r>
        <w:rPr>
          <w:rFonts w:hint="eastAsia" w:ascii="仿宋" w:hAnsi="仿宋" w:eastAsia="仿宋" w:cs="仿宋"/>
          <w:color w:val="auto"/>
          <w:spacing w:val="-3"/>
          <w:sz w:val="24"/>
          <w:szCs w:val="24"/>
          <w:highlight w:val="none"/>
          <w:lang w:eastAsia="zh-CN"/>
        </w:rPr>
        <w:t>复杂、专业性强的采购项目，通过随机方式难以确定合适评审专家的，经主管预算单位同意，采购人可以自行选定相应专业领域的评审专家。采购代理机构工作</w:t>
      </w:r>
      <w:r>
        <w:rPr>
          <w:rFonts w:hint="eastAsia" w:ascii="仿宋" w:hAnsi="仿宋" w:eastAsia="仿宋" w:cs="仿宋"/>
          <w:color w:val="auto"/>
          <w:spacing w:val="-1"/>
          <w:sz w:val="24"/>
          <w:szCs w:val="24"/>
          <w:highlight w:val="none"/>
          <w:lang w:eastAsia="zh-CN"/>
        </w:rPr>
        <w:t>人员不得参加由本机构代理的政府采购项目的评标。</w:t>
      </w:r>
    </w:p>
    <w:p w14:paraId="6DEA2BA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28.4评标委员会成员名单在评标结果公告前应当保密。</w:t>
      </w:r>
    </w:p>
    <w:p w14:paraId="2C7091A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28.5评标中因评标委员会成员缺席、回避或者健康等特殊原因导致评标委</w:t>
      </w:r>
      <w:r>
        <w:rPr>
          <w:rFonts w:hint="eastAsia" w:ascii="仿宋" w:hAnsi="仿宋" w:eastAsia="仿宋" w:cs="仿宋"/>
          <w:color w:val="auto"/>
          <w:spacing w:val="-3"/>
          <w:sz w:val="24"/>
          <w:szCs w:val="24"/>
          <w:highlight w:val="none"/>
          <w:lang w:eastAsia="zh-CN"/>
        </w:rPr>
        <w:t>员会组成不符合本办法规定的，采购人或者采购代理机构应当依法补足后继续评</w:t>
      </w:r>
      <w:r>
        <w:rPr>
          <w:rFonts w:hint="eastAsia" w:ascii="仿宋" w:hAnsi="仿宋" w:eastAsia="仿宋" w:cs="仿宋"/>
          <w:color w:val="auto"/>
          <w:spacing w:val="-1"/>
          <w:sz w:val="24"/>
          <w:szCs w:val="24"/>
          <w:highlight w:val="none"/>
          <w:lang w:eastAsia="zh-CN"/>
        </w:rPr>
        <w:t>标。被更换的评标委员会成员所作出的评标意见无效。</w:t>
      </w:r>
    </w:p>
    <w:p w14:paraId="75ECB0B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28.6无法及时补足评标委员会成员的，采购人或者采购代理机构应当停止</w:t>
      </w:r>
      <w:r>
        <w:rPr>
          <w:rFonts w:hint="eastAsia" w:ascii="仿宋" w:hAnsi="仿宋" w:eastAsia="仿宋" w:cs="仿宋"/>
          <w:color w:val="auto"/>
          <w:spacing w:val="-3"/>
          <w:sz w:val="24"/>
          <w:szCs w:val="24"/>
          <w:highlight w:val="none"/>
          <w:lang w:eastAsia="zh-CN"/>
        </w:rPr>
        <w:t>评标活动，封存所有投标文件和开标、评标资料，依法重新组建评标委员会进行</w:t>
      </w:r>
      <w:r>
        <w:rPr>
          <w:rFonts w:hint="eastAsia" w:ascii="仿宋" w:hAnsi="仿宋" w:eastAsia="仿宋" w:cs="仿宋"/>
          <w:color w:val="auto"/>
          <w:spacing w:val="-1"/>
          <w:sz w:val="24"/>
          <w:szCs w:val="24"/>
          <w:highlight w:val="none"/>
          <w:lang w:eastAsia="zh-CN"/>
        </w:rPr>
        <w:t>评标。原评标委员会所作出的评标意见无效。</w:t>
      </w:r>
    </w:p>
    <w:p w14:paraId="2000E39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28.7 评标委员会成员有下列情形之一的，应当回避：</w:t>
      </w:r>
    </w:p>
    <w:p w14:paraId="7AAA874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（1）参加采购活动前3年内与投标人存在劳动关系；</w:t>
      </w:r>
    </w:p>
    <w:p w14:paraId="63289A3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（2）参加采购活动前3年内担任投标人的董事、监事；</w:t>
      </w:r>
    </w:p>
    <w:p w14:paraId="45E5E98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（3）参加采购活动前3年内是投标人的控股股东或实际控制人；</w:t>
      </w:r>
    </w:p>
    <w:p w14:paraId="110D1EAD">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（4）与投标人的法定代表人或者负责人有夫妻、直系血亲、三代以内旁系</w:t>
      </w:r>
      <w:r>
        <w:rPr>
          <w:rFonts w:hint="eastAsia" w:ascii="仿宋" w:hAnsi="仿宋" w:eastAsia="仿宋" w:cs="仿宋"/>
          <w:color w:val="auto"/>
          <w:spacing w:val="-2"/>
          <w:sz w:val="24"/>
          <w:szCs w:val="24"/>
          <w:highlight w:val="none"/>
          <w:lang w:eastAsia="zh-CN"/>
        </w:rPr>
        <w:t>血亲或者近姻亲关系；</w:t>
      </w:r>
    </w:p>
    <w:p w14:paraId="3906447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（5）与投标人有其他可能影响采购活动公平、公正进行的关系。</w:t>
      </w:r>
    </w:p>
    <w:p w14:paraId="2F338F64">
      <w:pPr>
        <w:spacing w:line="360" w:lineRule="auto"/>
        <w:ind w:left="31" w:right="-27" w:rightChars="-13"/>
        <w:outlineLvl w:val="2"/>
        <w:rPr>
          <w:rFonts w:ascii="仿宋" w:hAnsi="仿宋" w:eastAsia="仿宋" w:cs="仿宋"/>
          <w:color w:val="auto"/>
          <w:sz w:val="24"/>
          <w:szCs w:val="24"/>
          <w:highlight w:val="none"/>
          <w:lang w:eastAsia="zh-CN"/>
        </w:rPr>
      </w:pPr>
      <w:bookmarkStart w:id="162" w:name="bookmark94"/>
      <w:bookmarkEnd w:id="162"/>
      <w:bookmarkStart w:id="163" w:name="bookmark93"/>
      <w:bookmarkEnd w:id="163"/>
      <w:bookmarkStart w:id="164" w:name="_Toc186477720"/>
      <w:bookmarkStart w:id="165" w:name="_Toc29113"/>
      <w:r>
        <w:rPr>
          <w:rFonts w:hint="eastAsia" w:ascii="仿宋" w:hAnsi="仿宋" w:eastAsia="仿宋" w:cs="仿宋"/>
          <w:b/>
          <w:bCs/>
          <w:color w:val="auto"/>
          <w:spacing w:val="-5"/>
          <w:sz w:val="24"/>
          <w:szCs w:val="24"/>
          <w:highlight w:val="none"/>
          <w:lang w:eastAsia="zh-CN"/>
        </w:rPr>
        <w:t>29.评标</w:t>
      </w:r>
      <w:bookmarkEnd w:id="164"/>
      <w:bookmarkEnd w:id="165"/>
    </w:p>
    <w:p w14:paraId="1979B0D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29.1 评标方法分为综合评分法和最低评标</w:t>
      </w:r>
      <w:r>
        <w:rPr>
          <w:rFonts w:hint="eastAsia" w:ascii="仿宋" w:hAnsi="仿宋" w:eastAsia="仿宋" w:cs="仿宋"/>
          <w:color w:val="auto"/>
          <w:spacing w:val="-1"/>
          <w:sz w:val="24"/>
          <w:szCs w:val="24"/>
          <w:highlight w:val="none"/>
          <w:lang w:eastAsia="zh-CN"/>
        </w:rPr>
        <w:t>价法，本项目评标方法详见“投</w:t>
      </w:r>
      <w:r>
        <w:rPr>
          <w:rFonts w:hint="eastAsia" w:ascii="仿宋" w:hAnsi="仿宋" w:eastAsia="仿宋" w:cs="仿宋"/>
          <w:color w:val="auto"/>
          <w:spacing w:val="-2"/>
          <w:sz w:val="24"/>
          <w:szCs w:val="24"/>
          <w:highlight w:val="none"/>
          <w:lang w:eastAsia="zh-CN"/>
        </w:rPr>
        <w:t>标人须知前附表”。</w:t>
      </w:r>
    </w:p>
    <w:p w14:paraId="16A5B5FC">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29.1.1综合评分法，是指投标文件满足招标文件全部实质性要求，且按照</w:t>
      </w:r>
      <w:r>
        <w:rPr>
          <w:rFonts w:hint="eastAsia" w:ascii="仿宋" w:hAnsi="仿宋" w:eastAsia="仿宋" w:cs="仿宋"/>
          <w:color w:val="auto"/>
          <w:sz w:val="24"/>
          <w:szCs w:val="24"/>
          <w:highlight w:val="none"/>
          <w:lang w:eastAsia="zh-CN"/>
        </w:rPr>
        <w:t>评审因素的量化指标评审得分最高的投标人为中</w:t>
      </w:r>
      <w:r>
        <w:rPr>
          <w:rFonts w:hint="eastAsia" w:ascii="仿宋" w:hAnsi="仿宋" w:eastAsia="仿宋" w:cs="仿宋"/>
          <w:color w:val="auto"/>
          <w:spacing w:val="-1"/>
          <w:sz w:val="24"/>
          <w:szCs w:val="24"/>
          <w:highlight w:val="none"/>
          <w:lang w:eastAsia="zh-CN"/>
        </w:rPr>
        <w:t>标候选人的评标方法。</w:t>
      </w:r>
    </w:p>
    <w:p w14:paraId="6893D98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29.1.2.最低评标价法，是指投标文件满足</w:t>
      </w:r>
      <w:r>
        <w:rPr>
          <w:rFonts w:hint="eastAsia" w:ascii="仿宋" w:hAnsi="仿宋" w:eastAsia="仿宋" w:cs="仿宋"/>
          <w:color w:val="auto"/>
          <w:spacing w:val="-1"/>
          <w:sz w:val="24"/>
          <w:szCs w:val="24"/>
          <w:highlight w:val="none"/>
          <w:lang w:eastAsia="zh-CN"/>
        </w:rPr>
        <w:t>招标文件全部实质性要求，且投标报价最低的投标人为中标候选人的评标方法。</w:t>
      </w:r>
    </w:p>
    <w:p w14:paraId="3BE7016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29.2 评标委员会按照“第五章 评标方法及标准”的规定对投标文件进行评</w:t>
      </w:r>
      <w:r>
        <w:rPr>
          <w:rFonts w:hint="eastAsia" w:ascii="仿宋" w:hAnsi="仿宋" w:eastAsia="仿宋" w:cs="仿宋"/>
          <w:color w:val="auto"/>
          <w:spacing w:val="-1"/>
          <w:sz w:val="24"/>
          <w:szCs w:val="24"/>
          <w:highlight w:val="none"/>
          <w:lang w:eastAsia="zh-CN"/>
        </w:rPr>
        <w:t>审。“第五章 评标方法及标准”没有规定的方法、评审因</w:t>
      </w:r>
      <w:r>
        <w:rPr>
          <w:rFonts w:hint="eastAsia" w:ascii="仿宋" w:hAnsi="仿宋" w:eastAsia="仿宋" w:cs="仿宋"/>
          <w:color w:val="auto"/>
          <w:spacing w:val="-2"/>
          <w:sz w:val="24"/>
          <w:szCs w:val="24"/>
          <w:highlight w:val="none"/>
          <w:lang w:eastAsia="zh-CN"/>
        </w:rPr>
        <w:t>素和标准，不作为评</w:t>
      </w:r>
      <w:r>
        <w:rPr>
          <w:rFonts w:hint="eastAsia" w:ascii="仿宋" w:hAnsi="仿宋" w:eastAsia="仿宋" w:cs="仿宋"/>
          <w:color w:val="auto"/>
          <w:spacing w:val="-3"/>
          <w:sz w:val="24"/>
          <w:szCs w:val="24"/>
          <w:highlight w:val="none"/>
          <w:lang w:eastAsia="zh-CN"/>
        </w:rPr>
        <w:t>标依据。</w:t>
      </w:r>
    </w:p>
    <w:p w14:paraId="1F1E69F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29.3 评标委员会按“投标人须知前附表”规定的</w:t>
      </w:r>
      <w:r>
        <w:rPr>
          <w:rFonts w:hint="eastAsia" w:ascii="仿宋" w:hAnsi="仿宋" w:eastAsia="仿宋" w:cs="仿宋"/>
          <w:color w:val="auto"/>
          <w:spacing w:val="-2"/>
          <w:sz w:val="24"/>
          <w:szCs w:val="24"/>
          <w:highlight w:val="none"/>
          <w:lang w:eastAsia="zh-CN"/>
        </w:rPr>
        <w:t>中标候选人数量在评标报告中向采购人推荐中标候选人。</w:t>
      </w:r>
    </w:p>
    <w:p w14:paraId="13C60A5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29.4 开标之后，直到签订合同止，凡是属</w:t>
      </w:r>
      <w:r>
        <w:rPr>
          <w:rFonts w:hint="eastAsia" w:ascii="仿宋" w:hAnsi="仿宋" w:eastAsia="仿宋" w:cs="仿宋"/>
          <w:color w:val="auto"/>
          <w:spacing w:val="-1"/>
          <w:sz w:val="24"/>
          <w:szCs w:val="24"/>
          <w:highlight w:val="none"/>
          <w:lang w:eastAsia="zh-CN"/>
        </w:rPr>
        <w:t>于审查、澄清、评价和比较投标</w:t>
      </w:r>
      <w:r>
        <w:rPr>
          <w:rFonts w:hint="eastAsia" w:ascii="仿宋" w:hAnsi="仿宋" w:eastAsia="仿宋" w:cs="仿宋"/>
          <w:color w:val="auto"/>
          <w:spacing w:val="-2"/>
          <w:sz w:val="24"/>
          <w:szCs w:val="24"/>
          <w:highlight w:val="none"/>
          <w:lang w:eastAsia="zh-CN"/>
        </w:rPr>
        <w:t>的有关资料以及定标意向等，均不得向投标人或者其他与评标无关的人员透露。</w:t>
      </w:r>
    </w:p>
    <w:p w14:paraId="414DA7E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29.5 在确定中标人之前，投标人试图在投</w:t>
      </w:r>
      <w:r>
        <w:rPr>
          <w:rFonts w:hint="eastAsia" w:ascii="仿宋" w:hAnsi="仿宋" w:eastAsia="仿宋" w:cs="仿宋"/>
          <w:color w:val="auto"/>
          <w:spacing w:val="-1"/>
          <w:sz w:val="24"/>
          <w:szCs w:val="24"/>
          <w:highlight w:val="none"/>
          <w:lang w:eastAsia="zh-CN"/>
        </w:rPr>
        <w:t>标文件审查、澄清、比较和评标</w:t>
      </w:r>
      <w:r>
        <w:rPr>
          <w:rFonts w:hint="eastAsia" w:ascii="仿宋" w:hAnsi="仿宋" w:eastAsia="仿宋" w:cs="仿宋"/>
          <w:color w:val="auto"/>
          <w:spacing w:val="-2"/>
          <w:sz w:val="24"/>
          <w:szCs w:val="24"/>
          <w:highlight w:val="none"/>
          <w:lang w:eastAsia="zh-CN"/>
        </w:rPr>
        <w:t>时对评标委员会、采购人和采购代理机构施加任何影响都可能导致其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5C79AE1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29.6电子招投标的应急措施</w:t>
      </w:r>
    </w:p>
    <w:p w14:paraId="0DF17F6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29.6.1电子开标、评标如出现下列原</w:t>
      </w:r>
      <w:r>
        <w:rPr>
          <w:rFonts w:hint="eastAsia" w:ascii="仿宋" w:hAnsi="仿宋" w:eastAsia="仿宋" w:cs="仿宋"/>
          <w:color w:val="auto"/>
          <w:spacing w:val="-2"/>
          <w:sz w:val="24"/>
          <w:szCs w:val="24"/>
          <w:highlight w:val="none"/>
          <w:lang w:eastAsia="zh-CN"/>
        </w:rPr>
        <w:t>因，导致系统无法正常运行或无法正常评标时，应采取应急措施。</w:t>
      </w:r>
    </w:p>
    <w:p w14:paraId="69D6AD3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（1）系统服务器发生故障，无法访问或无法使用系统；</w:t>
      </w:r>
    </w:p>
    <w:p w14:paraId="6318DFA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（2）系统的软件或数据库出现错误，不能进行正常操作；</w:t>
      </w:r>
    </w:p>
    <w:p w14:paraId="714E4AB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（3）系统发现有安全漏洞，有潜在的泄密危险；</w:t>
      </w:r>
    </w:p>
    <w:p w14:paraId="1F12F86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（4）病毒发作或受到外来病毒的攻击；</w:t>
      </w:r>
    </w:p>
    <w:p w14:paraId="1F53971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（5）出现其他不可抗拒的客观原因造成开评标系统无法正常使用。</w:t>
      </w:r>
    </w:p>
    <w:p w14:paraId="22622456">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4"/>
          <w:sz w:val="24"/>
          <w:szCs w:val="24"/>
          <w:highlight w:val="none"/>
          <w:lang w:eastAsia="zh-CN"/>
        </w:rPr>
        <w:t>出现上述情况时，应对未开标的暂停开标。已在系统内开标、评标的立即停</w:t>
      </w:r>
      <w:r>
        <w:rPr>
          <w:rFonts w:hint="eastAsia" w:ascii="仿宋" w:hAnsi="仿宋" w:eastAsia="仿宋" w:cs="仿宋"/>
          <w:color w:val="auto"/>
          <w:spacing w:val="-1"/>
          <w:sz w:val="24"/>
          <w:szCs w:val="24"/>
          <w:highlight w:val="none"/>
          <w:lang w:eastAsia="zh-CN"/>
        </w:rPr>
        <w:t>止。采取应急措施时，必须对原有资料及信息作出妥善保密处理。</w:t>
      </w:r>
    </w:p>
    <w:p w14:paraId="6D110C14">
      <w:pPr>
        <w:widowControl w:val="0"/>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29.6.2因系统原因导致投标人均无法解密电子投标文件时</w:t>
      </w:r>
      <w:r>
        <w:rPr>
          <w:rFonts w:hint="eastAsia" w:ascii="仿宋" w:hAnsi="仿宋" w:eastAsia="仿宋" w:cs="仿宋"/>
          <w:color w:val="auto"/>
          <w:spacing w:val="-2"/>
          <w:sz w:val="24"/>
          <w:szCs w:val="24"/>
          <w:highlight w:val="none"/>
          <w:lang w:eastAsia="zh-CN"/>
        </w:rPr>
        <w:t>，采购代理机构</w:t>
      </w:r>
      <w:r>
        <w:rPr>
          <w:rFonts w:hint="eastAsia" w:ascii="仿宋" w:hAnsi="仿宋" w:eastAsia="仿宋" w:cs="仿宋"/>
          <w:color w:val="auto"/>
          <w:sz w:val="24"/>
          <w:szCs w:val="24"/>
          <w:highlight w:val="none"/>
          <w:lang w:eastAsia="zh-CN"/>
        </w:rPr>
        <w:t>可在开标现场直接导入投标人在投标截止时间前递交的未</w:t>
      </w:r>
      <w:r>
        <w:rPr>
          <w:rFonts w:hint="eastAsia" w:ascii="仿宋" w:hAnsi="仿宋" w:eastAsia="仿宋" w:cs="仿宋"/>
          <w:color w:val="auto"/>
          <w:spacing w:val="-1"/>
          <w:sz w:val="24"/>
          <w:szCs w:val="24"/>
          <w:highlight w:val="none"/>
          <w:lang w:eastAsia="zh-CN"/>
        </w:rPr>
        <w:t>加密的电子投标文件进行开标、评标。</w:t>
      </w:r>
    </w:p>
    <w:p w14:paraId="2D406F5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29.7 投标人瑕疵滞后发现的处理规则</w:t>
      </w:r>
    </w:p>
    <w:p w14:paraId="6FC17B8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29.7.1无论基于何种原因，各项本应作</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处理的情形即便未被及时</w:t>
      </w:r>
      <w:r>
        <w:rPr>
          <w:rFonts w:hint="eastAsia" w:ascii="仿宋" w:hAnsi="仿宋" w:eastAsia="仿宋" w:cs="仿宋"/>
          <w:color w:val="auto"/>
          <w:spacing w:val="-3"/>
          <w:sz w:val="24"/>
          <w:szCs w:val="24"/>
          <w:highlight w:val="none"/>
          <w:lang w:eastAsia="zh-CN"/>
        </w:rPr>
        <w:t>发现而使该投标人进入初审、综合评审或其他后续程序，包括已经签订合同的情形，一旦该投标人的投标作无效投标处理或该投标人的此前评议结果被取消，其</w:t>
      </w:r>
      <w:r>
        <w:rPr>
          <w:rFonts w:hint="eastAsia" w:ascii="仿宋" w:hAnsi="仿宋" w:eastAsia="仿宋" w:cs="仿宋"/>
          <w:color w:val="auto"/>
          <w:sz w:val="24"/>
          <w:szCs w:val="24"/>
          <w:highlight w:val="none"/>
          <w:lang w:eastAsia="zh-CN"/>
        </w:rPr>
        <w:t>现有的位置将被其他投标人依序替代，相关的</w:t>
      </w:r>
      <w:r>
        <w:rPr>
          <w:rFonts w:hint="eastAsia" w:ascii="仿宋" w:hAnsi="仿宋" w:eastAsia="仿宋" w:cs="仿宋"/>
          <w:color w:val="auto"/>
          <w:spacing w:val="-1"/>
          <w:sz w:val="24"/>
          <w:szCs w:val="24"/>
          <w:highlight w:val="none"/>
          <w:lang w:eastAsia="zh-CN"/>
        </w:rPr>
        <w:t>一切损失均由该投标人承担。</w:t>
      </w:r>
    </w:p>
    <w:p w14:paraId="2F605C13">
      <w:pPr>
        <w:spacing w:line="360" w:lineRule="auto"/>
        <w:ind w:left="31" w:right="-27" w:rightChars="-13"/>
        <w:outlineLvl w:val="2"/>
        <w:rPr>
          <w:rFonts w:ascii="仿宋" w:hAnsi="仿宋" w:eastAsia="仿宋" w:cs="仿宋"/>
          <w:color w:val="auto"/>
          <w:sz w:val="24"/>
          <w:szCs w:val="24"/>
          <w:highlight w:val="none"/>
          <w:lang w:eastAsia="zh-CN"/>
        </w:rPr>
      </w:pPr>
      <w:bookmarkStart w:id="166" w:name="bookmark96"/>
      <w:bookmarkEnd w:id="166"/>
      <w:bookmarkStart w:id="167" w:name="bookmark95"/>
      <w:bookmarkEnd w:id="167"/>
      <w:bookmarkStart w:id="168" w:name="_Toc186477721"/>
      <w:bookmarkStart w:id="169" w:name="_Toc7899"/>
      <w:r>
        <w:rPr>
          <w:rFonts w:hint="eastAsia" w:ascii="仿宋" w:hAnsi="仿宋" w:eastAsia="仿宋" w:cs="仿宋"/>
          <w:b/>
          <w:bCs/>
          <w:color w:val="auto"/>
          <w:spacing w:val="-8"/>
          <w:sz w:val="24"/>
          <w:szCs w:val="24"/>
          <w:highlight w:val="none"/>
          <w:lang w:eastAsia="zh-CN"/>
        </w:rPr>
        <w:t>（八）中标</w:t>
      </w:r>
      <w:bookmarkEnd w:id="168"/>
      <w:bookmarkEnd w:id="169"/>
    </w:p>
    <w:p w14:paraId="5526BFE3">
      <w:pPr>
        <w:spacing w:line="360" w:lineRule="auto"/>
        <w:ind w:left="31" w:right="-27" w:rightChars="-13"/>
        <w:outlineLvl w:val="2"/>
        <w:rPr>
          <w:rFonts w:ascii="仿宋" w:hAnsi="仿宋" w:eastAsia="仿宋" w:cs="仿宋"/>
          <w:color w:val="auto"/>
          <w:sz w:val="24"/>
          <w:szCs w:val="24"/>
          <w:highlight w:val="none"/>
          <w:lang w:eastAsia="zh-CN"/>
        </w:rPr>
      </w:pPr>
      <w:bookmarkStart w:id="170" w:name="bookmark98"/>
      <w:bookmarkEnd w:id="170"/>
      <w:bookmarkStart w:id="171" w:name="bookmark97"/>
      <w:bookmarkEnd w:id="171"/>
      <w:bookmarkStart w:id="172" w:name="_Toc186477722"/>
      <w:bookmarkStart w:id="173" w:name="_Toc4180"/>
      <w:r>
        <w:rPr>
          <w:rFonts w:hint="eastAsia" w:ascii="仿宋" w:hAnsi="仿宋" w:eastAsia="仿宋" w:cs="仿宋"/>
          <w:b/>
          <w:bCs/>
          <w:color w:val="auto"/>
          <w:spacing w:val="-5"/>
          <w:sz w:val="24"/>
          <w:szCs w:val="24"/>
          <w:highlight w:val="none"/>
          <w:lang w:eastAsia="zh-CN"/>
        </w:rPr>
        <w:t>30.确定中标人</w:t>
      </w:r>
      <w:bookmarkEnd w:id="172"/>
      <w:bookmarkEnd w:id="173"/>
    </w:p>
    <w:p w14:paraId="7EE6C98E">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30.1采购人将在评标报告确定的中标候选人名单中按顺序确定中标人，中</w:t>
      </w:r>
      <w:r>
        <w:rPr>
          <w:rFonts w:hint="eastAsia" w:ascii="仿宋" w:hAnsi="仿宋" w:eastAsia="仿宋" w:cs="仿宋"/>
          <w:color w:val="auto"/>
          <w:spacing w:val="-3"/>
          <w:sz w:val="24"/>
          <w:szCs w:val="24"/>
          <w:highlight w:val="none"/>
          <w:lang w:eastAsia="zh-CN"/>
        </w:rPr>
        <w:t>标候选人并列的，按照“投标人须知前附表”确定中标人；招标文件未规定的，采取随机抽取的方式确定。采购人是否委托评标委员会直接确定中标人，见“投</w:t>
      </w:r>
      <w:r>
        <w:rPr>
          <w:rFonts w:hint="eastAsia" w:ascii="仿宋" w:hAnsi="仿宋" w:eastAsia="仿宋" w:cs="仿宋"/>
          <w:color w:val="auto"/>
          <w:spacing w:val="-1"/>
          <w:sz w:val="24"/>
          <w:szCs w:val="24"/>
          <w:highlight w:val="none"/>
          <w:lang w:eastAsia="zh-CN"/>
        </w:rPr>
        <w:t>标人须知前附表”。</w:t>
      </w:r>
    </w:p>
    <w:p w14:paraId="3DBCC36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30.2采用综合评分法的采购项目，提供相同品牌产品且通过资格审查、符</w:t>
      </w:r>
      <w:r>
        <w:rPr>
          <w:rFonts w:hint="eastAsia" w:ascii="仿宋" w:hAnsi="仿宋" w:eastAsia="仿宋" w:cs="仿宋"/>
          <w:color w:val="auto"/>
          <w:spacing w:val="-3"/>
          <w:sz w:val="24"/>
          <w:szCs w:val="24"/>
          <w:highlight w:val="none"/>
          <w:lang w:eastAsia="zh-CN"/>
        </w:rPr>
        <w:t>合性审查的不同投标人参加同一合同项下投标的，按一家投标人计算，评审后得分最高的同品牌投标人获得中标人推荐资格；评审得分相同的，由采购人或者采</w:t>
      </w:r>
      <w:r>
        <w:rPr>
          <w:rFonts w:hint="eastAsia" w:ascii="仿宋" w:hAnsi="仿宋" w:eastAsia="仿宋" w:cs="仿宋"/>
          <w:color w:val="auto"/>
          <w:spacing w:val="-4"/>
          <w:sz w:val="24"/>
          <w:szCs w:val="24"/>
          <w:highlight w:val="none"/>
          <w:lang w:eastAsia="zh-CN"/>
        </w:rPr>
        <w:t>购人委托评标委员会按照“投标人须知前附表”规定的方式确定一个投标人获得</w:t>
      </w:r>
      <w:r>
        <w:rPr>
          <w:rFonts w:hint="eastAsia" w:ascii="仿宋" w:hAnsi="仿宋" w:eastAsia="仿宋" w:cs="仿宋"/>
          <w:color w:val="auto"/>
          <w:spacing w:val="-3"/>
          <w:sz w:val="24"/>
          <w:szCs w:val="24"/>
          <w:highlight w:val="none"/>
          <w:lang w:eastAsia="zh-CN"/>
        </w:rPr>
        <w:t>中标人推荐资格，招标文件未规定的采取随机抽取方式确定，其他同品牌投标人</w:t>
      </w:r>
      <w:r>
        <w:rPr>
          <w:rFonts w:hint="eastAsia" w:ascii="仿宋" w:hAnsi="仿宋" w:eastAsia="仿宋" w:cs="仿宋"/>
          <w:color w:val="auto"/>
          <w:spacing w:val="-1"/>
          <w:sz w:val="24"/>
          <w:szCs w:val="24"/>
          <w:highlight w:val="none"/>
          <w:lang w:eastAsia="zh-CN"/>
        </w:rPr>
        <w:t>不作为中标候选人。</w:t>
      </w:r>
    </w:p>
    <w:p w14:paraId="5CF18965">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30.3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招标文件未规定的采取随机抽取方式确定，其他投标无效。</w:t>
      </w:r>
    </w:p>
    <w:p w14:paraId="5499333B">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30.4非单一产品采购项目，采购人应当根据采购项目技术构成、产品价格</w:t>
      </w:r>
      <w:r>
        <w:rPr>
          <w:rFonts w:hint="eastAsia" w:ascii="仿宋" w:hAnsi="仿宋" w:eastAsia="仿宋" w:cs="仿宋"/>
          <w:color w:val="auto"/>
          <w:spacing w:val="-4"/>
          <w:sz w:val="24"/>
          <w:szCs w:val="24"/>
          <w:highlight w:val="none"/>
          <w:lang w:eastAsia="zh-CN"/>
        </w:rPr>
        <w:t>比重等合理确定核心产品，并在“投标人须</w:t>
      </w:r>
      <w:r>
        <w:rPr>
          <w:rFonts w:hint="eastAsia" w:ascii="仿宋" w:hAnsi="仿宋" w:eastAsia="仿宋" w:cs="仿宋"/>
          <w:color w:val="auto"/>
          <w:spacing w:val="-5"/>
          <w:sz w:val="24"/>
          <w:szCs w:val="24"/>
          <w:highlight w:val="none"/>
          <w:lang w:eastAsia="zh-CN"/>
        </w:rPr>
        <w:t>知前附表”中载明。多家投标人提供</w:t>
      </w:r>
      <w:r>
        <w:rPr>
          <w:rFonts w:hint="eastAsia" w:ascii="仿宋" w:hAnsi="仿宋" w:eastAsia="仿宋" w:cs="仿宋"/>
          <w:color w:val="auto"/>
          <w:spacing w:val="-2"/>
          <w:sz w:val="24"/>
          <w:szCs w:val="24"/>
          <w:highlight w:val="none"/>
          <w:lang w:eastAsia="zh-CN"/>
        </w:rPr>
        <w:t>的核心产品品牌相同的，按前两款规定处理。</w:t>
      </w:r>
    </w:p>
    <w:p w14:paraId="11D6C1BC">
      <w:pPr>
        <w:spacing w:line="360" w:lineRule="auto"/>
        <w:ind w:left="31" w:right="-27" w:rightChars="-13"/>
        <w:outlineLvl w:val="2"/>
        <w:rPr>
          <w:rFonts w:ascii="仿宋" w:hAnsi="仿宋" w:eastAsia="仿宋" w:cs="仿宋"/>
          <w:color w:val="auto"/>
          <w:sz w:val="24"/>
          <w:szCs w:val="24"/>
          <w:highlight w:val="none"/>
          <w:lang w:eastAsia="zh-CN"/>
        </w:rPr>
      </w:pPr>
      <w:bookmarkStart w:id="174" w:name="bookmark100"/>
      <w:bookmarkEnd w:id="174"/>
      <w:bookmarkStart w:id="175" w:name="bookmark99"/>
      <w:bookmarkEnd w:id="175"/>
      <w:bookmarkStart w:id="176" w:name="_Toc186477723"/>
      <w:bookmarkStart w:id="177" w:name="_Toc21439"/>
      <w:r>
        <w:rPr>
          <w:rFonts w:hint="eastAsia" w:ascii="仿宋" w:hAnsi="仿宋" w:eastAsia="仿宋" w:cs="仿宋"/>
          <w:b/>
          <w:bCs/>
          <w:color w:val="auto"/>
          <w:spacing w:val="-4"/>
          <w:sz w:val="24"/>
          <w:szCs w:val="24"/>
          <w:highlight w:val="none"/>
          <w:lang w:eastAsia="zh-CN"/>
        </w:rPr>
        <w:t>31.中标结果公告</w:t>
      </w:r>
      <w:bookmarkEnd w:id="176"/>
      <w:bookmarkEnd w:id="177"/>
    </w:p>
    <w:p w14:paraId="0D64F41D">
      <w:pPr>
        <w:widowControl w:val="0"/>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31.1采购人或采购代理机构应当自中标人确定</w:t>
      </w:r>
      <w:r>
        <w:rPr>
          <w:rFonts w:hint="eastAsia" w:ascii="仿宋" w:hAnsi="仿宋" w:eastAsia="仿宋" w:cs="仿宋"/>
          <w:color w:val="auto"/>
          <w:spacing w:val="-2"/>
          <w:sz w:val="24"/>
          <w:szCs w:val="24"/>
          <w:highlight w:val="none"/>
          <w:lang w:eastAsia="zh-CN"/>
        </w:rPr>
        <w:t>之日起2个工作日内，在发</w:t>
      </w:r>
      <w:r>
        <w:rPr>
          <w:rFonts w:hint="eastAsia" w:ascii="仿宋" w:hAnsi="仿宋" w:eastAsia="仿宋" w:cs="仿宋"/>
          <w:color w:val="auto"/>
          <w:spacing w:val="-3"/>
          <w:sz w:val="24"/>
          <w:szCs w:val="24"/>
          <w:highlight w:val="none"/>
          <w:lang w:eastAsia="zh-CN"/>
        </w:rPr>
        <w:t>布招标公告的同一媒体上发布中标结果公告，同时向中标人发出中标通知书。招</w:t>
      </w:r>
      <w:r>
        <w:rPr>
          <w:rFonts w:hint="eastAsia" w:ascii="仿宋" w:hAnsi="仿宋" w:eastAsia="仿宋" w:cs="仿宋"/>
          <w:color w:val="auto"/>
          <w:spacing w:val="-2"/>
          <w:sz w:val="24"/>
          <w:szCs w:val="24"/>
          <w:highlight w:val="none"/>
          <w:lang w:eastAsia="zh-CN"/>
        </w:rPr>
        <w:t>标文件随中标结果同时公告，中标结果公告期限为1个工作日。</w:t>
      </w:r>
    </w:p>
    <w:p w14:paraId="7FFD949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31.2中标人为中小企业享受中小企业扶持政策的，其“中小企业声明函” </w:t>
      </w:r>
      <w:r>
        <w:rPr>
          <w:rFonts w:hint="eastAsia" w:ascii="仿宋" w:hAnsi="仿宋" w:eastAsia="仿宋" w:cs="仿宋"/>
          <w:color w:val="auto"/>
          <w:spacing w:val="-3"/>
          <w:sz w:val="24"/>
          <w:szCs w:val="24"/>
          <w:highlight w:val="none"/>
          <w:lang w:eastAsia="zh-CN"/>
        </w:rPr>
        <w:t>随中标结果同时公告。中标人为残疾人福利性</w:t>
      </w:r>
      <w:r>
        <w:rPr>
          <w:rFonts w:hint="eastAsia" w:ascii="仿宋" w:hAnsi="仿宋" w:eastAsia="仿宋" w:cs="仿宋"/>
          <w:color w:val="auto"/>
          <w:spacing w:val="-4"/>
          <w:sz w:val="24"/>
          <w:szCs w:val="24"/>
          <w:highlight w:val="none"/>
          <w:lang w:eastAsia="zh-CN"/>
        </w:rPr>
        <w:t>单位的，其“残疾人福利性单位声</w:t>
      </w:r>
      <w:r>
        <w:rPr>
          <w:rFonts w:hint="eastAsia" w:ascii="仿宋" w:hAnsi="仿宋" w:eastAsia="仿宋" w:cs="仿宋"/>
          <w:color w:val="auto"/>
          <w:spacing w:val="-5"/>
          <w:sz w:val="24"/>
          <w:szCs w:val="24"/>
          <w:highlight w:val="none"/>
          <w:lang w:eastAsia="zh-CN"/>
        </w:rPr>
        <w:t>明函”随中标结果同时公告。</w:t>
      </w:r>
    </w:p>
    <w:p w14:paraId="18F39BD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31.3项目采购采用最低评标价法的，公告中标结果时同时公告因落实政府</w:t>
      </w:r>
      <w:r>
        <w:rPr>
          <w:rFonts w:hint="eastAsia" w:ascii="仿宋" w:hAnsi="仿宋" w:eastAsia="仿宋" w:cs="仿宋"/>
          <w:color w:val="auto"/>
          <w:spacing w:val="-5"/>
          <w:sz w:val="24"/>
          <w:szCs w:val="24"/>
          <w:highlight w:val="none"/>
          <w:lang w:eastAsia="zh-CN"/>
        </w:rPr>
        <w:t>采购政策等原因进行价格扣除后中标人的评审报价；项目采购采用综合评分法的，</w:t>
      </w:r>
      <w:r>
        <w:rPr>
          <w:rFonts w:hint="eastAsia" w:ascii="仿宋" w:hAnsi="仿宋" w:eastAsia="仿宋" w:cs="仿宋"/>
          <w:color w:val="auto"/>
          <w:spacing w:val="-1"/>
          <w:sz w:val="24"/>
          <w:szCs w:val="24"/>
          <w:highlight w:val="none"/>
          <w:lang w:eastAsia="zh-CN"/>
        </w:rPr>
        <w:t>公告中标结果时同时公告中标供应商的评审总得分。</w:t>
      </w:r>
    </w:p>
    <w:p w14:paraId="008EA2CC">
      <w:pPr>
        <w:spacing w:line="360" w:lineRule="auto"/>
        <w:ind w:left="31" w:right="-27" w:rightChars="-13"/>
        <w:outlineLvl w:val="2"/>
        <w:rPr>
          <w:rFonts w:ascii="仿宋" w:hAnsi="仿宋" w:eastAsia="仿宋" w:cs="仿宋"/>
          <w:color w:val="auto"/>
          <w:sz w:val="24"/>
          <w:szCs w:val="24"/>
          <w:highlight w:val="none"/>
          <w:lang w:eastAsia="zh-CN"/>
        </w:rPr>
      </w:pPr>
      <w:bookmarkStart w:id="178" w:name="bookmark102"/>
      <w:bookmarkEnd w:id="178"/>
      <w:bookmarkStart w:id="179" w:name="bookmark101"/>
      <w:bookmarkEnd w:id="179"/>
      <w:bookmarkStart w:id="180" w:name="_Toc31404"/>
      <w:bookmarkStart w:id="181" w:name="_Toc186477724"/>
      <w:r>
        <w:rPr>
          <w:rFonts w:hint="eastAsia" w:ascii="仿宋" w:hAnsi="仿宋" w:eastAsia="仿宋" w:cs="仿宋"/>
          <w:b/>
          <w:bCs/>
          <w:color w:val="auto"/>
          <w:spacing w:val="-5"/>
          <w:sz w:val="24"/>
          <w:szCs w:val="24"/>
          <w:highlight w:val="none"/>
          <w:lang w:eastAsia="zh-CN"/>
        </w:rPr>
        <w:t>32.中标通知</w:t>
      </w:r>
      <w:bookmarkEnd w:id="180"/>
      <w:bookmarkEnd w:id="181"/>
    </w:p>
    <w:p w14:paraId="047A9E1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32.1采购人和采购代理机构以书面形式向中标人发出中标通知书，同时将</w:t>
      </w:r>
      <w:r>
        <w:rPr>
          <w:rFonts w:hint="eastAsia" w:ascii="仿宋" w:hAnsi="仿宋" w:eastAsia="仿宋" w:cs="仿宋"/>
          <w:color w:val="auto"/>
          <w:spacing w:val="-3"/>
          <w:sz w:val="24"/>
          <w:szCs w:val="24"/>
          <w:highlight w:val="none"/>
          <w:lang w:eastAsia="zh-CN"/>
        </w:rPr>
        <w:t>招标结果通知未中标的投标人。对未通过资格审查的投标人，应当告知其未通过</w:t>
      </w:r>
      <w:r>
        <w:rPr>
          <w:rFonts w:hint="eastAsia" w:ascii="仿宋" w:hAnsi="仿宋" w:eastAsia="仿宋" w:cs="仿宋"/>
          <w:color w:val="auto"/>
          <w:spacing w:val="-2"/>
          <w:sz w:val="24"/>
          <w:szCs w:val="24"/>
          <w:highlight w:val="none"/>
          <w:lang w:eastAsia="zh-CN"/>
        </w:rPr>
        <w:t>的原因；采用综合评分法评审的，还应当告知未中标人本人的评审得分与排序。</w:t>
      </w:r>
    </w:p>
    <w:p w14:paraId="29684E7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32.2中标通知书对采购人和中标人均具有法律效力。中标通知书发出后，采购人改变中标结果的，或者中标人放弃中标</w:t>
      </w:r>
      <w:r>
        <w:rPr>
          <w:rFonts w:hint="eastAsia" w:ascii="仿宋" w:hAnsi="仿宋" w:eastAsia="仿宋" w:cs="仿宋"/>
          <w:color w:val="auto"/>
          <w:spacing w:val="-2"/>
          <w:sz w:val="24"/>
          <w:szCs w:val="24"/>
          <w:highlight w:val="none"/>
          <w:lang w:eastAsia="zh-CN"/>
        </w:rPr>
        <w:t>项目的，应当依法承担法律责任。</w:t>
      </w:r>
    </w:p>
    <w:p w14:paraId="0CBCC692">
      <w:pPr>
        <w:spacing w:line="360" w:lineRule="auto"/>
        <w:ind w:left="31" w:right="-27" w:rightChars="-13"/>
        <w:outlineLvl w:val="2"/>
        <w:rPr>
          <w:rFonts w:ascii="仿宋" w:hAnsi="仿宋" w:eastAsia="仿宋" w:cs="仿宋"/>
          <w:color w:val="auto"/>
          <w:sz w:val="24"/>
          <w:szCs w:val="24"/>
          <w:highlight w:val="none"/>
          <w:lang w:eastAsia="zh-CN"/>
        </w:rPr>
      </w:pPr>
      <w:bookmarkStart w:id="182" w:name="bookmark103"/>
      <w:bookmarkEnd w:id="182"/>
      <w:bookmarkStart w:id="183" w:name="bookmark104"/>
      <w:bookmarkEnd w:id="183"/>
      <w:bookmarkStart w:id="184" w:name="_Toc186477725"/>
      <w:bookmarkStart w:id="185" w:name="_Toc18510"/>
      <w:r>
        <w:rPr>
          <w:rFonts w:hint="eastAsia" w:ascii="仿宋" w:hAnsi="仿宋" w:eastAsia="仿宋" w:cs="仿宋"/>
          <w:b/>
          <w:bCs/>
          <w:color w:val="auto"/>
          <w:spacing w:val="-6"/>
          <w:sz w:val="24"/>
          <w:szCs w:val="24"/>
          <w:highlight w:val="none"/>
          <w:lang w:eastAsia="zh-CN"/>
        </w:rPr>
        <w:t>（九）签订合同</w:t>
      </w:r>
      <w:bookmarkEnd w:id="184"/>
      <w:bookmarkEnd w:id="185"/>
    </w:p>
    <w:p w14:paraId="513828C0">
      <w:pPr>
        <w:spacing w:line="360" w:lineRule="auto"/>
        <w:ind w:left="31" w:right="-27" w:rightChars="-13"/>
        <w:outlineLvl w:val="2"/>
        <w:rPr>
          <w:rFonts w:ascii="仿宋" w:hAnsi="仿宋" w:eastAsia="仿宋" w:cs="仿宋"/>
          <w:color w:val="auto"/>
          <w:sz w:val="24"/>
          <w:szCs w:val="24"/>
          <w:highlight w:val="none"/>
          <w:lang w:eastAsia="zh-CN"/>
        </w:rPr>
      </w:pPr>
      <w:bookmarkStart w:id="186" w:name="bookmark106"/>
      <w:bookmarkEnd w:id="186"/>
      <w:bookmarkStart w:id="187" w:name="bookmark105"/>
      <w:bookmarkEnd w:id="187"/>
      <w:bookmarkStart w:id="188" w:name="_Toc5721"/>
      <w:bookmarkStart w:id="189" w:name="_Toc186477726"/>
      <w:r>
        <w:rPr>
          <w:rFonts w:hint="eastAsia" w:ascii="仿宋" w:hAnsi="仿宋" w:eastAsia="仿宋" w:cs="仿宋"/>
          <w:b/>
          <w:bCs/>
          <w:color w:val="auto"/>
          <w:spacing w:val="-5"/>
          <w:sz w:val="24"/>
          <w:szCs w:val="24"/>
          <w:highlight w:val="none"/>
          <w:lang w:eastAsia="zh-CN"/>
        </w:rPr>
        <w:t>33.履约保证金</w:t>
      </w:r>
      <w:bookmarkEnd w:id="188"/>
      <w:bookmarkEnd w:id="189"/>
    </w:p>
    <w:p w14:paraId="33BBF8E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33.1在签订合同前，中标人应按“投标人须知前附表”规定的金额、担保</w:t>
      </w:r>
      <w:r>
        <w:rPr>
          <w:rFonts w:hint="eastAsia" w:ascii="仿宋" w:hAnsi="仿宋" w:eastAsia="仿宋" w:cs="仿宋"/>
          <w:color w:val="auto"/>
          <w:spacing w:val="-1"/>
          <w:sz w:val="24"/>
          <w:szCs w:val="24"/>
          <w:highlight w:val="none"/>
          <w:lang w:eastAsia="zh-CN"/>
        </w:rPr>
        <w:t>形式和采购人认可的履约担保格式向采购人提交履约保证金。</w:t>
      </w:r>
    </w:p>
    <w:p w14:paraId="5007E40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33.2中标人不能按本章第33.1项要求提交履约担保的，视为放弃中标，给</w:t>
      </w:r>
      <w:r>
        <w:rPr>
          <w:rFonts w:hint="eastAsia" w:ascii="仿宋" w:hAnsi="仿宋" w:eastAsia="仿宋" w:cs="仿宋"/>
          <w:color w:val="auto"/>
          <w:spacing w:val="-1"/>
          <w:sz w:val="24"/>
          <w:szCs w:val="24"/>
          <w:highlight w:val="none"/>
          <w:lang w:eastAsia="zh-CN"/>
        </w:rPr>
        <w:t>采购人造成损失的，中标人还应当承担民事责任。</w:t>
      </w:r>
    </w:p>
    <w:p w14:paraId="02C310BF">
      <w:pPr>
        <w:spacing w:line="360" w:lineRule="auto"/>
        <w:ind w:left="31" w:right="-27" w:rightChars="-13"/>
        <w:outlineLvl w:val="2"/>
        <w:rPr>
          <w:rFonts w:ascii="仿宋" w:hAnsi="仿宋" w:eastAsia="仿宋" w:cs="仿宋"/>
          <w:color w:val="auto"/>
          <w:sz w:val="24"/>
          <w:szCs w:val="24"/>
          <w:highlight w:val="none"/>
          <w:lang w:eastAsia="zh-CN"/>
        </w:rPr>
      </w:pPr>
      <w:bookmarkStart w:id="190" w:name="bookmark107"/>
      <w:bookmarkEnd w:id="190"/>
      <w:bookmarkStart w:id="191" w:name="bookmark108"/>
      <w:bookmarkEnd w:id="191"/>
      <w:bookmarkStart w:id="192" w:name="_Toc19664"/>
      <w:bookmarkStart w:id="193" w:name="_Toc186477727"/>
      <w:r>
        <w:rPr>
          <w:rFonts w:hint="eastAsia" w:ascii="仿宋" w:hAnsi="仿宋" w:eastAsia="仿宋" w:cs="仿宋"/>
          <w:b/>
          <w:bCs/>
          <w:color w:val="auto"/>
          <w:spacing w:val="-5"/>
          <w:sz w:val="24"/>
          <w:szCs w:val="24"/>
          <w:highlight w:val="none"/>
          <w:lang w:eastAsia="zh-CN"/>
        </w:rPr>
        <w:t>34.签订合同</w:t>
      </w:r>
      <w:bookmarkEnd w:id="192"/>
      <w:bookmarkEnd w:id="193"/>
    </w:p>
    <w:p w14:paraId="3BAFD50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34.1 采购人和中标人应当自中标通知书发出之日起30天内，根据招标文件</w:t>
      </w:r>
      <w:r>
        <w:rPr>
          <w:rFonts w:hint="eastAsia" w:ascii="仿宋" w:hAnsi="仿宋" w:eastAsia="仿宋" w:cs="仿宋"/>
          <w:color w:val="auto"/>
          <w:spacing w:val="-3"/>
          <w:sz w:val="24"/>
          <w:szCs w:val="24"/>
          <w:highlight w:val="none"/>
          <w:lang w:eastAsia="zh-CN"/>
        </w:rPr>
        <w:t>和中标人的投标文件订立书面合同。采购人因不可抗力原因迟延签订合同的，应</w:t>
      </w:r>
      <w:r>
        <w:rPr>
          <w:rFonts w:hint="eastAsia" w:ascii="仿宋" w:hAnsi="仿宋" w:eastAsia="仿宋" w:cs="仿宋"/>
          <w:color w:val="auto"/>
          <w:spacing w:val="-5"/>
          <w:sz w:val="24"/>
          <w:szCs w:val="24"/>
          <w:highlight w:val="none"/>
          <w:lang w:eastAsia="zh-CN"/>
        </w:rPr>
        <w:t>当自不可抗力事由消除之日起7 日内完成合同签订事宜。所签订的合同不得对招</w:t>
      </w:r>
      <w:r>
        <w:rPr>
          <w:rFonts w:hint="eastAsia" w:ascii="仿宋" w:hAnsi="仿宋" w:eastAsia="仿宋" w:cs="仿宋"/>
          <w:color w:val="auto"/>
          <w:spacing w:val="-3"/>
          <w:sz w:val="24"/>
          <w:szCs w:val="24"/>
          <w:highlight w:val="none"/>
          <w:lang w:eastAsia="zh-CN"/>
        </w:rPr>
        <w:t>标文件和中标人投标文件作实质性修改。中标人无正当理由拒签合同，给采购人</w:t>
      </w:r>
      <w:r>
        <w:rPr>
          <w:rFonts w:hint="eastAsia" w:ascii="仿宋" w:hAnsi="仿宋" w:eastAsia="仿宋" w:cs="仿宋"/>
          <w:color w:val="auto"/>
          <w:spacing w:val="-1"/>
          <w:sz w:val="24"/>
          <w:szCs w:val="24"/>
          <w:highlight w:val="none"/>
          <w:lang w:eastAsia="zh-CN"/>
        </w:rPr>
        <w:t>造成损失的，中标人还应当承担民事责任。</w:t>
      </w:r>
    </w:p>
    <w:p w14:paraId="7205F0D5">
      <w:pPr>
        <w:spacing w:line="360" w:lineRule="auto"/>
        <w:ind w:left="31" w:right="-27" w:rightChars="-13"/>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34.2中标人拒绝与采购人签订合同的，采购人可以按照评标报告推荐的中标候选人名单排序，确定下一候选人为中标人，也可以重新开展政府采购活动。</w:t>
      </w:r>
    </w:p>
    <w:p w14:paraId="7465FB0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34.3 采购人和中标人不得向对方提出</w:t>
      </w:r>
      <w:r>
        <w:rPr>
          <w:rFonts w:hint="eastAsia" w:ascii="仿宋" w:hAnsi="仿宋" w:eastAsia="仿宋" w:cs="仿宋"/>
          <w:color w:val="auto"/>
          <w:spacing w:val="-1"/>
          <w:sz w:val="24"/>
          <w:szCs w:val="24"/>
          <w:highlight w:val="none"/>
          <w:lang w:eastAsia="zh-CN"/>
        </w:rPr>
        <w:t>任何不合理的要求，作为签订合同的条件，双方不得私下订立背离合同实质性内容的协议。</w:t>
      </w:r>
    </w:p>
    <w:p w14:paraId="27A919E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34.4 联合体中标的，联合体各方应当</w:t>
      </w:r>
      <w:r>
        <w:rPr>
          <w:rFonts w:hint="eastAsia" w:ascii="仿宋" w:hAnsi="仿宋" w:eastAsia="仿宋" w:cs="仿宋"/>
          <w:color w:val="auto"/>
          <w:spacing w:val="-1"/>
          <w:sz w:val="24"/>
          <w:szCs w:val="24"/>
          <w:highlight w:val="none"/>
          <w:lang w:eastAsia="zh-CN"/>
        </w:rPr>
        <w:t>共同与采购人签订合同，就采购合同约定的事项向采购人承担连带责任。</w:t>
      </w:r>
    </w:p>
    <w:p w14:paraId="63909FA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34.5 本项目的非主体、非关键性工作</w:t>
      </w:r>
      <w:r>
        <w:rPr>
          <w:rFonts w:hint="eastAsia" w:ascii="仿宋" w:hAnsi="仿宋" w:eastAsia="仿宋" w:cs="仿宋"/>
          <w:color w:val="auto"/>
          <w:spacing w:val="-1"/>
          <w:sz w:val="24"/>
          <w:szCs w:val="24"/>
          <w:highlight w:val="none"/>
          <w:lang w:eastAsia="zh-CN"/>
        </w:rPr>
        <w:t>是否允许分包，见“投标人须知前附</w:t>
      </w:r>
      <w:r>
        <w:rPr>
          <w:rFonts w:hint="eastAsia" w:ascii="仿宋" w:hAnsi="仿宋" w:eastAsia="仿宋" w:cs="仿宋"/>
          <w:color w:val="auto"/>
          <w:spacing w:val="-4"/>
          <w:sz w:val="24"/>
          <w:szCs w:val="24"/>
          <w:highlight w:val="none"/>
          <w:lang w:eastAsia="zh-CN"/>
        </w:rPr>
        <w:t>表”。采购人允许采用分包方式履行合同的，中标人可以依法在中标后将中标项</w:t>
      </w:r>
      <w:r>
        <w:rPr>
          <w:rFonts w:hint="eastAsia" w:ascii="仿宋" w:hAnsi="仿宋" w:eastAsia="仿宋" w:cs="仿宋"/>
          <w:color w:val="auto"/>
          <w:spacing w:val="-2"/>
          <w:sz w:val="24"/>
          <w:szCs w:val="24"/>
          <w:highlight w:val="none"/>
          <w:lang w:eastAsia="zh-CN"/>
        </w:rPr>
        <w:t>目的非主体、非关键性工作采取分包方式履行合同。政府采购合同分包履行的，</w:t>
      </w:r>
      <w:r>
        <w:rPr>
          <w:rFonts w:hint="eastAsia" w:ascii="仿宋" w:hAnsi="仿宋" w:eastAsia="仿宋" w:cs="仿宋"/>
          <w:color w:val="auto"/>
          <w:spacing w:val="-3"/>
          <w:sz w:val="24"/>
          <w:szCs w:val="24"/>
          <w:highlight w:val="none"/>
          <w:lang w:eastAsia="zh-CN"/>
        </w:rPr>
        <w:t>应当在投标文件中载明分包承担主体，分包承担主体应当具备相应资质条件且不得再次分包，否则</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。中标人就采购项目和分包项目</w:t>
      </w:r>
      <w:r>
        <w:rPr>
          <w:rFonts w:hint="eastAsia" w:ascii="仿宋" w:hAnsi="仿宋" w:eastAsia="仿宋" w:cs="仿宋"/>
          <w:color w:val="auto"/>
          <w:spacing w:val="-4"/>
          <w:sz w:val="24"/>
          <w:szCs w:val="24"/>
          <w:highlight w:val="none"/>
          <w:lang w:eastAsia="zh-CN"/>
        </w:rPr>
        <w:t>向采购人负责，分包</w:t>
      </w:r>
      <w:r>
        <w:rPr>
          <w:rFonts w:hint="eastAsia" w:ascii="仿宋" w:hAnsi="仿宋" w:eastAsia="仿宋" w:cs="仿宋"/>
          <w:color w:val="auto"/>
          <w:spacing w:val="-1"/>
          <w:sz w:val="24"/>
          <w:szCs w:val="24"/>
          <w:highlight w:val="none"/>
          <w:lang w:eastAsia="zh-CN"/>
        </w:rPr>
        <w:t>供应商就分包项目承担责任。</w:t>
      </w:r>
      <w:r>
        <w:rPr>
          <w:rFonts w:hint="eastAsia" w:ascii="仿宋" w:hAnsi="仿宋" w:eastAsia="仿宋" w:cs="仿宋"/>
          <w:b/>
          <w:bCs/>
          <w:color w:val="auto"/>
          <w:spacing w:val="-1"/>
          <w:sz w:val="24"/>
          <w:szCs w:val="24"/>
          <w:highlight w:val="none"/>
          <w:lang w:eastAsia="zh-CN"/>
        </w:rPr>
        <w:t>政府采购合同不</w:t>
      </w:r>
      <w:r>
        <w:rPr>
          <w:rFonts w:hint="eastAsia" w:ascii="仿宋" w:hAnsi="仿宋" w:eastAsia="仿宋" w:cs="仿宋"/>
          <w:b/>
          <w:bCs/>
          <w:color w:val="auto"/>
          <w:spacing w:val="-2"/>
          <w:sz w:val="24"/>
          <w:szCs w:val="24"/>
          <w:highlight w:val="none"/>
          <w:lang w:eastAsia="zh-CN"/>
        </w:rPr>
        <w:t>能转包。</w:t>
      </w:r>
    </w:p>
    <w:p w14:paraId="7054418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34.6采购合同履行中，采购人需追加与合同标的相同的货物、工程或者服</w:t>
      </w:r>
      <w:r>
        <w:rPr>
          <w:rFonts w:hint="eastAsia" w:ascii="仿宋" w:hAnsi="仿宋" w:eastAsia="仿宋" w:cs="仿宋"/>
          <w:color w:val="auto"/>
          <w:spacing w:val="-3"/>
          <w:sz w:val="24"/>
          <w:szCs w:val="24"/>
          <w:highlight w:val="none"/>
          <w:lang w:eastAsia="zh-CN"/>
        </w:rPr>
        <w:t>务的，在不改变合同其他条款的前提下，可以与中标人协商签订补充合同，但所</w:t>
      </w:r>
      <w:r>
        <w:rPr>
          <w:rFonts w:hint="eastAsia" w:ascii="仿宋" w:hAnsi="仿宋" w:eastAsia="仿宋" w:cs="仿宋"/>
          <w:color w:val="auto"/>
          <w:spacing w:val="-1"/>
          <w:sz w:val="24"/>
          <w:szCs w:val="24"/>
          <w:highlight w:val="none"/>
          <w:lang w:eastAsia="zh-CN"/>
        </w:rPr>
        <w:t>有补充合同的采购金额不得超过原合同采购金额的百分之十。</w:t>
      </w:r>
    </w:p>
    <w:p w14:paraId="53E8CA7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34.7 采购人应于签订合同之日起2个工作日内在政采云平台备案</w:t>
      </w:r>
      <w:r>
        <w:rPr>
          <w:rFonts w:hint="eastAsia" w:ascii="仿宋" w:hAnsi="仿宋" w:eastAsia="仿宋" w:cs="仿宋"/>
          <w:color w:val="auto"/>
          <w:spacing w:val="-2"/>
          <w:sz w:val="24"/>
          <w:szCs w:val="24"/>
          <w:highlight w:val="none"/>
          <w:lang w:eastAsia="zh-CN"/>
        </w:rPr>
        <w:t>公示。</w:t>
      </w:r>
    </w:p>
    <w:p w14:paraId="23CDA372">
      <w:pPr>
        <w:spacing w:line="360" w:lineRule="auto"/>
        <w:ind w:left="31" w:right="-27" w:rightChars="-13"/>
        <w:outlineLvl w:val="2"/>
        <w:rPr>
          <w:rFonts w:ascii="仿宋" w:hAnsi="仿宋" w:eastAsia="仿宋" w:cs="仿宋"/>
          <w:color w:val="auto"/>
          <w:sz w:val="24"/>
          <w:szCs w:val="24"/>
          <w:highlight w:val="none"/>
          <w:lang w:eastAsia="zh-CN"/>
        </w:rPr>
      </w:pPr>
      <w:bookmarkStart w:id="194" w:name="bookmark110"/>
      <w:bookmarkEnd w:id="194"/>
      <w:bookmarkStart w:id="195" w:name="bookmark109"/>
      <w:bookmarkEnd w:id="195"/>
      <w:bookmarkStart w:id="196" w:name="_Toc14163"/>
      <w:bookmarkStart w:id="197" w:name="_Toc186477728"/>
      <w:r>
        <w:rPr>
          <w:rFonts w:hint="eastAsia" w:ascii="仿宋" w:hAnsi="仿宋" w:eastAsia="仿宋" w:cs="仿宋"/>
          <w:b/>
          <w:bCs/>
          <w:color w:val="auto"/>
          <w:spacing w:val="-6"/>
          <w:sz w:val="24"/>
          <w:szCs w:val="24"/>
          <w:highlight w:val="none"/>
          <w:lang w:eastAsia="zh-CN"/>
        </w:rPr>
        <w:t>（十）质疑和投诉</w:t>
      </w:r>
      <w:bookmarkEnd w:id="196"/>
      <w:bookmarkEnd w:id="197"/>
    </w:p>
    <w:p w14:paraId="088F3CEB">
      <w:pPr>
        <w:spacing w:line="360" w:lineRule="auto"/>
        <w:ind w:left="31" w:right="-27" w:rightChars="-13"/>
        <w:outlineLvl w:val="2"/>
        <w:rPr>
          <w:rFonts w:ascii="仿宋" w:hAnsi="仿宋" w:eastAsia="仿宋" w:cs="仿宋"/>
          <w:color w:val="auto"/>
          <w:sz w:val="24"/>
          <w:szCs w:val="24"/>
          <w:highlight w:val="none"/>
          <w:lang w:eastAsia="zh-CN"/>
        </w:rPr>
      </w:pPr>
      <w:bookmarkStart w:id="198" w:name="bookmark111"/>
      <w:bookmarkEnd w:id="198"/>
      <w:bookmarkStart w:id="199" w:name="bookmark112"/>
      <w:bookmarkEnd w:id="199"/>
      <w:bookmarkStart w:id="200" w:name="_Toc16133"/>
      <w:bookmarkStart w:id="201" w:name="_Toc186477729"/>
      <w:r>
        <w:rPr>
          <w:rFonts w:hint="eastAsia" w:ascii="仿宋" w:hAnsi="仿宋" w:eastAsia="仿宋" w:cs="仿宋"/>
          <w:b/>
          <w:bCs/>
          <w:color w:val="auto"/>
          <w:spacing w:val="-6"/>
          <w:sz w:val="24"/>
          <w:szCs w:val="24"/>
          <w:highlight w:val="none"/>
          <w:lang w:eastAsia="zh-CN"/>
        </w:rPr>
        <w:t>35.质疑</w:t>
      </w:r>
      <w:bookmarkEnd w:id="200"/>
      <w:bookmarkEnd w:id="201"/>
    </w:p>
    <w:p w14:paraId="3E4E6B6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35.1供应商认为采购文件、采购过程、中标结果使自己的权益受到损害的，</w:t>
      </w:r>
      <w:r>
        <w:rPr>
          <w:rFonts w:hint="eastAsia" w:ascii="仿宋" w:hAnsi="仿宋" w:eastAsia="仿宋" w:cs="仿宋"/>
          <w:color w:val="auto"/>
          <w:spacing w:val="-5"/>
          <w:sz w:val="24"/>
          <w:szCs w:val="24"/>
          <w:highlight w:val="none"/>
          <w:lang w:eastAsia="zh-CN"/>
        </w:rPr>
        <w:t>可以在知道或者应知其权益受到损害之日起7个工作日内，以书面形式向采购人、</w:t>
      </w:r>
      <w:r>
        <w:rPr>
          <w:rFonts w:hint="eastAsia" w:ascii="仿宋" w:hAnsi="仿宋" w:eastAsia="仿宋" w:cs="仿宋"/>
          <w:color w:val="auto"/>
          <w:spacing w:val="-4"/>
          <w:sz w:val="24"/>
          <w:szCs w:val="24"/>
          <w:highlight w:val="none"/>
          <w:lang w:eastAsia="zh-CN"/>
        </w:rPr>
        <w:t>采购代理机构提出质疑，详见“投标人须知前附表”。供应商在法定质疑期内一</w:t>
      </w:r>
      <w:r>
        <w:rPr>
          <w:rFonts w:hint="eastAsia" w:ascii="仿宋" w:hAnsi="仿宋" w:eastAsia="仿宋" w:cs="仿宋"/>
          <w:color w:val="auto"/>
          <w:spacing w:val="-1"/>
          <w:sz w:val="24"/>
          <w:szCs w:val="24"/>
          <w:highlight w:val="none"/>
          <w:lang w:eastAsia="zh-CN"/>
        </w:rPr>
        <w:t>次性提出针对同一采购程序环节的质疑。</w:t>
      </w:r>
    </w:p>
    <w:p w14:paraId="515718F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35.2提出质疑的供应商（以下简称质疑供应商）应当是参与所质疑项目采购活动的供应商。</w:t>
      </w:r>
    </w:p>
    <w:p w14:paraId="63D17B8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35.3潜在供应商已依法获取其可质疑的采购文件的，可以对该文件提出质</w:t>
      </w:r>
      <w:r>
        <w:rPr>
          <w:rFonts w:hint="eastAsia" w:ascii="仿宋" w:hAnsi="仿宋" w:eastAsia="仿宋" w:cs="仿宋"/>
          <w:color w:val="auto"/>
          <w:spacing w:val="-3"/>
          <w:sz w:val="24"/>
          <w:szCs w:val="24"/>
          <w:highlight w:val="none"/>
          <w:lang w:eastAsia="zh-CN"/>
        </w:rPr>
        <w:t>疑。对采购文件提出质疑的，应当在获取采购文件或者采购文件公告期限届</w:t>
      </w:r>
      <w:r>
        <w:rPr>
          <w:rFonts w:hint="eastAsia" w:ascii="仿宋" w:hAnsi="仿宋" w:eastAsia="仿宋" w:cs="仿宋"/>
          <w:color w:val="auto"/>
          <w:spacing w:val="-4"/>
          <w:sz w:val="24"/>
          <w:szCs w:val="24"/>
          <w:highlight w:val="none"/>
          <w:lang w:eastAsia="zh-CN"/>
        </w:rPr>
        <w:t>满之日起7个工作日内提出。</w:t>
      </w:r>
    </w:p>
    <w:p w14:paraId="6B68C04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35.4供应商提出质疑应当提交质疑函和必要的证明材料。质疑函应当包括</w:t>
      </w:r>
      <w:r>
        <w:rPr>
          <w:rFonts w:hint="eastAsia" w:ascii="仿宋" w:hAnsi="仿宋" w:eastAsia="仿宋" w:cs="仿宋"/>
          <w:color w:val="auto"/>
          <w:spacing w:val="-4"/>
          <w:sz w:val="24"/>
          <w:szCs w:val="24"/>
          <w:highlight w:val="none"/>
          <w:lang w:eastAsia="zh-CN"/>
        </w:rPr>
        <w:t>下列内容：</w:t>
      </w:r>
    </w:p>
    <w:p w14:paraId="1635635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（1）供应商的姓名或者名称、地址、邮编、联系人及联系电话；</w:t>
      </w:r>
    </w:p>
    <w:p w14:paraId="62CC3BF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（2）质疑项目的名称、编号；</w:t>
      </w:r>
    </w:p>
    <w:p w14:paraId="0B3C36C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（3）具体、明确的质疑事项和与质疑事项相关的请求；</w:t>
      </w:r>
    </w:p>
    <w:p w14:paraId="7B109B9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（4）事实依据；</w:t>
      </w:r>
    </w:p>
    <w:p w14:paraId="1AF97E1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（5）必要的法律依据；</w:t>
      </w:r>
    </w:p>
    <w:p w14:paraId="6EEACDE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（6）提出质疑的日期。</w:t>
      </w:r>
    </w:p>
    <w:p w14:paraId="2074133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供应商为自然人的，应当由本人签字；供应商为法人或者其他组</w:t>
      </w:r>
      <w:r>
        <w:rPr>
          <w:rFonts w:hint="eastAsia" w:ascii="仿宋" w:hAnsi="仿宋" w:eastAsia="仿宋" w:cs="仿宋"/>
          <w:color w:val="auto"/>
          <w:spacing w:val="-4"/>
          <w:sz w:val="24"/>
          <w:szCs w:val="24"/>
          <w:highlight w:val="none"/>
          <w:lang w:eastAsia="zh-CN"/>
        </w:rPr>
        <w:t>织的，应当</w:t>
      </w:r>
      <w:r>
        <w:rPr>
          <w:rFonts w:hint="eastAsia" w:ascii="仿宋" w:hAnsi="仿宋" w:eastAsia="仿宋" w:cs="仿宋"/>
          <w:color w:val="auto"/>
          <w:spacing w:val="-1"/>
          <w:sz w:val="24"/>
          <w:szCs w:val="24"/>
          <w:highlight w:val="none"/>
          <w:lang w:eastAsia="zh-CN"/>
        </w:rPr>
        <w:t>由法定代表人、主要负责人，或者其授权代表签字或者盖章</w:t>
      </w:r>
      <w:r>
        <w:rPr>
          <w:rFonts w:hint="eastAsia" w:ascii="仿宋" w:hAnsi="仿宋" w:eastAsia="仿宋" w:cs="仿宋"/>
          <w:color w:val="auto"/>
          <w:spacing w:val="-2"/>
          <w:sz w:val="24"/>
          <w:szCs w:val="24"/>
          <w:highlight w:val="none"/>
          <w:lang w:eastAsia="zh-CN"/>
        </w:rPr>
        <w:t>，并加盖公章。</w:t>
      </w:r>
    </w:p>
    <w:p w14:paraId="6DBB8F3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35.5质疑函不符合上述要求的，采购人或代理机构应书面告知具体事项，</w:t>
      </w:r>
      <w:r>
        <w:rPr>
          <w:rFonts w:hint="eastAsia" w:ascii="仿宋" w:hAnsi="仿宋" w:eastAsia="仿宋" w:cs="仿宋"/>
          <w:color w:val="auto"/>
          <w:spacing w:val="-1"/>
          <w:sz w:val="24"/>
          <w:szCs w:val="24"/>
          <w:highlight w:val="none"/>
          <w:lang w:eastAsia="zh-CN"/>
        </w:rPr>
        <w:t>质疑人应当按要求进行修改或补充，并在质疑有效期限内提交。</w:t>
      </w:r>
    </w:p>
    <w:p w14:paraId="743FB4A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35.6投标人进行虚假和恶意质疑投诉的，采购代理机构将提请有关部门将</w:t>
      </w:r>
      <w:r>
        <w:rPr>
          <w:rFonts w:hint="eastAsia" w:ascii="仿宋" w:hAnsi="仿宋" w:eastAsia="仿宋" w:cs="仿宋"/>
          <w:color w:val="auto"/>
          <w:spacing w:val="-3"/>
          <w:sz w:val="24"/>
          <w:szCs w:val="24"/>
          <w:highlight w:val="none"/>
          <w:lang w:eastAsia="zh-CN"/>
        </w:rPr>
        <w:t>其列入不良记录名单，在一至三年内禁止参加政府采购活动，并将处理决定在相</w:t>
      </w:r>
      <w:r>
        <w:rPr>
          <w:rFonts w:hint="eastAsia" w:ascii="仿宋" w:hAnsi="仿宋" w:eastAsia="仿宋" w:cs="仿宋"/>
          <w:color w:val="auto"/>
          <w:spacing w:val="-1"/>
          <w:sz w:val="24"/>
          <w:szCs w:val="24"/>
          <w:highlight w:val="none"/>
          <w:lang w:eastAsia="zh-CN"/>
        </w:rPr>
        <w:t>关政府采购媒体上公布。</w:t>
      </w:r>
    </w:p>
    <w:p w14:paraId="00590C9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35.7质疑函应当使用中文，并采用财政部门制定的范本。</w:t>
      </w:r>
    </w:p>
    <w:p w14:paraId="77DC6004">
      <w:pPr>
        <w:spacing w:line="360" w:lineRule="auto"/>
        <w:ind w:left="31" w:right="-27" w:rightChars="-13"/>
        <w:outlineLvl w:val="2"/>
        <w:rPr>
          <w:rFonts w:ascii="仿宋" w:hAnsi="仿宋" w:eastAsia="仿宋" w:cs="仿宋"/>
          <w:color w:val="auto"/>
          <w:sz w:val="24"/>
          <w:szCs w:val="24"/>
          <w:highlight w:val="none"/>
          <w:lang w:eastAsia="zh-CN"/>
        </w:rPr>
      </w:pPr>
      <w:bookmarkStart w:id="202" w:name="bookmark113"/>
      <w:bookmarkEnd w:id="202"/>
      <w:bookmarkStart w:id="203" w:name="bookmark114"/>
      <w:bookmarkEnd w:id="203"/>
      <w:bookmarkStart w:id="204" w:name="_Toc16242"/>
      <w:bookmarkStart w:id="205" w:name="_Toc186477730"/>
      <w:r>
        <w:rPr>
          <w:rFonts w:hint="eastAsia" w:ascii="仿宋" w:hAnsi="仿宋" w:eastAsia="仿宋" w:cs="仿宋"/>
          <w:b/>
          <w:bCs/>
          <w:color w:val="auto"/>
          <w:spacing w:val="-5"/>
          <w:sz w:val="24"/>
          <w:szCs w:val="24"/>
          <w:highlight w:val="none"/>
          <w:lang w:eastAsia="zh-CN"/>
        </w:rPr>
        <w:t>36.质疑答复</w:t>
      </w:r>
      <w:bookmarkEnd w:id="204"/>
      <w:bookmarkEnd w:id="205"/>
    </w:p>
    <w:p w14:paraId="192064F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36.1采购人、采购代理机构不得拒收质疑供应商在法定质疑期内发出的质</w:t>
      </w:r>
      <w:r>
        <w:rPr>
          <w:rFonts w:hint="eastAsia" w:ascii="仿宋" w:hAnsi="仿宋" w:eastAsia="仿宋" w:cs="仿宋"/>
          <w:color w:val="auto"/>
          <w:spacing w:val="-4"/>
          <w:sz w:val="24"/>
          <w:szCs w:val="24"/>
          <w:highlight w:val="none"/>
          <w:lang w:eastAsia="zh-CN"/>
        </w:rPr>
        <w:t>疑函，应当在收到质疑函后7个工作日内作出答复，并以书面形式通知质疑供应</w:t>
      </w:r>
      <w:r>
        <w:rPr>
          <w:rFonts w:hint="eastAsia" w:ascii="仿宋" w:hAnsi="仿宋" w:eastAsia="仿宋" w:cs="仿宋"/>
          <w:color w:val="auto"/>
          <w:spacing w:val="-2"/>
          <w:sz w:val="24"/>
          <w:szCs w:val="24"/>
          <w:highlight w:val="none"/>
          <w:lang w:eastAsia="zh-CN"/>
        </w:rPr>
        <w:t>商和其他有关供应商。</w:t>
      </w:r>
    </w:p>
    <w:p w14:paraId="3CE6D6F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36.2供应商对评审过程、中标结果提出质疑的，采购人、采购代理机构可</w:t>
      </w:r>
      <w:bookmarkStart w:id="206" w:name="bookmark116"/>
      <w:bookmarkEnd w:id="206"/>
      <w:r>
        <w:rPr>
          <w:rFonts w:hint="eastAsia" w:ascii="仿宋" w:hAnsi="仿宋" w:eastAsia="仿宋" w:cs="仿宋"/>
          <w:color w:val="auto"/>
          <w:spacing w:val="-3"/>
          <w:sz w:val="24"/>
          <w:szCs w:val="24"/>
          <w:highlight w:val="none"/>
          <w:lang w:eastAsia="zh-CN"/>
        </w:rPr>
        <w:t>以组织原评标委员会协助答复质疑。</w:t>
      </w:r>
    </w:p>
    <w:p w14:paraId="3F5C8DD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质疑答复应当包括下列内容：</w:t>
      </w:r>
    </w:p>
    <w:p w14:paraId="6DB3283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（1）质疑供应商的姓名或者名称；</w:t>
      </w:r>
    </w:p>
    <w:p w14:paraId="3F21901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（2）收到质疑函的日期、质疑项目名称及编号；</w:t>
      </w:r>
    </w:p>
    <w:p w14:paraId="4248BEA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（3）质疑事项、质疑答复的具体内容、事实依据和法律依据；</w:t>
      </w:r>
    </w:p>
    <w:p w14:paraId="582693C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（4）告知质疑供应商依法投诉的权利；</w:t>
      </w:r>
    </w:p>
    <w:p w14:paraId="1F002A2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（5）质疑答复人名称；</w:t>
      </w:r>
    </w:p>
    <w:p w14:paraId="67C3EB2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（6）答复质疑的日期。</w:t>
      </w:r>
    </w:p>
    <w:p w14:paraId="3BFD165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质疑答复的内容不得涉及商业秘密。</w:t>
      </w:r>
    </w:p>
    <w:p w14:paraId="6931C316">
      <w:pPr>
        <w:spacing w:line="360" w:lineRule="auto"/>
        <w:ind w:left="31" w:right="-27" w:rightChars="-13"/>
        <w:outlineLvl w:val="3"/>
        <w:rPr>
          <w:rFonts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37.投诉</w:t>
      </w:r>
    </w:p>
    <w:p w14:paraId="79252CB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37.1质疑供应商对采购人、采购代理机构的答复不满意，或者采购人、采购代理机构未在规定时间内作出答复的，可以在答复期满</w:t>
      </w:r>
      <w:r>
        <w:rPr>
          <w:rFonts w:hint="eastAsia" w:ascii="仿宋" w:hAnsi="仿宋" w:eastAsia="仿宋" w:cs="仿宋"/>
          <w:color w:val="auto"/>
          <w:spacing w:val="-2"/>
          <w:sz w:val="24"/>
          <w:szCs w:val="24"/>
          <w:highlight w:val="none"/>
          <w:lang w:eastAsia="zh-CN"/>
        </w:rPr>
        <w:t>后15个工作日内向同</w:t>
      </w:r>
      <w:r>
        <w:rPr>
          <w:rFonts w:hint="eastAsia" w:ascii="仿宋" w:hAnsi="仿宋" w:eastAsia="仿宋" w:cs="仿宋"/>
          <w:color w:val="auto"/>
          <w:spacing w:val="-1"/>
          <w:sz w:val="24"/>
          <w:szCs w:val="24"/>
          <w:highlight w:val="none"/>
          <w:lang w:eastAsia="zh-CN"/>
        </w:rPr>
        <w:t>级政府采购监督管理部门提起投诉。</w:t>
      </w:r>
    </w:p>
    <w:p w14:paraId="6397562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37.2投诉人投诉时,应当提交投诉书和必要的证明材料，并按照被投诉采购</w:t>
      </w:r>
      <w:r>
        <w:rPr>
          <w:rFonts w:hint="eastAsia" w:ascii="仿宋" w:hAnsi="仿宋" w:eastAsia="仿宋" w:cs="仿宋"/>
          <w:color w:val="auto"/>
          <w:spacing w:val="-3"/>
          <w:sz w:val="24"/>
          <w:szCs w:val="24"/>
          <w:highlight w:val="none"/>
          <w:lang w:eastAsia="zh-CN"/>
        </w:rPr>
        <w:t>人、采购代理机构（以下简称被投诉人）和与投诉事项有关的供应商数量提供投</w:t>
      </w:r>
      <w:r>
        <w:rPr>
          <w:rFonts w:hint="eastAsia" w:ascii="仿宋" w:hAnsi="仿宋" w:eastAsia="仿宋" w:cs="仿宋"/>
          <w:color w:val="auto"/>
          <w:spacing w:val="-1"/>
          <w:sz w:val="24"/>
          <w:szCs w:val="24"/>
          <w:highlight w:val="none"/>
          <w:lang w:eastAsia="zh-CN"/>
        </w:rPr>
        <w:t>诉书的副本。投诉书应当包括下列内容：</w:t>
      </w:r>
    </w:p>
    <w:p w14:paraId="25E06BC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（1）投诉人和被投诉人的姓名或者名称、通讯地址、邮编、联系人及联系</w:t>
      </w:r>
      <w:r>
        <w:rPr>
          <w:rFonts w:hint="eastAsia" w:ascii="仿宋" w:hAnsi="仿宋" w:eastAsia="仿宋" w:cs="仿宋"/>
          <w:color w:val="auto"/>
          <w:spacing w:val="-13"/>
          <w:sz w:val="24"/>
          <w:szCs w:val="24"/>
          <w:highlight w:val="none"/>
          <w:lang w:eastAsia="zh-CN"/>
        </w:rPr>
        <w:t>电话；</w:t>
      </w:r>
    </w:p>
    <w:p w14:paraId="6525EC0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（2）质疑和质疑答复情况说明及相关证明材料；</w:t>
      </w:r>
    </w:p>
    <w:p w14:paraId="2BB2E3B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（3）具体、明确的投诉事项和与投诉事项相关的投诉请求；</w:t>
      </w:r>
    </w:p>
    <w:p w14:paraId="17BD20D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（4）事实依据；</w:t>
      </w:r>
    </w:p>
    <w:p w14:paraId="1A398B4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（5）法律依据；</w:t>
      </w:r>
    </w:p>
    <w:p w14:paraId="0E6052B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（6）提起投诉的日期。</w:t>
      </w:r>
    </w:p>
    <w:p w14:paraId="3F143F4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投诉人为自然人的，应当由本人签字；投诉人为法人或者</w:t>
      </w:r>
      <w:r>
        <w:rPr>
          <w:rFonts w:hint="eastAsia" w:ascii="仿宋" w:hAnsi="仿宋" w:eastAsia="仿宋" w:cs="仿宋"/>
          <w:color w:val="auto"/>
          <w:spacing w:val="-4"/>
          <w:sz w:val="24"/>
          <w:szCs w:val="24"/>
          <w:highlight w:val="none"/>
          <w:lang w:eastAsia="zh-CN"/>
        </w:rPr>
        <w:t>其他组织的，应当</w:t>
      </w:r>
      <w:r>
        <w:rPr>
          <w:rFonts w:hint="eastAsia" w:ascii="仿宋" w:hAnsi="仿宋" w:eastAsia="仿宋" w:cs="仿宋"/>
          <w:color w:val="auto"/>
          <w:spacing w:val="-1"/>
          <w:sz w:val="24"/>
          <w:szCs w:val="24"/>
          <w:highlight w:val="none"/>
          <w:lang w:eastAsia="zh-CN"/>
        </w:rPr>
        <w:t>由法定代表人、主要负责人，或者其授权代表签字或者盖章</w:t>
      </w:r>
      <w:r>
        <w:rPr>
          <w:rFonts w:hint="eastAsia" w:ascii="仿宋" w:hAnsi="仿宋" w:eastAsia="仿宋" w:cs="仿宋"/>
          <w:color w:val="auto"/>
          <w:spacing w:val="-2"/>
          <w:sz w:val="24"/>
          <w:szCs w:val="24"/>
          <w:highlight w:val="none"/>
          <w:lang w:eastAsia="zh-CN"/>
        </w:rPr>
        <w:t>，并加盖公章。</w:t>
      </w:r>
    </w:p>
    <w:p w14:paraId="12E88CB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37.3供应商质疑、投诉应当有明确的请求和必要的证明材料。供应商投诉</w:t>
      </w:r>
      <w:r>
        <w:rPr>
          <w:rFonts w:hint="eastAsia" w:ascii="仿宋" w:hAnsi="仿宋" w:eastAsia="仿宋" w:cs="仿宋"/>
          <w:color w:val="auto"/>
          <w:spacing w:val="-2"/>
          <w:sz w:val="24"/>
          <w:szCs w:val="24"/>
          <w:highlight w:val="none"/>
          <w:lang w:eastAsia="zh-CN"/>
        </w:rPr>
        <w:t>的事项不得超出已质疑事项的范围，但基于质疑答复内容提出的投诉事项除外。</w:t>
      </w:r>
    </w:p>
    <w:p w14:paraId="35A828B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37.4投诉书应当使用中文，并采用财政部门制定的范本。</w:t>
      </w:r>
    </w:p>
    <w:p w14:paraId="50A64072">
      <w:pPr>
        <w:spacing w:line="360" w:lineRule="auto"/>
        <w:ind w:left="31" w:right="-27" w:rightChars="-13"/>
        <w:outlineLvl w:val="2"/>
        <w:rPr>
          <w:rFonts w:ascii="仿宋" w:hAnsi="仿宋" w:eastAsia="仿宋" w:cs="仿宋"/>
          <w:color w:val="auto"/>
          <w:sz w:val="24"/>
          <w:szCs w:val="24"/>
          <w:highlight w:val="none"/>
          <w:lang w:eastAsia="zh-CN"/>
        </w:rPr>
      </w:pPr>
      <w:bookmarkStart w:id="207" w:name="bookmark118"/>
      <w:bookmarkEnd w:id="207"/>
      <w:bookmarkStart w:id="208" w:name="bookmark117"/>
      <w:bookmarkEnd w:id="208"/>
      <w:bookmarkStart w:id="209" w:name="_Toc28688"/>
      <w:bookmarkStart w:id="210" w:name="_Toc186477731"/>
      <w:r>
        <w:rPr>
          <w:rFonts w:hint="eastAsia" w:ascii="仿宋" w:hAnsi="仿宋" w:eastAsia="仿宋" w:cs="仿宋"/>
          <w:b/>
          <w:bCs/>
          <w:color w:val="auto"/>
          <w:spacing w:val="-5"/>
          <w:sz w:val="24"/>
          <w:szCs w:val="24"/>
          <w:highlight w:val="none"/>
          <w:lang w:eastAsia="zh-CN"/>
        </w:rPr>
        <w:t>（十一）采购代理服务费</w:t>
      </w:r>
      <w:bookmarkEnd w:id="209"/>
      <w:bookmarkEnd w:id="210"/>
    </w:p>
    <w:p w14:paraId="70174303">
      <w:pPr>
        <w:spacing w:line="360" w:lineRule="auto"/>
        <w:ind w:left="31" w:right="-27" w:rightChars="-13"/>
        <w:outlineLvl w:val="2"/>
        <w:rPr>
          <w:rFonts w:ascii="仿宋" w:hAnsi="仿宋" w:eastAsia="仿宋" w:cs="仿宋"/>
          <w:color w:val="auto"/>
          <w:sz w:val="24"/>
          <w:szCs w:val="24"/>
          <w:highlight w:val="none"/>
          <w:lang w:eastAsia="zh-CN"/>
        </w:rPr>
      </w:pPr>
      <w:bookmarkStart w:id="211" w:name="bookmark120"/>
      <w:bookmarkEnd w:id="211"/>
      <w:bookmarkStart w:id="212" w:name="bookmark119"/>
      <w:bookmarkEnd w:id="212"/>
      <w:bookmarkStart w:id="213" w:name="_Toc186477732"/>
      <w:bookmarkStart w:id="214" w:name="_Toc7990"/>
      <w:r>
        <w:rPr>
          <w:rFonts w:hint="eastAsia" w:ascii="仿宋" w:hAnsi="仿宋" w:eastAsia="仿宋" w:cs="仿宋"/>
          <w:b/>
          <w:bCs/>
          <w:color w:val="auto"/>
          <w:spacing w:val="-4"/>
          <w:sz w:val="24"/>
          <w:szCs w:val="24"/>
          <w:highlight w:val="none"/>
          <w:lang w:eastAsia="zh-CN"/>
        </w:rPr>
        <w:t>38.收取方式和标准</w:t>
      </w:r>
      <w:bookmarkEnd w:id="213"/>
      <w:bookmarkEnd w:id="214"/>
    </w:p>
    <w:p w14:paraId="0F90357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38.1采购代理机构按“投标人须知前附表”规定的方式和标准收取采购代</w:t>
      </w:r>
      <w:r>
        <w:rPr>
          <w:rFonts w:hint="eastAsia" w:ascii="仿宋" w:hAnsi="仿宋" w:eastAsia="仿宋" w:cs="仿宋"/>
          <w:color w:val="auto"/>
          <w:spacing w:val="-3"/>
          <w:sz w:val="24"/>
          <w:szCs w:val="24"/>
          <w:highlight w:val="none"/>
          <w:lang w:eastAsia="zh-CN"/>
        </w:rPr>
        <w:t>理服务费。</w:t>
      </w:r>
    </w:p>
    <w:p w14:paraId="276B477F">
      <w:pPr>
        <w:spacing w:line="360" w:lineRule="auto"/>
        <w:ind w:left="31" w:right="-27" w:rightChars="-13"/>
        <w:outlineLvl w:val="2"/>
        <w:rPr>
          <w:rFonts w:ascii="仿宋" w:hAnsi="仿宋" w:eastAsia="仿宋" w:cs="仿宋"/>
          <w:color w:val="auto"/>
          <w:sz w:val="24"/>
          <w:szCs w:val="24"/>
          <w:highlight w:val="none"/>
          <w:lang w:eastAsia="zh-CN"/>
        </w:rPr>
      </w:pPr>
      <w:bookmarkStart w:id="215" w:name="bookmark122"/>
      <w:bookmarkEnd w:id="215"/>
      <w:bookmarkStart w:id="216" w:name="bookmark121"/>
      <w:bookmarkEnd w:id="216"/>
      <w:bookmarkStart w:id="217" w:name="_Toc2744"/>
      <w:bookmarkStart w:id="218" w:name="_Toc186477733"/>
      <w:r>
        <w:rPr>
          <w:rFonts w:hint="eastAsia" w:ascii="仿宋" w:hAnsi="仿宋" w:eastAsia="仿宋" w:cs="仿宋"/>
          <w:b/>
          <w:bCs/>
          <w:color w:val="auto"/>
          <w:spacing w:val="-5"/>
          <w:sz w:val="24"/>
          <w:szCs w:val="24"/>
          <w:highlight w:val="none"/>
          <w:lang w:eastAsia="zh-CN"/>
        </w:rPr>
        <w:t>（十二）无效投标和废标</w:t>
      </w:r>
      <w:bookmarkEnd w:id="217"/>
      <w:bookmarkEnd w:id="218"/>
    </w:p>
    <w:p w14:paraId="5CABD52C">
      <w:pPr>
        <w:spacing w:line="360" w:lineRule="auto"/>
        <w:ind w:left="31" w:right="-27" w:rightChars="-13"/>
        <w:outlineLvl w:val="2"/>
        <w:rPr>
          <w:rFonts w:ascii="仿宋" w:hAnsi="仿宋" w:eastAsia="仿宋" w:cs="仿宋"/>
          <w:color w:val="auto"/>
          <w:sz w:val="24"/>
          <w:szCs w:val="24"/>
          <w:highlight w:val="none"/>
          <w:lang w:eastAsia="zh-CN"/>
        </w:rPr>
      </w:pPr>
      <w:bookmarkStart w:id="219" w:name="bookmark123"/>
      <w:bookmarkEnd w:id="219"/>
      <w:bookmarkStart w:id="220" w:name="bookmark124"/>
      <w:bookmarkEnd w:id="220"/>
      <w:bookmarkStart w:id="221" w:name="_Toc27009"/>
      <w:bookmarkStart w:id="222" w:name="_Toc186477734"/>
      <w:r>
        <w:rPr>
          <w:rFonts w:hint="eastAsia" w:ascii="仿宋" w:hAnsi="仿宋" w:eastAsia="仿宋" w:cs="仿宋"/>
          <w:b/>
          <w:bCs/>
          <w:color w:val="auto"/>
          <w:spacing w:val="-5"/>
          <w:sz w:val="24"/>
          <w:szCs w:val="24"/>
          <w:highlight w:val="none"/>
          <w:lang w:eastAsia="zh-CN"/>
        </w:rPr>
        <w:t>39.无效投标</w:t>
      </w:r>
      <w:bookmarkEnd w:id="221"/>
      <w:bookmarkEnd w:id="222"/>
    </w:p>
    <w:p w14:paraId="7E5186B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39.1投标文件存在“第四章 资格审查”、“第五章 评标方法及标准”及</w:t>
      </w:r>
      <w:r>
        <w:rPr>
          <w:rFonts w:hint="eastAsia" w:ascii="仿宋" w:hAnsi="仿宋" w:eastAsia="仿宋" w:cs="仿宋"/>
          <w:color w:val="auto"/>
          <w:spacing w:val="-1"/>
          <w:sz w:val="24"/>
          <w:szCs w:val="24"/>
          <w:highlight w:val="none"/>
          <w:lang w:eastAsia="zh-CN"/>
        </w:rPr>
        <w:t>本招标文件规定的投标无效情形的，其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64905BAB">
      <w:pPr>
        <w:spacing w:line="360" w:lineRule="auto"/>
        <w:ind w:left="31" w:right="-27" w:rightChars="-13"/>
        <w:outlineLvl w:val="2"/>
        <w:rPr>
          <w:rFonts w:ascii="仿宋" w:hAnsi="仿宋" w:eastAsia="仿宋" w:cs="仿宋"/>
          <w:color w:val="auto"/>
          <w:sz w:val="24"/>
          <w:szCs w:val="24"/>
          <w:highlight w:val="none"/>
          <w:lang w:eastAsia="zh-CN"/>
        </w:rPr>
      </w:pPr>
      <w:bookmarkStart w:id="223" w:name="bookmark126"/>
      <w:bookmarkEnd w:id="223"/>
      <w:bookmarkStart w:id="224" w:name="bookmark125"/>
      <w:bookmarkEnd w:id="224"/>
      <w:bookmarkStart w:id="225" w:name="_Toc1191"/>
      <w:bookmarkStart w:id="226" w:name="_Toc186477735"/>
      <w:r>
        <w:rPr>
          <w:rFonts w:hint="eastAsia" w:ascii="仿宋" w:hAnsi="仿宋" w:eastAsia="仿宋" w:cs="仿宋"/>
          <w:b/>
          <w:bCs/>
          <w:color w:val="auto"/>
          <w:spacing w:val="-5"/>
          <w:sz w:val="24"/>
          <w:szCs w:val="24"/>
          <w:highlight w:val="none"/>
          <w:lang w:eastAsia="zh-CN"/>
        </w:rPr>
        <w:t>40.废标</w:t>
      </w:r>
      <w:bookmarkEnd w:id="225"/>
      <w:bookmarkEnd w:id="226"/>
    </w:p>
    <w:p w14:paraId="08672A6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40.1在招标采购中出现有“第五章 评标方</w:t>
      </w:r>
      <w:r>
        <w:rPr>
          <w:rFonts w:hint="eastAsia" w:ascii="仿宋" w:hAnsi="仿宋" w:eastAsia="仿宋" w:cs="仿宋"/>
          <w:color w:val="auto"/>
          <w:spacing w:val="-3"/>
          <w:sz w:val="24"/>
          <w:szCs w:val="24"/>
          <w:highlight w:val="none"/>
          <w:lang w:eastAsia="zh-CN"/>
        </w:rPr>
        <w:t>法及标准”及本招标文件规定的</w:t>
      </w:r>
      <w:r>
        <w:rPr>
          <w:rFonts w:hint="eastAsia" w:ascii="仿宋" w:hAnsi="仿宋" w:eastAsia="仿宋" w:cs="仿宋"/>
          <w:color w:val="auto"/>
          <w:spacing w:val="-2"/>
          <w:sz w:val="24"/>
          <w:szCs w:val="24"/>
          <w:highlight w:val="none"/>
          <w:lang w:eastAsia="zh-CN"/>
        </w:rPr>
        <w:t>废标情形的，应予以</w:t>
      </w:r>
      <w:r>
        <w:rPr>
          <w:rFonts w:hint="eastAsia" w:ascii="仿宋" w:hAnsi="仿宋" w:eastAsia="仿宋" w:cs="仿宋"/>
          <w:b/>
          <w:bCs/>
          <w:color w:val="auto"/>
          <w:spacing w:val="-2"/>
          <w:sz w:val="24"/>
          <w:szCs w:val="24"/>
          <w:highlight w:val="none"/>
          <w:lang w:eastAsia="zh-CN"/>
        </w:rPr>
        <w:t>废标</w:t>
      </w:r>
      <w:r>
        <w:rPr>
          <w:rFonts w:hint="eastAsia" w:ascii="仿宋" w:hAnsi="仿宋" w:eastAsia="仿宋" w:cs="仿宋"/>
          <w:color w:val="auto"/>
          <w:spacing w:val="-2"/>
          <w:sz w:val="24"/>
          <w:szCs w:val="24"/>
          <w:highlight w:val="none"/>
          <w:lang w:eastAsia="zh-CN"/>
        </w:rPr>
        <w:t>。</w:t>
      </w:r>
    </w:p>
    <w:p w14:paraId="585DF999">
      <w:pPr>
        <w:spacing w:line="360" w:lineRule="auto"/>
        <w:ind w:left="31" w:right="-27" w:rightChars="-13"/>
        <w:outlineLvl w:val="2"/>
        <w:rPr>
          <w:rFonts w:ascii="仿宋" w:hAnsi="仿宋" w:eastAsia="仿宋" w:cs="仿宋"/>
          <w:color w:val="auto"/>
          <w:sz w:val="24"/>
          <w:szCs w:val="24"/>
          <w:highlight w:val="none"/>
          <w:lang w:eastAsia="zh-CN"/>
        </w:rPr>
      </w:pPr>
      <w:bookmarkStart w:id="227" w:name="bookmark127"/>
      <w:bookmarkEnd w:id="227"/>
      <w:bookmarkStart w:id="228" w:name="bookmark128"/>
      <w:bookmarkEnd w:id="228"/>
      <w:bookmarkStart w:id="229" w:name="_Toc186477736"/>
      <w:bookmarkStart w:id="230" w:name="_Toc31334"/>
      <w:r>
        <w:rPr>
          <w:rFonts w:hint="eastAsia" w:ascii="仿宋" w:hAnsi="仿宋" w:eastAsia="仿宋" w:cs="仿宋"/>
          <w:b/>
          <w:bCs/>
          <w:color w:val="auto"/>
          <w:spacing w:val="-4"/>
          <w:sz w:val="24"/>
          <w:szCs w:val="24"/>
          <w:highlight w:val="none"/>
          <w:lang w:eastAsia="zh-CN"/>
        </w:rPr>
        <w:t>（十三）落实政府采购政策（包括但不限于下列具体政策要求）</w:t>
      </w:r>
      <w:bookmarkEnd w:id="229"/>
      <w:bookmarkEnd w:id="230"/>
    </w:p>
    <w:p w14:paraId="3AA0BDAF">
      <w:pPr>
        <w:spacing w:line="360" w:lineRule="auto"/>
        <w:ind w:left="31" w:right="-27" w:rightChars="-13"/>
        <w:outlineLvl w:val="2"/>
        <w:rPr>
          <w:rFonts w:ascii="仿宋" w:hAnsi="仿宋" w:eastAsia="仿宋" w:cs="仿宋"/>
          <w:color w:val="auto"/>
          <w:sz w:val="24"/>
          <w:szCs w:val="24"/>
          <w:highlight w:val="none"/>
          <w:lang w:eastAsia="zh-CN"/>
        </w:rPr>
      </w:pPr>
      <w:bookmarkStart w:id="231" w:name="bookmark130"/>
      <w:bookmarkEnd w:id="231"/>
      <w:bookmarkStart w:id="232" w:name="bookmark129"/>
      <w:bookmarkEnd w:id="232"/>
      <w:bookmarkStart w:id="233" w:name="_Toc14980"/>
      <w:bookmarkStart w:id="234" w:name="_Toc186477737"/>
      <w:r>
        <w:rPr>
          <w:rFonts w:hint="eastAsia" w:ascii="仿宋" w:hAnsi="仿宋" w:eastAsia="仿宋" w:cs="仿宋"/>
          <w:b/>
          <w:bCs/>
          <w:color w:val="auto"/>
          <w:spacing w:val="-3"/>
          <w:sz w:val="24"/>
          <w:szCs w:val="24"/>
          <w:highlight w:val="none"/>
          <w:lang w:eastAsia="zh-CN"/>
        </w:rPr>
        <w:t>41.支持国产和进口产品审批</w:t>
      </w:r>
      <w:bookmarkEnd w:id="233"/>
      <w:bookmarkEnd w:id="234"/>
    </w:p>
    <w:p w14:paraId="49F2BCC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41.1除“投标人须知前附表”另有规定外，政府采购应当采购本国货物、</w:t>
      </w:r>
      <w:r>
        <w:rPr>
          <w:rFonts w:hint="eastAsia" w:ascii="仿宋" w:hAnsi="仿宋" w:eastAsia="仿宋" w:cs="仿宋"/>
          <w:color w:val="auto"/>
          <w:spacing w:val="-3"/>
          <w:sz w:val="24"/>
          <w:szCs w:val="24"/>
          <w:highlight w:val="none"/>
          <w:lang w:eastAsia="zh-CN"/>
        </w:rPr>
        <w:t>工程和服务，确需采购进口产品的，采购人应当按照《政府采购进口产品管</w:t>
      </w:r>
      <w:r>
        <w:rPr>
          <w:rFonts w:hint="eastAsia" w:ascii="仿宋" w:hAnsi="仿宋" w:eastAsia="仿宋" w:cs="仿宋"/>
          <w:color w:val="auto"/>
          <w:spacing w:val="-4"/>
          <w:sz w:val="24"/>
          <w:szCs w:val="24"/>
          <w:highlight w:val="none"/>
          <w:lang w:eastAsia="zh-CN"/>
        </w:rPr>
        <w:t>理办</w:t>
      </w:r>
      <w:r>
        <w:rPr>
          <w:rFonts w:hint="eastAsia" w:ascii="仿宋" w:hAnsi="仿宋" w:eastAsia="仿宋" w:cs="仿宋"/>
          <w:color w:val="auto"/>
          <w:spacing w:val="-6"/>
          <w:sz w:val="24"/>
          <w:szCs w:val="24"/>
          <w:highlight w:val="none"/>
          <w:lang w:eastAsia="zh-CN"/>
        </w:rPr>
        <w:t>法》（财库〔2007〕119 号文）、《关于政府采购进口产品管理有关问题的通知》</w:t>
      </w:r>
      <w:r>
        <w:rPr>
          <w:rFonts w:hint="eastAsia" w:ascii="仿宋" w:hAnsi="仿宋" w:eastAsia="仿宋" w:cs="仿宋"/>
          <w:color w:val="auto"/>
          <w:spacing w:val="-2"/>
          <w:sz w:val="24"/>
          <w:szCs w:val="24"/>
          <w:highlight w:val="none"/>
          <w:lang w:eastAsia="zh-CN"/>
        </w:rPr>
        <w:t>（财办库〔2008〕248号）规定执行（进口产品审批制，科研院所监管部门另有</w:t>
      </w:r>
      <w:r>
        <w:rPr>
          <w:rFonts w:hint="eastAsia" w:ascii="仿宋" w:hAnsi="仿宋" w:eastAsia="仿宋" w:cs="仿宋"/>
          <w:color w:val="auto"/>
          <w:sz w:val="24"/>
          <w:szCs w:val="24"/>
          <w:highlight w:val="none"/>
          <w:lang w:eastAsia="zh-CN"/>
        </w:rPr>
        <w:t>规定的从其规定）。项目若涉及采购进口产品的，具</w:t>
      </w:r>
      <w:r>
        <w:rPr>
          <w:rFonts w:hint="eastAsia" w:ascii="仿宋" w:hAnsi="仿宋" w:eastAsia="仿宋" w:cs="仿宋"/>
          <w:color w:val="auto"/>
          <w:spacing w:val="-1"/>
          <w:sz w:val="24"/>
          <w:szCs w:val="24"/>
          <w:highlight w:val="none"/>
          <w:lang w:eastAsia="zh-CN"/>
        </w:rPr>
        <w:t>体要求详见“第三章 采购</w:t>
      </w:r>
      <w:r>
        <w:rPr>
          <w:rFonts w:hint="eastAsia" w:ascii="仿宋" w:hAnsi="仿宋" w:eastAsia="仿宋" w:cs="仿宋"/>
          <w:color w:val="auto"/>
          <w:spacing w:val="-3"/>
          <w:sz w:val="24"/>
          <w:szCs w:val="24"/>
          <w:highlight w:val="none"/>
          <w:lang w:eastAsia="zh-CN"/>
        </w:rPr>
        <w:t>需求”。</w:t>
      </w:r>
    </w:p>
    <w:p w14:paraId="18BEA9D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41.2进口产品指通过中国海关报关验放进入中国境内且产自关</w:t>
      </w:r>
      <w:r>
        <w:rPr>
          <w:rFonts w:hint="eastAsia" w:ascii="仿宋" w:hAnsi="仿宋" w:eastAsia="仿宋" w:cs="仿宋"/>
          <w:color w:val="auto"/>
          <w:spacing w:val="-3"/>
          <w:sz w:val="24"/>
          <w:szCs w:val="24"/>
          <w:highlight w:val="none"/>
          <w:lang w:eastAsia="zh-CN"/>
        </w:rPr>
        <w:t>境外的产品，</w:t>
      </w:r>
      <w:r>
        <w:rPr>
          <w:rFonts w:hint="eastAsia" w:ascii="仿宋" w:hAnsi="仿宋" w:eastAsia="仿宋" w:cs="仿宋"/>
          <w:color w:val="auto"/>
          <w:spacing w:val="-1"/>
          <w:sz w:val="24"/>
          <w:szCs w:val="24"/>
          <w:highlight w:val="none"/>
          <w:lang w:eastAsia="zh-CN"/>
        </w:rPr>
        <w:t>包括已经进入中国境内的进口产品。</w:t>
      </w:r>
    </w:p>
    <w:p w14:paraId="32C54E5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41.3若采购需求中写明允许采购进口产品，投标人应保证所投产品可履行合法报通关手续进入中国关境内。</w:t>
      </w:r>
    </w:p>
    <w:p w14:paraId="2DB37F6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41.4若采购需求中未写明允许采购进口产品，如投标人所投产品为进口产</w:t>
      </w:r>
      <w:r>
        <w:rPr>
          <w:rFonts w:hint="eastAsia" w:ascii="仿宋" w:hAnsi="仿宋" w:eastAsia="仿宋" w:cs="仿宋"/>
          <w:color w:val="auto"/>
          <w:spacing w:val="-3"/>
          <w:sz w:val="24"/>
          <w:szCs w:val="24"/>
          <w:highlight w:val="none"/>
          <w:lang w:eastAsia="zh-CN"/>
        </w:rPr>
        <w:t>品，其投标将被认定为</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6260ED80">
      <w:pPr>
        <w:spacing w:line="360" w:lineRule="auto"/>
        <w:ind w:left="31" w:right="-27" w:rightChars="-13"/>
        <w:outlineLvl w:val="2"/>
        <w:rPr>
          <w:rFonts w:ascii="仿宋" w:hAnsi="仿宋" w:eastAsia="仿宋" w:cs="仿宋"/>
          <w:color w:val="auto"/>
          <w:sz w:val="24"/>
          <w:szCs w:val="24"/>
          <w:highlight w:val="none"/>
          <w:lang w:eastAsia="zh-CN"/>
        </w:rPr>
      </w:pPr>
      <w:bookmarkStart w:id="235" w:name="bookmark131"/>
      <w:bookmarkEnd w:id="235"/>
      <w:bookmarkStart w:id="236" w:name="bookmark132"/>
      <w:bookmarkEnd w:id="236"/>
      <w:bookmarkStart w:id="237" w:name="_Toc28996"/>
      <w:bookmarkStart w:id="238" w:name="_Toc186477738"/>
      <w:r>
        <w:rPr>
          <w:rFonts w:hint="eastAsia" w:ascii="仿宋" w:hAnsi="仿宋" w:eastAsia="仿宋" w:cs="仿宋"/>
          <w:b/>
          <w:bCs/>
          <w:color w:val="auto"/>
          <w:spacing w:val="-3"/>
          <w:sz w:val="24"/>
          <w:szCs w:val="24"/>
          <w:highlight w:val="none"/>
          <w:lang w:eastAsia="zh-CN"/>
        </w:rPr>
        <w:t>42.中小企业、监狱企业及残疾人福利性单位</w:t>
      </w:r>
      <w:bookmarkEnd w:id="237"/>
      <w:bookmarkEnd w:id="238"/>
    </w:p>
    <w:p w14:paraId="2E7C6BF0">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42.1中小企业是指在中华人民共和国境内依法设立，依据国务院批准的中</w:t>
      </w:r>
      <w:bookmarkStart w:id="239" w:name="bookmark277"/>
      <w:bookmarkEnd w:id="239"/>
      <w:r>
        <w:rPr>
          <w:rFonts w:hint="eastAsia" w:ascii="仿宋" w:hAnsi="仿宋" w:eastAsia="仿宋" w:cs="仿宋"/>
          <w:color w:val="auto"/>
          <w:spacing w:val="-1"/>
          <w:sz w:val="24"/>
          <w:szCs w:val="24"/>
          <w:highlight w:val="none"/>
          <w:lang w:eastAsia="zh-CN"/>
        </w:rPr>
        <w:t>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w:t>
      </w:r>
    </w:p>
    <w:p w14:paraId="6AF10DC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42.2为促进中小企业发展，依据《关于印发&lt;政府采购促进中小企业发展管</w:t>
      </w:r>
      <w:r>
        <w:rPr>
          <w:rFonts w:hint="eastAsia" w:ascii="仿宋" w:hAnsi="仿宋" w:eastAsia="仿宋" w:cs="仿宋"/>
          <w:color w:val="auto"/>
          <w:sz w:val="24"/>
          <w:szCs w:val="24"/>
          <w:highlight w:val="none"/>
          <w:lang w:eastAsia="zh-CN"/>
        </w:rPr>
        <w:t>理办法&gt;的通知》（财库〔2020〕46号）、《财</w:t>
      </w:r>
      <w:r>
        <w:rPr>
          <w:rFonts w:hint="eastAsia" w:ascii="仿宋" w:hAnsi="仿宋" w:eastAsia="仿宋" w:cs="仿宋"/>
          <w:color w:val="auto"/>
          <w:spacing w:val="-1"/>
          <w:sz w:val="24"/>
          <w:szCs w:val="24"/>
          <w:highlight w:val="none"/>
          <w:lang w:eastAsia="zh-CN"/>
        </w:rPr>
        <w:t>政部 司法部关于政府采购支持</w:t>
      </w:r>
      <w:r>
        <w:rPr>
          <w:rFonts w:hint="eastAsia" w:ascii="仿宋" w:hAnsi="仿宋" w:eastAsia="仿宋" w:cs="仿宋"/>
          <w:color w:val="auto"/>
          <w:sz w:val="24"/>
          <w:szCs w:val="24"/>
          <w:highlight w:val="none"/>
          <w:lang w:eastAsia="zh-CN"/>
        </w:rPr>
        <w:t>监狱企业发展有关问题的通知》（财库〔2014〕</w:t>
      </w:r>
      <w:r>
        <w:rPr>
          <w:rFonts w:hint="eastAsia" w:ascii="仿宋" w:hAnsi="仿宋" w:eastAsia="仿宋" w:cs="仿宋"/>
          <w:color w:val="auto"/>
          <w:spacing w:val="-1"/>
          <w:sz w:val="24"/>
          <w:szCs w:val="24"/>
          <w:highlight w:val="none"/>
          <w:lang w:eastAsia="zh-CN"/>
        </w:rPr>
        <w:t>68号）、《关于促进残疾人就业政府采购政策的通知》（财库〔2017〕141号）的规定</w:t>
      </w:r>
      <w:r>
        <w:rPr>
          <w:rFonts w:hint="eastAsia" w:ascii="仿宋" w:hAnsi="仿宋" w:eastAsia="仿宋" w:cs="仿宋"/>
          <w:color w:val="auto"/>
          <w:spacing w:val="-2"/>
          <w:sz w:val="24"/>
          <w:szCs w:val="24"/>
          <w:highlight w:val="none"/>
          <w:lang w:eastAsia="zh-CN"/>
        </w:rPr>
        <w:t>，本项目供应商如需享</w:t>
      </w:r>
      <w:r>
        <w:rPr>
          <w:rFonts w:hint="eastAsia" w:ascii="仿宋" w:hAnsi="仿宋" w:eastAsia="仿宋" w:cs="仿宋"/>
          <w:color w:val="auto"/>
          <w:spacing w:val="-3"/>
          <w:sz w:val="24"/>
          <w:szCs w:val="24"/>
          <w:highlight w:val="none"/>
          <w:lang w:eastAsia="zh-CN"/>
        </w:rPr>
        <w:t>受中小企业相关政策的，且符合上述文件规定的，应按本招标文件规定格式提供“中小企业声明函”或“监狱企业证明文件”或“残疾人福利性单位声明函”，</w:t>
      </w:r>
      <w:r>
        <w:rPr>
          <w:rFonts w:hint="eastAsia" w:ascii="仿宋" w:hAnsi="仿宋" w:eastAsia="仿宋" w:cs="仿宋"/>
          <w:color w:val="auto"/>
          <w:spacing w:val="-4"/>
          <w:sz w:val="24"/>
          <w:szCs w:val="24"/>
          <w:highlight w:val="none"/>
          <w:lang w:eastAsia="zh-CN"/>
        </w:rPr>
        <w:t>评审时，评标委员会将依据本招标文件“投标人须知前附表”规定的报价扣除比</w:t>
      </w:r>
      <w:r>
        <w:rPr>
          <w:rFonts w:hint="eastAsia" w:ascii="仿宋" w:hAnsi="仿宋" w:eastAsia="仿宋" w:cs="仿宋"/>
          <w:color w:val="auto"/>
          <w:spacing w:val="-3"/>
          <w:sz w:val="24"/>
          <w:szCs w:val="24"/>
          <w:highlight w:val="none"/>
          <w:lang w:eastAsia="zh-CN"/>
        </w:rPr>
        <w:t>例，对供应商报价进行价格扣除，用扣除后的价格参与评审；招标公告中明确项</w:t>
      </w:r>
      <w:r>
        <w:rPr>
          <w:rFonts w:hint="eastAsia" w:ascii="仿宋" w:hAnsi="仿宋" w:eastAsia="仿宋" w:cs="仿宋"/>
          <w:color w:val="auto"/>
          <w:spacing w:val="-4"/>
          <w:sz w:val="24"/>
          <w:szCs w:val="24"/>
          <w:highlight w:val="none"/>
          <w:lang w:eastAsia="zh-CN"/>
        </w:rPr>
        <w:t>目专门面向中小企业采购的，“中小企业声明函”为资格要求文件，供应商参与</w:t>
      </w:r>
      <w:r>
        <w:rPr>
          <w:rFonts w:hint="eastAsia" w:ascii="仿宋" w:hAnsi="仿宋" w:eastAsia="仿宋" w:cs="仿宋"/>
          <w:color w:val="auto"/>
          <w:spacing w:val="1"/>
          <w:sz w:val="24"/>
          <w:szCs w:val="24"/>
          <w:highlight w:val="none"/>
          <w:lang w:eastAsia="zh-CN"/>
        </w:rPr>
        <w:t>投标须按本招标文件规定格式提供“中小企业</w:t>
      </w:r>
      <w:r>
        <w:rPr>
          <w:rFonts w:hint="eastAsia" w:ascii="仿宋" w:hAnsi="仿宋" w:eastAsia="仿宋" w:cs="仿宋"/>
          <w:color w:val="auto"/>
          <w:sz w:val="24"/>
          <w:szCs w:val="24"/>
          <w:highlight w:val="none"/>
          <w:lang w:eastAsia="zh-CN"/>
        </w:rPr>
        <w:t xml:space="preserve">声明函”或“监狱企业证明文件” </w:t>
      </w:r>
      <w:r>
        <w:rPr>
          <w:rFonts w:hint="eastAsia" w:ascii="仿宋" w:hAnsi="仿宋" w:eastAsia="仿宋" w:cs="仿宋"/>
          <w:color w:val="auto"/>
          <w:spacing w:val="-2"/>
          <w:sz w:val="24"/>
          <w:szCs w:val="24"/>
          <w:highlight w:val="none"/>
          <w:lang w:eastAsia="zh-CN"/>
        </w:rPr>
        <w:t>或“残疾人福利性单位声明函”等作为资格证明文件。</w:t>
      </w:r>
    </w:p>
    <w:p w14:paraId="43D2502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42.3 投标人提供的货物、工程或者服务符合下列情</w:t>
      </w:r>
      <w:r>
        <w:rPr>
          <w:rFonts w:hint="eastAsia" w:ascii="仿宋" w:hAnsi="仿宋" w:eastAsia="仿宋" w:cs="仿宋"/>
          <w:color w:val="auto"/>
          <w:spacing w:val="-1"/>
          <w:sz w:val="24"/>
          <w:szCs w:val="24"/>
          <w:highlight w:val="none"/>
          <w:lang w:eastAsia="zh-CN"/>
        </w:rPr>
        <w:t>形的，享受中小企业扶</w:t>
      </w:r>
      <w:r>
        <w:rPr>
          <w:rFonts w:hint="eastAsia" w:ascii="仿宋" w:hAnsi="仿宋" w:eastAsia="仿宋" w:cs="仿宋"/>
          <w:color w:val="auto"/>
          <w:spacing w:val="-4"/>
          <w:sz w:val="24"/>
          <w:szCs w:val="24"/>
          <w:highlight w:val="none"/>
          <w:lang w:eastAsia="zh-CN"/>
        </w:rPr>
        <w:t>持政策：</w:t>
      </w:r>
    </w:p>
    <w:p w14:paraId="70658116">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（1）在货物采购项目中，货物由中小企业制造，即货物由中小企业生产且使用该中小企业商号或者注册商标；</w:t>
      </w:r>
    </w:p>
    <w:p w14:paraId="6E55B0B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（2）在工程采购项目中，工程由中小企业承建，即工程施工单位为中小企</w:t>
      </w:r>
      <w:r>
        <w:rPr>
          <w:rFonts w:hint="eastAsia" w:ascii="仿宋" w:hAnsi="仿宋" w:eastAsia="仿宋" w:cs="仿宋"/>
          <w:color w:val="auto"/>
          <w:spacing w:val="-5"/>
          <w:sz w:val="24"/>
          <w:szCs w:val="24"/>
          <w:highlight w:val="none"/>
          <w:lang w:eastAsia="zh-CN"/>
        </w:rPr>
        <w:t>业；</w:t>
      </w:r>
    </w:p>
    <w:p w14:paraId="4B34697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（3）在服务采购项目中，服务由中小企业承接，即提供服务的人员为中小企业依照《中华人民共和国劳动合同法》订立劳动合同的从业人员。</w:t>
      </w:r>
    </w:p>
    <w:p w14:paraId="63F5646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42.4 在货物采购项目中，投标人提供的货物既有中</w:t>
      </w:r>
      <w:r>
        <w:rPr>
          <w:rFonts w:hint="eastAsia" w:ascii="仿宋" w:hAnsi="仿宋" w:eastAsia="仿宋" w:cs="仿宋"/>
          <w:color w:val="auto"/>
          <w:spacing w:val="-1"/>
          <w:sz w:val="24"/>
          <w:szCs w:val="24"/>
          <w:highlight w:val="none"/>
          <w:lang w:eastAsia="zh-CN"/>
        </w:rPr>
        <w:t>小企业制造货物，也有大型企业制造货物的，不享受中小企业扶持政策。</w:t>
      </w:r>
    </w:p>
    <w:p w14:paraId="4B7F0BFA">
      <w:pPr>
        <w:spacing w:line="360" w:lineRule="auto"/>
        <w:ind w:left="31" w:right="-27" w:rightChars="-13"/>
        <w:rPr>
          <w:rFonts w:ascii="仿宋" w:hAnsi="仿宋" w:eastAsia="仿宋" w:cs="仿宋"/>
          <w:color w:val="auto"/>
          <w:sz w:val="24"/>
          <w:szCs w:val="24"/>
          <w:highlight w:val="none"/>
          <w:lang w:eastAsia="zh-CN"/>
        </w:rPr>
      </w:pPr>
      <w:bookmarkStart w:id="240" w:name="bookmark278"/>
      <w:bookmarkEnd w:id="240"/>
      <w:r>
        <w:rPr>
          <w:rFonts w:hint="eastAsia" w:ascii="仿宋" w:hAnsi="仿宋" w:eastAsia="仿宋" w:cs="仿宋"/>
          <w:color w:val="auto"/>
          <w:spacing w:val="-1"/>
          <w:sz w:val="24"/>
          <w:szCs w:val="24"/>
          <w:highlight w:val="none"/>
          <w:lang w:eastAsia="zh-CN"/>
        </w:rPr>
        <w:t>42.5以联合体形式参加政府采购活动，联合体</w:t>
      </w:r>
      <w:r>
        <w:rPr>
          <w:rFonts w:hint="eastAsia" w:ascii="仿宋" w:hAnsi="仿宋" w:eastAsia="仿宋" w:cs="仿宋"/>
          <w:color w:val="auto"/>
          <w:spacing w:val="-2"/>
          <w:sz w:val="24"/>
          <w:szCs w:val="24"/>
          <w:highlight w:val="none"/>
          <w:lang w:eastAsia="zh-CN"/>
        </w:rPr>
        <w:t>各方均为中小企业的，联合体视同中小企业。其中，联合体各方均为小</w:t>
      </w:r>
      <w:r>
        <w:rPr>
          <w:rFonts w:hint="eastAsia" w:ascii="仿宋" w:hAnsi="仿宋" w:eastAsia="仿宋" w:cs="仿宋"/>
          <w:color w:val="auto"/>
          <w:spacing w:val="-3"/>
          <w:sz w:val="24"/>
          <w:szCs w:val="24"/>
          <w:highlight w:val="none"/>
          <w:lang w:eastAsia="zh-CN"/>
        </w:rPr>
        <w:t>微企业的，联合体视同小微企业。</w:t>
      </w:r>
    </w:p>
    <w:p w14:paraId="7B32AF5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42.6 在政府采购活动中，监狱企业视同小型、微型企业，享受预留份额、</w:t>
      </w:r>
      <w:r>
        <w:rPr>
          <w:rFonts w:hint="eastAsia" w:ascii="仿宋" w:hAnsi="仿宋" w:eastAsia="仿宋" w:cs="仿宋"/>
          <w:color w:val="auto"/>
          <w:spacing w:val="-1"/>
          <w:sz w:val="24"/>
          <w:szCs w:val="24"/>
          <w:highlight w:val="none"/>
          <w:lang w:eastAsia="zh-CN"/>
        </w:rPr>
        <w:t>评审中价格扣除等政府采购促进中小企业发展的政府采购政策。</w:t>
      </w:r>
      <w:r>
        <w:rPr>
          <w:rFonts w:hint="eastAsia" w:ascii="仿宋" w:hAnsi="仿宋" w:eastAsia="仿宋" w:cs="仿宋"/>
          <w:color w:val="auto"/>
          <w:spacing w:val="-2"/>
          <w:sz w:val="24"/>
          <w:szCs w:val="24"/>
          <w:highlight w:val="none"/>
          <w:lang w:eastAsia="zh-CN"/>
        </w:rPr>
        <w:t>监狱企业定义：</w:t>
      </w:r>
      <w:r>
        <w:rPr>
          <w:rFonts w:hint="eastAsia" w:ascii="仿宋" w:hAnsi="仿宋" w:eastAsia="仿宋" w:cs="仿宋"/>
          <w:color w:val="auto"/>
          <w:spacing w:val="-3"/>
          <w:sz w:val="24"/>
          <w:szCs w:val="24"/>
          <w:highlight w:val="none"/>
          <w:lang w:eastAsia="zh-CN"/>
        </w:rPr>
        <w:t>是指由司法部认定的为罪犯、戒毒人员提供生产项目和劳动对象，且全部产权属于司法部监狱管理局、戒毒管理局、直属煤矿管理局，各省、自治区、直辖市监</w:t>
      </w:r>
      <w:r>
        <w:rPr>
          <w:rFonts w:hint="eastAsia" w:ascii="仿宋" w:hAnsi="仿宋" w:eastAsia="仿宋" w:cs="仿宋"/>
          <w:color w:val="auto"/>
          <w:spacing w:val="-8"/>
          <w:sz w:val="24"/>
          <w:szCs w:val="24"/>
          <w:highlight w:val="none"/>
          <w:lang w:eastAsia="zh-CN"/>
        </w:rPr>
        <w:t>狱管理局、戒毒管理局，各地（设区的市）监狱、强制隔离戒毒所、戒毒康复所，</w:t>
      </w:r>
      <w:r>
        <w:rPr>
          <w:rFonts w:hint="eastAsia" w:ascii="仿宋" w:hAnsi="仿宋" w:eastAsia="仿宋" w:cs="仿宋"/>
          <w:color w:val="auto"/>
          <w:spacing w:val="-1"/>
          <w:sz w:val="24"/>
          <w:szCs w:val="24"/>
          <w:highlight w:val="none"/>
          <w:lang w:eastAsia="zh-CN"/>
        </w:rPr>
        <w:t>以及新疆生产建设兵团监狱管理局、戒毒管理局的企业。</w:t>
      </w:r>
    </w:p>
    <w:p w14:paraId="01C6131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 在政府采购活动中，残疾人福利性单位视同小</w:t>
      </w:r>
      <w:r>
        <w:rPr>
          <w:rFonts w:hint="eastAsia" w:ascii="仿宋" w:hAnsi="仿宋" w:eastAsia="仿宋" w:cs="仿宋"/>
          <w:color w:val="auto"/>
          <w:spacing w:val="-1"/>
          <w:sz w:val="24"/>
          <w:szCs w:val="24"/>
          <w:highlight w:val="none"/>
          <w:lang w:eastAsia="zh-CN"/>
        </w:rPr>
        <w:t>型、微型企业，享受预</w:t>
      </w:r>
      <w:r>
        <w:rPr>
          <w:rFonts w:hint="eastAsia" w:ascii="仿宋" w:hAnsi="仿宋" w:eastAsia="仿宋" w:cs="仿宋"/>
          <w:color w:val="auto"/>
          <w:spacing w:val="-3"/>
          <w:sz w:val="24"/>
          <w:szCs w:val="24"/>
          <w:highlight w:val="none"/>
          <w:lang w:eastAsia="zh-CN"/>
        </w:rPr>
        <w:t>留份额、评审中价格扣除等促进中小企业发展的政府采购政策。残疾人福利性单</w:t>
      </w:r>
      <w:r>
        <w:rPr>
          <w:rFonts w:hint="eastAsia" w:ascii="仿宋" w:hAnsi="仿宋" w:eastAsia="仿宋" w:cs="仿宋"/>
          <w:color w:val="auto"/>
          <w:sz w:val="24"/>
          <w:szCs w:val="24"/>
          <w:highlight w:val="none"/>
          <w:lang w:eastAsia="zh-CN"/>
        </w:rPr>
        <w:t>位定义：享受政府采购支持政策的残疾人福利性单位</w:t>
      </w:r>
      <w:r>
        <w:rPr>
          <w:rFonts w:hint="eastAsia" w:ascii="仿宋" w:hAnsi="仿宋" w:eastAsia="仿宋" w:cs="仿宋"/>
          <w:color w:val="auto"/>
          <w:spacing w:val="-1"/>
          <w:sz w:val="24"/>
          <w:szCs w:val="24"/>
          <w:highlight w:val="none"/>
          <w:lang w:eastAsia="zh-CN"/>
        </w:rPr>
        <w:t>应当同时满足以下条件：</w:t>
      </w:r>
    </w:p>
    <w:p w14:paraId="75C244E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42.7.1 安置的残疾人占本单位在职职工人数的比例不低于 25%（含 25%</w:t>
      </w:r>
      <w:r>
        <w:rPr>
          <w:rFonts w:hint="eastAsia" w:ascii="仿宋" w:hAnsi="仿宋" w:eastAsia="仿宋" w:cs="仿宋"/>
          <w:color w:val="auto"/>
          <w:spacing w:val="-56"/>
          <w:w w:val="89"/>
          <w:sz w:val="24"/>
          <w:szCs w:val="24"/>
          <w:highlight w:val="none"/>
          <w:lang w:eastAsia="zh-CN"/>
        </w:rPr>
        <w:t>），</w:t>
      </w:r>
      <w:r>
        <w:rPr>
          <w:rFonts w:hint="eastAsia" w:ascii="仿宋" w:hAnsi="仿宋" w:eastAsia="仿宋" w:cs="仿宋"/>
          <w:color w:val="auto"/>
          <w:spacing w:val="-3"/>
          <w:sz w:val="24"/>
          <w:szCs w:val="24"/>
          <w:highlight w:val="none"/>
          <w:lang w:eastAsia="zh-CN"/>
        </w:rPr>
        <w:t>并且安置的残疾人人数不少于 10人（含10人</w:t>
      </w:r>
      <w:r>
        <w:rPr>
          <w:rFonts w:hint="eastAsia" w:ascii="仿宋" w:hAnsi="仿宋" w:eastAsia="仿宋" w:cs="仿宋"/>
          <w:color w:val="auto"/>
          <w:sz w:val="24"/>
          <w:szCs w:val="24"/>
          <w:highlight w:val="none"/>
          <w:lang w:eastAsia="zh-CN"/>
        </w:rPr>
        <w:t>）；</w:t>
      </w:r>
    </w:p>
    <w:p w14:paraId="6C1D0E7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42.7.2 依法与安置的每位残疾人签订了1年</w:t>
      </w:r>
      <w:r>
        <w:rPr>
          <w:rFonts w:hint="eastAsia" w:ascii="仿宋" w:hAnsi="仿宋" w:eastAsia="仿宋" w:cs="仿宋"/>
          <w:color w:val="auto"/>
          <w:spacing w:val="-3"/>
          <w:sz w:val="24"/>
          <w:szCs w:val="24"/>
          <w:highlight w:val="none"/>
          <w:lang w:eastAsia="zh-CN"/>
        </w:rPr>
        <w:t>以上（含1年）的劳动合同或</w:t>
      </w:r>
      <w:r>
        <w:rPr>
          <w:rFonts w:hint="eastAsia" w:ascii="仿宋" w:hAnsi="仿宋" w:eastAsia="仿宋" w:cs="仿宋"/>
          <w:color w:val="auto"/>
          <w:spacing w:val="-2"/>
          <w:sz w:val="24"/>
          <w:szCs w:val="24"/>
          <w:highlight w:val="none"/>
          <w:lang w:eastAsia="zh-CN"/>
        </w:rPr>
        <w:t>服务协议；</w:t>
      </w:r>
    </w:p>
    <w:p w14:paraId="08DBDDC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42.7.3 为安置的每位残疾人按月足额缴纳了基本养老保险、基本医疗保险、</w:t>
      </w:r>
      <w:r>
        <w:rPr>
          <w:rFonts w:hint="eastAsia" w:ascii="仿宋" w:hAnsi="仿宋" w:eastAsia="仿宋" w:cs="仿宋"/>
          <w:color w:val="auto"/>
          <w:spacing w:val="-1"/>
          <w:sz w:val="24"/>
          <w:szCs w:val="24"/>
          <w:highlight w:val="none"/>
          <w:lang w:eastAsia="zh-CN"/>
        </w:rPr>
        <w:t>失业保险、工伤保险和生育保险等社会保险费；</w:t>
      </w:r>
    </w:p>
    <w:p w14:paraId="3C694B40">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42.7.4 通过银行等金融机构向安置的每位残疾人，</w:t>
      </w:r>
      <w:r>
        <w:rPr>
          <w:rFonts w:hint="eastAsia" w:ascii="仿宋" w:hAnsi="仿宋" w:eastAsia="仿宋" w:cs="仿宋"/>
          <w:color w:val="auto"/>
          <w:spacing w:val="-1"/>
          <w:sz w:val="24"/>
          <w:szCs w:val="24"/>
          <w:highlight w:val="none"/>
          <w:lang w:eastAsia="zh-CN"/>
        </w:rPr>
        <w:t>按月支付了不低于单位所在区县适用的经省级人民政府批准的月最低工资标准的工资；</w:t>
      </w:r>
    </w:p>
    <w:p w14:paraId="2ABF8F6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42.7.5 提供本单位制造的货物、承担的工程或</w:t>
      </w:r>
      <w:r>
        <w:rPr>
          <w:rFonts w:hint="eastAsia" w:ascii="仿宋" w:hAnsi="仿宋" w:eastAsia="仿宋" w:cs="仿宋"/>
          <w:color w:val="auto"/>
          <w:spacing w:val="-1"/>
          <w:sz w:val="24"/>
          <w:szCs w:val="24"/>
          <w:highlight w:val="none"/>
          <w:lang w:eastAsia="zh-CN"/>
        </w:rPr>
        <w:t>者服务（以下简称产品</w:t>
      </w:r>
      <w:r>
        <w:rPr>
          <w:rFonts w:hint="eastAsia" w:ascii="仿宋" w:hAnsi="仿宋" w:eastAsia="仿宋" w:cs="仿宋"/>
          <w:color w:val="auto"/>
          <w:spacing w:val="13"/>
          <w:sz w:val="24"/>
          <w:szCs w:val="24"/>
          <w:highlight w:val="none"/>
          <w:lang w:eastAsia="zh-CN"/>
        </w:rPr>
        <w:t>），</w:t>
      </w:r>
      <w:r>
        <w:rPr>
          <w:rFonts w:hint="eastAsia" w:ascii="仿宋" w:hAnsi="仿宋" w:eastAsia="仿宋" w:cs="仿宋"/>
          <w:color w:val="auto"/>
          <w:spacing w:val="-3"/>
          <w:sz w:val="24"/>
          <w:szCs w:val="24"/>
          <w:highlight w:val="none"/>
          <w:lang w:eastAsia="zh-CN"/>
        </w:rPr>
        <w:t>或者提供其他残疾人福利性单位制造的货物（不包括使用非残疾人福利性单位注</w:t>
      </w:r>
      <w:r>
        <w:rPr>
          <w:rFonts w:hint="eastAsia" w:ascii="仿宋" w:hAnsi="仿宋" w:eastAsia="仿宋" w:cs="仿宋"/>
          <w:color w:val="auto"/>
          <w:spacing w:val="-2"/>
          <w:sz w:val="24"/>
          <w:szCs w:val="24"/>
          <w:highlight w:val="none"/>
          <w:lang w:eastAsia="zh-CN"/>
        </w:rPr>
        <w:t>册商标的货物</w:t>
      </w:r>
      <w:r>
        <w:rPr>
          <w:rFonts w:hint="eastAsia" w:ascii="仿宋" w:hAnsi="仿宋" w:eastAsia="仿宋" w:cs="仿宋"/>
          <w:color w:val="auto"/>
          <w:sz w:val="24"/>
          <w:szCs w:val="24"/>
          <w:highlight w:val="none"/>
          <w:lang w:eastAsia="zh-CN"/>
        </w:rPr>
        <w:t>）；</w:t>
      </w:r>
    </w:p>
    <w:p w14:paraId="220F783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42.7.6 前款所称残疾人是指法定劳动年龄内，持有</w:t>
      </w:r>
      <w:r>
        <w:rPr>
          <w:rFonts w:hint="eastAsia" w:ascii="仿宋" w:hAnsi="仿宋" w:eastAsia="仿宋" w:cs="仿宋"/>
          <w:color w:val="auto"/>
          <w:spacing w:val="-1"/>
          <w:sz w:val="24"/>
          <w:szCs w:val="24"/>
          <w:highlight w:val="none"/>
          <w:lang w:eastAsia="zh-CN"/>
        </w:rPr>
        <w:t>《中华人民共和国残疾</w:t>
      </w:r>
      <w:r>
        <w:rPr>
          <w:rFonts w:hint="eastAsia" w:ascii="仿宋" w:hAnsi="仿宋" w:eastAsia="仿宋" w:cs="仿宋"/>
          <w:color w:val="auto"/>
          <w:sz w:val="24"/>
          <w:szCs w:val="24"/>
          <w:highlight w:val="none"/>
          <w:lang w:eastAsia="zh-CN"/>
        </w:rPr>
        <w:t>人证》或者《中华人民共和国残疾军人证（1 至 8</w:t>
      </w:r>
      <w:r>
        <w:rPr>
          <w:rFonts w:hint="eastAsia" w:ascii="仿宋" w:hAnsi="仿宋" w:eastAsia="仿宋" w:cs="仿宋"/>
          <w:color w:val="auto"/>
          <w:spacing w:val="-1"/>
          <w:sz w:val="24"/>
          <w:szCs w:val="24"/>
          <w:highlight w:val="none"/>
          <w:lang w:eastAsia="zh-CN"/>
        </w:rPr>
        <w:t xml:space="preserve"> 级）》的自然人，包括具有</w:t>
      </w:r>
      <w:r>
        <w:rPr>
          <w:rFonts w:hint="eastAsia" w:ascii="仿宋" w:hAnsi="仿宋" w:eastAsia="仿宋" w:cs="仿宋"/>
          <w:color w:val="auto"/>
          <w:spacing w:val="-3"/>
          <w:sz w:val="24"/>
          <w:szCs w:val="24"/>
          <w:highlight w:val="none"/>
          <w:lang w:eastAsia="zh-CN"/>
        </w:rPr>
        <w:t>劳动条件和劳动意愿的精神残疾人。在职职工人数是指与残疾人福利性单位建立</w:t>
      </w:r>
      <w:r>
        <w:rPr>
          <w:rFonts w:hint="eastAsia" w:ascii="仿宋" w:hAnsi="仿宋" w:eastAsia="仿宋" w:cs="仿宋"/>
          <w:color w:val="auto"/>
          <w:spacing w:val="-1"/>
          <w:sz w:val="24"/>
          <w:szCs w:val="24"/>
          <w:highlight w:val="none"/>
          <w:lang w:eastAsia="zh-CN"/>
        </w:rPr>
        <w:t>劳动关系并依法签订劳动合同或服务协议的雇员人数。</w:t>
      </w:r>
    </w:p>
    <w:p w14:paraId="729B5CB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42.8 本项目是否专门面向中小企业预留采购份额见“第一章 招标公告”。</w:t>
      </w:r>
    </w:p>
    <w:p w14:paraId="0D9261F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42.9 采购标的对应的中小企业划分标准所属行业见“投标人须知前附表”。</w:t>
      </w:r>
    </w:p>
    <w:p w14:paraId="06596F8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42.10 小微企业价格评审优惠的政策调整：见“投标人须知前附表”及“第</w:t>
      </w:r>
      <w:r>
        <w:rPr>
          <w:rFonts w:hint="eastAsia" w:ascii="仿宋" w:hAnsi="仿宋" w:eastAsia="仿宋" w:cs="仿宋"/>
          <w:color w:val="auto"/>
          <w:spacing w:val="-2"/>
          <w:sz w:val="24"/>
          <w:szCs w:val="24"/>
          <w:highlight w:val="none"/>
          <w:lang w:eastAsia="zh-CN"/>
        </w:rPr>
        <w:t>五章 评标方法及标准”。</w:t>
      </w:r>
    </w:p>
    <w:p w14:paraId="47A6B35F">
      <w:pPr>
        <w:spacing w:line="360" w:lineRule="auto"/>
        <w:ind w:left="31" w:right="-27" w:rightChars="-13"/>
        <w:outlineLvl w:val="2"/>
        <w:rPr>
          <w:rFonts w:ascii="仿宋" w:hAnsi="仿宋" w:eastAsia="仿宋" w:cs="仿宋"/>
          <w:color w:val="auto"/>
          <w:sz w:val="24"/>
          <w:szCs w:val="24"/>
          <w:highlight w:val="none"/>
          <w:lang w:eastAsia="zh-CN"/>
        </w:rPr>
      </w:pPr>
      <w:bookmarkStart w:id="241" w:name="bookmark140"/>
      <w:bookmarkEnd w:id="241"/>
      <w:bookmarkStart w:id="242" w:name="bookmark134"/>
      <w:bookmarkEnd w:id="242"/>
      <w:bookmarkStart w:id="243" w:name="bookmark133"/>
      <w:bookmarkEnd w:id="243"/>
      <w:bookmarkStart w:id="244" w:name="bookmark136"/>
      <w:bookmarkEnd w:id="244"/>
      <w:bookmarkStart w:id="245" w:name="bookmark138"/>
      <w:bookmarkEnd w:id="245"/>
      <w:bookmarkStart w:id="246" w:name="_Toc186477739"/>
      <w:bookmarkStart w:id="247" w:name="_Toc5675"/>
      <w:r>
        <w:rPr>
          <w:rFonts w:hint="eastAsia" w:ascii="仿宋" w:hAnsi="仿宋" w:eastAsia="仿宋" w:cs="仿宋"/>
          <w:b/>
          <w:bCs/>
          <w:color w:val="auto"/>
          <w:spacing w:val="-3"/>
          <w:sz w:val="24"/>
          <w:szCs w:val="24"/>
          <w:highlight w:val="none"/>
          <w:lang w:eastAsia="zh-CN"/>
        </w:rPr>
        <w:t>43.政府采购节能产品、环境标志产品</w:t>
      </w:r>
      <w:bookmarkEnd w:id="246"/>
      <w:bookmarkEnd w:id="247"/>
    </w:p>
    <w:p w14:paraId="49B139B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43.1 政府采购节能产品、环境标志产品实施品目清</w:t>
      </w:r>
      <w:r>
        <w:rPr>
          <w:rFonts w:hint="eastAsia" w:ascii="仿宋" w:hAnsi="仿宋" w:eastAsia="仿宋" w:cs="仿宋"/>
          <w:color w:val="auto"/>
          <w:spacing w:val="-1"/>
          <w:sz w:val="24"/>
          <w:szCs w:val="24"/>
          <w:highlight w:val="none"/>
          <w:lang w:eastAsia="zh-CN"/>
        </w:rPr>
        <w:t>单管理。财政部、发展</w:t>
      </w:r>
      <w:r>
        <w:rPr>
          <w:rFonts w:hint="eastAsia" w:ascii="仿宋" w:hAnsi="仿宋" w:eastAsia="仿宋" w:cs="仿宋"/>
          <w:color w:val="auto"/>
          <w:spacing w:val="-3"/>
          <w:sz w:val="24"/>
          <w:szCs w:val="24"/>
          <w:highlight w:val="none"/>
          <w:lang w:eastAsia="zh-CN"/>
        </w:rPr>
        <w:t>改革委、生态环境部等部门根据产品节能环保性能、技术水平和市场成熟程度等</w:t>
      </w:r>
      <w:r>
        <w:rPr>
          <w:rFonts w:hint="eastAsia" w:ascii="仿宋" w:hAnsi="仿宋" w:eastAsia="仿宋" w:cs="仿宋"/>
          <w:color w:val="auto"/>
          <w:spacing w:val="-1"/>
          <w:sz w:val="24"/>
          <w:szCs w:val="24"/>
          <w:highlight w:val="none"/>
          <w:lang w:eastAsia="zh-CN"/>
        </w:rPr>
        <w:t>因素，确定实施政府优先采购和强制采购的产品类别及所依据的相关标准规范，</w:t>
      </w:r>
      <w:r>
        <w:rPr>
          <w:rFonts w:hint="eastAsia" w:ascii="仿宋" w:hAnsi="仿宋" w:eastAsia="仿宋" w:cs="仿宋"/>
          <w:color w:val="auto"/>
          <w:spacing w:val="-3"/>
          <w:sz w:val="24"/>
          <w:szCs w:val="24"/>
          <w:highlight w:val="none"/>
          <w:lang w:eastAsia="zh-CN"/>
        </w:rPr>
        <w:t>以品目清单的形式发布并适时调整。依据品目清单和认证证书实施政府优先采购和强制采购。关于政府采购节能产品、环境标志产品的相关规定依据《关于调整</w:t>
      </w:r>
      <w:r>
        <w:rPr>
          <w:rFonts w:hint="eastAsia" w:ascii="仿宋" w:hAnsi="仿宋" w:eastAsia="仿宋" w:cs="仿宋"/>
          <w:color w:val="auto"/>
          <w:spacing w:val="-7"/>
          <w:sz w:val="24"/>
          <w:szCs w:val="24"/>
          <w:highlight w:val="none"/>
          <w:lang w:eastAsia="zh-CN"/>
        </w:rPr>
        <w:t>优化节能产品、环境标志产品政府采购执行机制的通知》（财库〔2019〕9 号）、</w:t>
      </w:r>
      <w:r>
        <w:rPr>
          <w:rFonts w:hint="eastAsia" w:ascii="仿宋" w:hAnsi="仿宋" w:eastAsia="仿宋" w:cs="仿宋"/>
          <w:color w:val="auto"/>
          <w:spacing w:val="-1"/>
          <w:sz w:val="24"/>
          <w:szCs w:val="24"/>
          <w:highlight w:val="none"/>
          <w:lang w:eastAsia="zh-CN"/>
        </w:rPr>
        <w:t>《关于印发环境标志产品政府采购品目清单的通知》（财库〔2019〕18号）、</w:t>
      </w:r>
      <w:r>
        <w:rPr>
          <w:rFonts w:hint="eastAsia" w:ascii="仿宋" w:hAnsi="仿宋" w:eastAsia="仿宋" w:cs="仿宋"/>
          <w:color w:val="auto"/>
          <w:spacing w:val="-3"/>
          <w:sz w:val="24"/>
          <w:szCs w:val="24"/>
          <w:highlight w:val="none"/>
          <w:lang w:eastAsia="zh-CN"/>
        </w:rPr>
        <w:t>《关于印发节能产品政府采购品目清单的通知》（财库〔2019〕19号）的规定。</w:t>
      </w:r>
    </w:p>
    <w:p w14:paraId="46C5A06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43.2 采购人拟采购的产品属于品目清单范围的，采</w:t>
      </w:r>
      <w:r>
        <w:rPr>
          <w:rFonts w:hint="eastAsia" w:ascii="仿宋" w:hAnsi="仿宋" w:eastAsia="仿宋" w:cs="仿宋"/>
          <w:color w:val="auto"/>
          <w:spacing w:val="-1"/>
          <w:sz w:val="24"/>
          <w:szCs w:val="24"/>
          <w:highlight w:val="none"/>
          <w:lang w:eastAsia="zh-CN"/>
        </w:rPr>
        <w:t>购人及其委托的采购代</w:t>
      </w:r>
      <w:r>
        <w:rPr>
          <w:rFonts w:hint="eastAsia" w:ascii="仿宋" w:hAnsi="仿宋" w:eastAsia="仿宋" w:cs="仿宋"/>
          <w:color w:val="auto"/>
          <w:spacing w:val="-3"/>
          <w:sz w:val="24"/>
          <w:szCs w:val="24"/>
          <w:highlight w:val="none"/>
          <w:lang w:eastAsia="zh-CN"/>
        </w:rPr>
        <w:t>理机构依据国家确定的认证机构出具的、处于有效期之内的节能产品、环境标志</w:t>
      </w:r>
      <w:r>
        <w:rPr>
          <w:rFonts w:hint="eastAsia" w:ascii="仿宋" w:hAnsi="仿宋" w:eastAsia="仿宋" w:cs="仿宋"/>
          <w:color w:val="auto"/>
          <w:spacing w:val="-1"/>
          <w:sz w:val="24"/>
          <w:szCs w:val="24"/>
          <w:highlight w:val="none"/>
          <w:lang w:eastAsia="zh-CN"/>
        </w:rPr>
        <w:t>产品认证证书，对获得证书的产品实施政府优先采购或强制采购。</w:t>
      </w:r>
    </w:p>
    <w:p w14:paraId="009FC7A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43.3 如本项目采购产品属于实施政府强制采购品目清单范围的节能产品，</w:t>
      </w:r>
      <w:r>
        <w:rPr>
          <w:rFonts w:hint="eastAsia" w:ascii="仿宋" w:hAnsi="仿宋" w:eastAsia="仿宋" w:cs="仿宋"/>
          <w:color w:val="auto"/>
          <w:spacing w:val="-3"/>
          <w:sz w:val="24"/>
          <w:szCs w:val="24"/>
          <w:highlight w:val="none"/>
          <w:lang w:eastAsia="zh-CN"/>
        </w:rPr>
        <w:t>则投标人所报产品必须获得国家确定的认证机构出具的、处于有效期之内的节能</w:t>
      </w:r>
      <w:r>
        <w:rPr>
          <w:rFonts w:hint="eastAsia" w:ascii="仿宋" w:hAnsi="仿宋" w:eastAsia="仿宋" w:cs="仿宋"/>
          <w:color w:val="auto"/>
          <w:spacing w:val="-2"/>
          <w:sz w:val="24"/>
          <w:szCs w:val="24"/>
          <w:highlight w:val="none"/>
          <w:lang w:eastAsia="zh-CN"/>
        </w:rPr>
        <w:t>产品认证证书，否则</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53E942C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43.4 非政府强制采购的节能产品或环境标志产品，</w:t>
      </w:r>
      <w:r>
        <w:rPr>
          <w:rFonts w:hint="eastAsia" w:ascii="仿宋" w:hAnsi="仿宋" w:eastAsia="仿宋" w:cs="仿宋"/>
          <w:color w:val="auto"/>
          <w:spacing w:val="-1"/>
          <w:sz w:val="24"/>
          <w:szCs w:val="24"/>
          <w:highlight w:val="none"/>
          <w:lang w:eastAsia="zh-CN"/>
        </w:rPr>
        <w:t>依据品目清单和认证证书实施政府优先采购。优先采购的具体规定见“第五章</w:t>
      </w:r>
      <w:r>
        <w:rPr>
          <w:rFonts w:hint="eastAsia" w:ascii="仿宋" w:hAnsi="仿宋" w:eastAsia="仿宋" w:cs="仿宋"/>
          <w:color w:val="auto"/>
          <w:spacing w:val="-2"/>
          <w:sz w:val="24"/>
          <w:szCs w:val="24"/>
          <w:highlight w:val="none"/>
          <w:lang w:eastAsia="zh-CN"/>
        </w:rPr>
        <w:t>评标方法及标准”</w:t>
      </w:r>
      <w:bookmarkStart w:id="248" w:name="OLE_LINK17"/>
      <w:bookmarkStart w:id="249" w:name="OLE_LINK16"/>
      <w:r>
        <w:rPr>
          <w:rFonts w:hint="eastAsia" w:ascii="仿宋" w:hAnsi="仿宋" w:eastAsia="仿宋" w:cs="仿宋"/>
          <w:color w:val="auto"/>
          <w:spacing w:val="-2"/>
          <w:sz w:val="24"/>
          <w:szCs w:val="24"/>
          <w:highlight w:val="none"/>
          <w:lang w:eastAsia="zh-CN"/>
        </w:rPr>
        <w:t>（如</w:t>
      </w:r>
      <w:r>
        <w:rPr>
          <w:rFonts w:hint="eastAsia" w:ascii="仿宋" w:hAnsi="仿宋" w:eastAsia="仿宋" w:cs="仿宋"/>
          <w:color w:val="auto"/>
          <w:spacing w:val="-3"/>
          <w:sz w:val="24"/>
          <w:szCs w:val="24"/>
          <w:highlight w:val="none"/>
          <w:lang w:eastAsia="zh-CN"/>
        </w:rPr>
        <w:t>涉及）</w:t>
      </w:r>
      <w:bookmarkEnd w:id="248"/>
      <w:bookmarkEnd w:id="249"/>
      <w:r>
        <w:rPr>
          <w:rFonts w:hint="eastAsia" w:ascii="仿宋" w:hAnsi="仿宋" w:eastAsia="仿宋" w:cs="仿宋"/>
          <w:color w:val="auto"/>
          <w:spacing w:val="-3"/>
          <w:sz w:val="24"/>
          <w:szCs w:val="24"/>
          <w:highlight w:val="none"/>
          <w:lang w:eastAsia="zh-CN"/>
        </w:rPr>
        <w:t>。</w:t>
      </w:r>
    </w:p>
    <w:p w14:paraId="0FA229F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43.5 投标人所投产品如属于节能产品政府采购品目</w:t>
      </w:r>
      <w:r>
        <w:rPr>
          <w:rFonts w:hint="eastAsia" w:ascii="仿宋" w:hAnsi="仿宋" w:eastAsia="仿宋" w:cs="仿宋"/>
          <w:color w:val="auto"/>
          <w:spacing w:val="-1"/>
          <w:sz w:val="24"/>
          <w:szCs w:val="24"/>
          <w:highlight w:val="none"/>
          <w:lang w:eastAsia="zh-CN"/>
        </w:rPr>
        <w:t>清单、环境标志产品政</w:t>
      </w:r>
      <w:r>
        <w:rPr>
          <w:rFonts w:hint="eastAsia" w:ascii="仿宋" w:hAnsi="仿宋" w:eastAsia="仿宋" w:cs="仿宋"/>
          <w:color w:val="auto"/>
          <w:spacing w:val="-3"/>
          <w:sz w:val="24"/>
          <w:szCs w:val="24"/>
          <w:highlight w:val="none"/>
          <w:lang w:eastAsia="zh-CN"/>
        </w:rPr>
        <w:t>府采购品目清单范围的，须提供国家确定的认证机构出具的、处于有效期内的产品认证证书，认证证书的产品型号与所投产品不一致的，视为未提供。属于政府强制采购产品的，已作为投标时强制性要求不再给予价格评审优惠，未提供认证证书的视为</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。属于优先采购节能产品政府采购品目</w:t>
      </w:r>
      <w:r>
        <w:rPr>
          <w:rFonts w:hint="eastAsia" w:ascii="仿宋" w:hAnsi="仿宋" w:eastAsia="仿宋" w:cs="仿宋"/>
          <w:color w:val="auto"/>
          <w:spacing w:val="-4"/>
          <w:sz w:val="24"/>
          <w:szCs w:val="24"/>
          <w:highlight w:val="none"/>
          <w:lang w:eastAsia="zh-CN"/>
        </w:rPr>
        <w:t>清单、环境标志产品</w:t>
      </w:r>
      <w:r>
        <w:rPr>
          <w:rFonts w:hint="eastAsia" w:ascii="仿宋" w:hAnsi="仿宋" w:eastAsia="仿宋" w:cs="仿宋"/>
          <w:color w:val="auto"/>
          <w:spacing w:val="-1"/>
          <w:sz w:val="24"/>
          <w:szCs w:val="24"/>
          <w:highlight w:val="none"/>
          <w:lang w:eastAsia="zh-CN"/>
        </w:rPr>
        <w:t>政府采购品目清单范围的，按照“第五章 评标方法</w:t>
      </w:r>
      <w:r>
        <w:rPr>
          <w:rFonts w:hint="eastAsia" w:ascii="仿宋" w:hAnsi="仿宋" w:eastAsia="仿宋" w:cs="仿宋"/>
          <w:color w:val="auto"/>
          <w:spacing w:val="-2"/>
          <w:sz w:val="24"/>
          <w:szCs w:val="24"/>
          <w:highlight w:val="none"/>
          <w:lang w:eastAsia="zh-CN"/>
        </w:rPr>
        <w:t>及标准”中相关</w:t>
      </w:r>
      <w:r>
        <w:rPr>
          <w:rFonts w:hint="eastAsia" w:ascii="仿宋" w:hAnsi="仿宋" w:eastAsia="仿宋" w:cs="仿宋"/>
          <w:color w:val="auto"/>
          <w:spacing w:val="-1"/>
          <w:sz w:val="24"/>
          <w:szCs w:val="24"/>
          <w:highlight w:val="none"/>
          <w:lang w:eastAsia="zh-CN"/>
        </w:rPr>
        <w:t>规定在评审时给予价格评审优惠，具体详见“投标人须知前</w:t>
      </w:r>
      <w:r>
        <w:rPr>
          <w:rFonts w:hint="eastAsia" w:ascii="仿宋" w:hAnsi="仿宋" w:eastAsia="仿宋" w:cs="仿宋"/>
          <w:color w:val="auto"/>
          <w:spacing w:val="-2"/>
          <w:sz w:val="24"/>
          <w:szCs w:val="24"/>
          <w:highlight w:val="none"/>
          <w:lang w:eastAsia="zh-CN"/>
        </w:rPr>
        <w:t>附表”及“第五章</w:t>
      </w:r>
      <w:r>
        <w:rPr>
          <w:rFonts w:hint="eastAsia" w:ascii="仿宋" w:hAnsi="仿宋" w:eastAsia="仿宋" w:cs="仿宋"/>
          <w:color w:val="auto"/>
          <w:spacing w:val="-1"/>
          <w:sz w:val="24"/>
          <w:szCs w:val="24"/>
          <w:highlight w:val="none"/>
          <w:lang w:eastAsia="zh-CN"/>
        </w:rPr>
        <w:t>评标方法及标准”。</w:t>
      </w:r>
    </w:p>
    <w:p w14:paraId="1234A973">
      <w:pPr>
        <w:spacing w:line="360" w:lineRule="auto"/>
        <w:ind w:left="31" w:right="-27" w:rightChars="-13"/>
        <w:outlineLvl w:val="2"/>
        <w:rPr>
          <w:rFonts w:ascii="仿宋" w:hAnsi="仿宋" w:eastAsia="仿宋" w:cs="仿宋"/>
          <w:color w:val="auto"/>
          <w:sz w:val="24"/>
          <w:szCs w:val="24"/>
          <w:highlight w:val="none"/>
          <w:lang w:eastAsia="zh-CN"/>
        </w:rPr>
      </w:pPr>
      <w:bookmarkStart w:id="250" w:name="bookmark142"/>
      <w:bookmarkEnd w:id="250"/>
      <w:bookmarkStart w:id="251" w:name="bookmark135"/>
      <w:bookmarkEnd w:id="251"/>
      <w:bookmarkStart w:id="252" w:name="_Toc180"/>
      <w:bookmarkStart w:id="253" w:name="_Toc186477740"/>
      <w:r>
        <w:rPr>
          <w:rFonts w:hint="eastAsia" w:ascii="仿宋" w:hAnsi="仿宋" w:eastAsia="仿宋" w:cs="仿宋"/>
          <w:b/>
          <w:bCs/>
          <w:color w:val="auto"/>
          <w:spacing w:val="-4"/>
          <w:sz w:val="24"/>
          <w:szCs w:val="24"/>
          <w:highlight w:val="none"/>
          <w:lang w:eastAsia="zh-CN"/>
        </w:rPr>
        <w:t>44.正版软件</w:t>
      </w:r>
      <w:bookmarkEnd w:id="252"/>
      <w:bookmarkEnd w:id="253"/>
    </w:p>
    <w:p w14:paraId="125344C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44.1 依据《财政部国家发展改革委 信息产业部关于印</w:t>
      </w:r>
      <w:r>
        <w:rPr>
          <w:rFonts w:hint="eastAsia" w:ascii="仿宋" w:hAnsi="仿宋" w:eastAsia="仿宋" w:cs="仿宋"/>
          <w:color w:val="auto"/>
          <w:spacing w:val="-2"/>
          <w:sz w:val="24"/>
          <w:szCs w:val="24"/>
          <w:highlight w:val="none"/>
          <w:lang w:eastAsia="zh-CN"/>
        </w:rPr>
        <w:t>发无线局域网产品政府采购实施意见的通知》（财库〔2005〕366 号</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2"/>
          <w:sz w:val="24"/>
          <w:szCs w:val="24"/>
          <w:highlight w:val="none"/>
          <w:lang w:eastAsia="zh-CN"/>
        </w:rPr>
        <w:t>采购无线</w:t>
      </w:r>
      <w:r>
        <w:rPr>
          <w:rFonts w:hint="eastAsia" w:ascii="仿宋" w:hAnsi="仿宋" w:eastAsia="仿宋" w:cs="仿宋"/>
          <w:color w:val="auto"/>
          <w:spacing w:val="-3"/>
          <w:sz w:val="24"/>
          <w:szCs w:val="24"/>
          <w:highlight w:val="none"/>
          <w:lang w:eastAsia="zh-CN"/>
        </w:rPr>
        <w:t>局域网产品和含有无线局域网功能的计算机、通信设备、打印机、复印机、投影仪等产品的，优</w:t>
      </w:r>
      <w:r>
        <w:rPr>
          <w:rFonts w:hint="eastAsia" w:ascii="仿宋" w:hAnsi="仿宋" w:eastAsia="仿宋" w:cs="仿宋"/>
          <w:color w:val="auto"/>
          <w:spacing w:val="-2"/>
          <w:sz w:val="24"/>
          <w:szCs w:val="24"/>
          <w:highlight w:val="none"/>
          <w:lang w:eastAsia="zh-CN"/>
        </w:rPr>
        <w:t>先采购符合国家无线局域网安全标准（GB 15629.</w:t>
      </w:r>
      <w:r>
        <w:rPr>
          <w:rFonts w:hint="eastAsia" w:ascii="仿宋" w:hAnsi="仿宋" w:eastAsia="仿宋" w:cs="仿宋"/>
          <w:color w:val="auto"/>
          <w:spacing w:val="-3"/>
          <w:sz w:val="24"/>
          <w:szCs w:val="24"/>
          <w:highlight w:val="none"/>
          <w:lang w:eastAsia="zh-CN"/>
        </w:rPr>
        <w:t>11/1102）并通过国家产品认证的产品。其中，国家有特殊信息安全要求的项目必须采购认证产品</w:t>
      </w:r>
      <w:r>
        <w:rPr>
          <w:rFonts w:hint="eastAsia" w:ascii="仿宋" w:hAnsi="仿宋" w:eastAsia="仿宋" w:cs="仿宋"/>
          <w:color w:val="auto"/>
          <w:spacing w:val="-4"/>
          <w:sz w:val="24"/>
          <w:szCs w:val="24"/>
          <w:highlight w:val="none"/>
          <w:lang w:eastAsia="zh-CN"/>
        </w:rPr>
        <w:t>，否则</w:t>
      </w:r>
      <w:r>
        <w:rPr>
          <w:rFonts w:hint="eastAsia" w:ascii="仿宋" w:hAnsi="仿宋" w:eastAsia="仿宋" w:cs="仿宋"/>
          <w:b/>
          <w:bCs/>
          <w:color w:val="auto"/>
          <w:spacing w:val="-4"/>
          <w:sz w:val="24"/>
          <w:szCs w:val="24"/>
          <w:highlight w:val="none"/>
          <w:lang w:eastAsia="zh-CN"/>
        </w:rPr>
        <w:t>投标无</w:t>
      </w:r>
      <w:r>
        <w:rPr>
          <w:rFonts w:hint="eastAsia" w:ascii="仿宋" w:hAnsi="仿宋" w:eastAsia="仿宋" w:cs="仿宋"/>
          <w:b/>
          <w:bCs/>
          <w:color w:val="auto"/>
          <w:spacing w:val="-3"/>
          <w:sz w:val="24"/>
          <w:szCs w:val="24"/>
          <w:highlight w:val="none"/>
          <w:lang w:eastAsia="zh-CN"/>
        </w:rPr>
        <w:t>效</w:t>
      </w:r>
      <w:r>
        <w:rPr>
          <w:rFonts w:hint="eastAsia" w:ascii="仿宋" w:hAnsi="仿宋" w:eastAsia="仿宋" w:cs="仿宋"/>
          <w:color w:val="auto"/>
          <w:spacing w:val="-3"/>
          <w:sz w:val="24"/>
          <w:szCs w:val="24"/>
          <w:highlight w:val="none"/>
          <w:lang w:eastAsia="zh-CN"/>
        </w:rPr>
        <w:t>。财政部、国家发展改革委、信息产业部根据政府采购改革进展和无线局域网产品技术及市场成熟等情况，从国家指定的认证机构认证的生产厂商和产品型号</w:t>
      </w:r>
      <w:r>
        <w:rPr>
          <w:rFonts w:hint="eastAsia" w:ascii="仿宋" w:hAnsi="仿宋" w:eastAsia="仿宋" w:cs="仿宋"/>
          <w:color w:val="auto"/>
          <w:spacing w:val="-4"/>
          <w:sz w:val="24"/>
          <w:szCs w:val="24"/>
          <w:highlight w:val="none"/>
          <w:lang w:eastAsia="zh-CN"/>
        </w:rPr>
        <w:t>中确定优先采购的产品，并以“无线局域网认证产品政府采购清单”（以下简称</w:t>
      </w:r>
      <w:r>
        <w:rPr>
          <w:rFonts w:hint="eastAsia" w:ascii="仿宋" w:hAnsi="仿宋" w:eastAsia="仿宋" w:cs="仿宋"/>
          <w:color w:val="auto"/>
          <w:spacing w:val="-3"/>
          <w:sz w:val="24"/>
          <w:szCs w:val="24"/>
          <w:highlight w:val="none"/>
          <w:lang w:eastAsia="zh-CN"/>
        </w:rPr>
        <w:t>清单）的形式公布。清单中新增认证产品厂商和型号，由财政部、国家发展改革</w:t>
      </w:r>
      <w:r>
        <w:rPr>
          <w:rFonts w:hint="eastAsia" w:ascii="仿宋" w:hAnsi="仿宋" w:eastAsia="仿宋" w:cs="仿宋"/>
          <w:color w:val="auto"/>
          <w:spacing w:val="-1"/>
          <w:sz w:val="24"/>
          <w:szCs w:val="24"/>
          <w:highlight w:val="none"/>
          <w:lang w:eastAsia="zh-CN"/>
        </w:rPr>
        <w:t>委、信息产业部以文件形式确定、公布并适时调整。</w:t>
      </w:r>
    </w:p>
    <w:p w14:paraId="36D1C82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44.2 各级政府部门在购置计算机办公设备时，必须</w:t>
      </w:r>
      <w:r>
        <w:rPr>
          <w:rFonts w:hint="eastAsia" w:ascii="仿宋" w:hAnsi="仿宋" w:eastAsia="仿宋" w:cs="仿宋"/>
          <w:color w:val="auto"/>
          <w:spacing w:val="-1"/>
          <w:sz w:val="24"/>
          <w:szCs w:val="24"/>
          <w:highlight w:val="none"/>
          <w:lang w:eastAsia="zh-CN"/>
        </w:rPr>
        <w:t>采购预装正版操作系统</w:t>
      </w:r>
      <w:r>
        <w:rPr>
          <w:rFonts w:hint="eastAsia" w:ascii="仿宋" w:hAnsi="仿宋" w:eastAsia="仿宋" w:cs="仿宋"/>
          <w:color w:val="auto"/>
          <w:spacing w:val="-3"/>
          <w:sz w:val="24"/>
          <w:szCs w:val="24"/>
          <w:highlight w:val="none"/>
          <w:lang w:eastAsia="zh-CN"/>
        </w:rPr>
        <w:t>软件的计算机产品，相关规定依据《国家版权局、信息产业部、财政部、国务院</w:t>
      </w:r>
      <w:r>
        <w:rPr>
          <w:rFonts w:hint="eastAsia" w:ascii="仿宋" w:hAnsi="仿宋" w:eastAsia="仿宋" w:cs="仿宋"/>
          <w:color w:val="auto"/>
          <w:sz w:val="24"/>
          <w:szCs w:val="24"/>
          <w:highlight w:val="none"/>
          <w:lang w:eastAsia="zh-CN"/>
        </w:rPr>
        <w:t>机关事务管理局关于政府部门购置计算机办公设备必须</w:t>
      </w:r>
      <w:r>
        <w:rPr>
          <w:rFonts w:hint="eastAsia" w:ascii="仿宋" w:hAnsi="仿宋" w:eastAsia="仿宋" w:cs="仿宋"/>
          <w:color w:val="auto"/>
          <w:spacing w:val="-1"/>
          <w:sz w:val="24"/>
          <w:szCs w:val="24"/>
          <w:highlight w:val="none"/>
          <w:lang w:eastAsia="zh-CN"/>
        </w:rPr>
        <w:t>采购已预装正版操作系</w:t>
      </w:r>
      <w:r>
        <w:rPr>
          <w:rFonts w:hint="eastAsia" w:ascii="仿宋" w:hAnsi="仿宋" w:eastAsia="仿宋" w:cs="仿宋"/>
          <w:color w:val="auto"/>
          <w:spacing w:val="-3"/>
          <w:sz w:val="24"/>
          <w:szCs w:val="24"/>
          <w:highlight w:val="none"/>
          <w:lang w:eastAsia="zh-CN"/>
        </w:rPr>
        <w:t>统软件产品的通知》（国权联〔2006〕1 号）、《国务院办公厅关于进一步做好</w:t>
      </w:r>
      <w:r>
        <w:rPr>
          <w:rFonts w:hint="eastAsia" w:ascii="仿宋" w:hAnsi="仿宋" w:eastAsia="仿宋" w:cs="仿宋"/>
          <w:color w:val="auto"/>
          <w:sz w:val="24"/>
          <w:szCs w:val="24"/>
          <w:highlight w:val="none"/>
          <w:lang w:eastAsia="zh-CN"/>
        </w:rPr>
        <w:t>政府机关使用正版软件工作的通知》（国办发〔2010〕47</w:t>
      </w:r>
      <w:r>
        <w:rPr>
          <w:rFonts w:hint="eastAsia" w:ascii="仿宋" w:hAnsi="仿宋" w:eastAsia="仿宋" w:cs="仿宋"/>
          <w:color w:val="auto"/>
          <w:spacing w:val="-1"/>
          <w:sz w:val="24"/>
          <w:szCs w:val="24"/>
          <w:highlight w:val="none"/>
          <w:lang w:eastAsia="zh-CN"/>
        </w:rPr>
        <w:t xml:space="preserve"> 号）、《国务院办公厅关于印发政府机关使用正版软件管理办法的通知》国办发〔2013〕88号。</w:t>
      </w:r>
    </w:p>
    <w:p w14:paraId="7DE25F0F">
      <w:pPr>
        <w:spacing w:line="360" w:lineRule="auto"/>
        <w:ind w:left="31" w:right="-27" w:rightChars="-13"/>
        <w:outlineLvl w:val="3"/>
        <w:rPr>
          <w:rFonts w:ascii="仿宋" w:hAnsi="仿宋" w:eastAsia="仿宋" w:cs="仿宋"/>
          <w:color w:val="auto"/>
          <w:sz w:val="24"/>
          <w:szCs w:val="24"/>
          <w:highlight w:val="none"/>
          <w:lang w:eastAsia="zh-CN"/>
        </w:rPr>
      </w:pPr>
      <w:r>
        <w:rPr>
          <w:rFonts w:hint="eastAsia" w:ascii="仿宋" w:hAnsi="仿宋" w:eastAsia="仿宋" w:cs="仿宋"/>
          <w:b/>
          <w:bCs/>
          <w:color w:val="auto"/>
          <w:spacing w:val="-3"/>
          <w:sz w:val="24"/>
          <w:szCs w:val="24"/>
          <w:highlight w:val="none"/>
          <w:lang w:eastAsia="zh-CN"/>
        </w:rPr>
        <w:t>45.网络安全专用产品</w:t>
      </w:r>
    </w:p>
    <w:p w14:paraId="4B9DC2E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45.1本项目中如涉及网络关键设备或网络安全专用产品的，应严格执行国</w:t>
      </w:r>
      <w:r>
        <w:rPr>
          <w:rFonts w:hint="eastAsia" w:ascii="仿宋" w:hAnsi="仿宋" w:eastAsia="仿宋" w:cs="仿宋"/>
          <w:color w:val="auto"/>
          <w:spacing w:val="-3"/>
          <w:sz w:val="24"/>
          <w:szCs w:val="24"/>
          <w:highlight w:val="none"/>
          <w:lang w:eastAsia="zh-CN"/>
        </w:rPr>
        <w:t>家互联网信息办公室、工业和信息化部、公安部、财政部和国家认证认可监督管</w:t>
      </w:r>
      <w:r>
        <w:rPr>
          <w:rFonts w:hint="eastAsia" w:ascii="仿宋" w:hAnsi="仿宋" w:eastAsia="仿宋" w:cs="仿宋"/>
          <w:color w:val="auto"/>
          <w:spacing w:val="-1"/>
          <w:sz w:val="24"/>
          <w:szCs w:val="24"/>
          <w:highlight w:val="none"/>
          <w:lang w:eastAsia="zh-CN"/>
        </w:rPr>
        <w:t>理委员会 2023年第 1 号《关于调整网络安全专用产品安全管理有关事项的公</w:t>
      </w:r>
      <w:r>
        <w:rPr>
          <w:rFonts w:hint="eastAsia" w:ascii="仿宋" w:hAnsi="仿宋" w:eastAsia="仿宋" w:cs="仿宋"/>
          <w:color w:val="auto"/>
          <w:spacing w:val="-3"/>
          <w:sz w:val="24"/>
          <w:szCs w:val="24"/>
          <w:highlight w:val="none"/>
          <w:lang w:eastAsia="zh-CN"/>
        </w:rPr>
        <w:t>告》及国家互联网信息办公室、工业和信息化部、公安部和国家认证认可监督管</w:t>
      </w:r>
      <w:r>
        <w:rPr>
          <w:rFonts w:hint="eastAsia" w:ascii="仿宋" w:hAnsi="仿宋" w:eastAsia="仿宋" w:cs="仿宋"/>
          <w:color w:val="auto"/>
          <w:spacing w:val="-1"/>
          <w:sz w:val="24"/>
          <w:szCs w:val="24"/>
          <w:highlight w:val="none"/>
          <w:lang w:eastAsia="zh-CN"/>
        </w:rPr>
        <w:t>理委员会 2023 年第 2号《关于调整&lt;网络关键设备和网络安全专用产品目录&gt;</w:t>
      </w:r>
      <w:r>
        <w:rPr>
          <w:rFonts w:hint="eastAsia" w:ascii="仿宋" w:hAnsi="仿宋" w:eastAsia="仿宋" w:cs="仿宋"/>
          <w:color w:val="auto"/>
          <w:spacing w:val="-2"/>
          <w:sz w:val="24"/>
          <w:szCs w:val="24"/>
          <w:highlight w:val="none"/>
          <w:lang w:eastAsia="zh-CN"/>
        </w:rPr>
        <w:t>的公告》等相关文件要求，所投标（响应）设备或产品至少符合以下条件之一：</w:t>
      </w:r>
      <w:r>
        <w:rPr>
          <w:rFonts w:hint="eastAsia" w:ascii="仿宋" w:hAnsi="仿宋" w:eastAsia="仿宋" w:cs="仿宋"/>
          <w:color w:val="auto"/>
          <w:spacing w:val="-3"/>
          <w:sz w:val="24"/>
          <w:szCs w:val="24"/>
          <w:highlight w:val="none"/>
          <w:lang w:eastAsia="zh-CN"/>
        </w:rPr>
        <w:t>一是已由具备资格的机构安全认证合格或安全检测符合要求；二是已获得《计算</w:t>
      </w:r>
      <w:r>
        <w:rPr>
          <w:rFonts w:hint="eastAsia" w:ascii="仿宋" w:hAnsi="仿宋" w:eastAsia="仿宋" w:cs="仿宋"/>
          <w:color w:val="auto"/>
          <w:sz w:val="24"/>
          <w:szCs w:val="24"/>
          <w:highlight w:val="none"/>
          <w:lang w:eastAsia="zh-CN"/>
        </w:rPr>
        <w:t>机信息系统安全专用产品销售许可证》，且在有效期内。</w:t>
      </w:r>
      <w:r>
        <w:rPr>
          <w:rFonts w:hint="eastAsia" w:ascii="仿宋" w:hAnsi="仿宋" w:eastAsia="仿宋" w:cs="仿宋"/>
          <w:color w:val="auto"/>
          <w:spacing w:val="-1"/>
          <w:sz w:val="24"/>
          <w:szCs w:val="24"/>
          <w:highlight w:val="none"/>
          <w:lang w:eastAsia="zh-CN"/>
        </w:rPr>
        <w:t>采购人、中标(成交)人双方签订合同及验收环节，应包含上述网络安全要求的条款。</w:t>
      </w:r>
    </w:p>
    <w:p w14:paraId="1B0C09EC">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45.2本项目中如涉及国家强制性产品认证证书（CCC 认证证书）、电信设</w:t>
      </w:r>
      <w:r>
        <w:rPr>
          <w:rFonts w:hint="eastAsia" w:ascii="仿宋" w:hAnsi="仿宋" w:eastAsia="仿宋" w:cs="仿宋"/>
          <w:color w:val="auto"/>
          <w:spacing w:val="-3"/>
          <w:sz w:val="24"/>
          <w:szCs w:val="24"/>
          <w:highlight w:val="none"/>
          <w:lang w:eastAsia="zh-CN"/>
        </w:rPr>
        <w:t>备进网许可证、无线电发射设备核准证等市场准入类资质的，应严格执行国</w:t>
      </w:r>
      <w:r>
        <w:rPr>
          <w:rFonts w:hint="eastAsia" w:ascii="仿宋" w:hAnsi="仿宋" w:eastAsia="仿宋" w:cs="仿宋"/>
          <w:color w:val="auto"/>
          <w:spacing w:val="-4"/>
          <w:sz w:val="24"/>
          <w:szCs w:val="24"/>
          <w:highlight w:val="none"/>
          <w:lang w:eastAsia="zh-CN"/>
        </w:rPr>
        <w:t>家相</w:t>
      </w:r>
      <w:r>
        <w:rPr>
          <w:rFonts w:hint="eastAsia" w:ascii="仿宋" w:hAnsi="仿宋" w:eastAsia="仿宋" w:cs="仿宋"/>
          <w:color w:val="auto"/>
          <w:spacing w:val="-3"/>
          <w:sz w:val="24"/>
          <w:szCs w:val="24"/>
          <w:highlight w:val="none"/>
          <w:lang w:eastAsia="zh-CN"/>
        </w:rPr>
        <w:t>关法律法规的要求。采购人、中标(成交)人双方签订合同及验收环节，应包含上</w:t>
      </w:r>
      <w:r>
        <w:rPr>
          <w:rFonts w:hint="eastAsia" w:ascii="仿宋" w:hAnsi="仿宋" w:eastAsia="仿宋" w:cs="仿宋"/>
          <w:color w:val="auto"/>
          <w:spacing w:val="-1"/>
          <w:sz w:val="24"/>
          <w:szCs w:val="24"/>
          <w:highlight w:val="none"/>
          <w:lang w:eastAsia="zh-CN"/>
        </w:rPr>
        <w:t>述市场准入类资质要求的条款。</w:t>
      </w:r>
    </w:p>
    <w:p w14:paraId="79D4BFFE">
      <w:pPr>
        <w:spacing w:line="360" w:lineRule="auto"/>
        <w:ind w:left="31" w:right="-27" w:rightChars="-13"/>
        <w:outlineLvl w:val="3"/>
        <w:rPr>
          <w:rFonts w:ascii="仿宋" w:hAnsi="仿宋" w:eastAsia="仿宋" w:cs="仿宋"/>
          <w:color w:val="auto"/>
          <w:sz w:val="24"/>
          <w:szCs w:val="24"/>
          <w:highlight w:val="none"/>
          <w:lang w:eastAsia="zh-CN"/>
        </w:rPr>
      </w:pPr>
      <w:bookmarkStart w:id="254" w:name="bookmark279"/>
      <w:bookmarkEnd w:id="254"/>
      <w:r>
        <w:rPr>
          <w:rFonts w:hint="eastAsia" w:ascii="仿宋" w:hAnsi="仿宋" w:eastAsia="仿宋" w:cs="仿宋"/>
          <w:b/>
          <w:bCs/>
          <w:color w:val="auto"/>
          <w:spacing w:val="-3"/>
          <w:sz w:val="24"/>
          <w:szCs w:val="24"/>
          <w:highlight w:val="none"/>
          <w:lang w:eastAsia="zh-CN"/>
        </w:rPr>
        <w:t>46.采购需求标准</w:t>
      </w:r>
    </w:p>
    <w:p w14:paraId="0F912CC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46.1 商品包装、快递包装政府采购需求标准（试行）</w:t>
      </w:r>
    </w:p>
    <w:p w14:paraId="19AF8AA9">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为助力打好污染防治攻坚战，推广使用绿色包装，根据财</w:t>
      </w:r>
      <w:r>
        <w:rPr>
          <w:rFonts w:hint="eastAsia" w:ascii="仿宋" w:hAnsi="仿宋" w:eastAsia="仿宋" w:cs="仿宋"/>
          <w:color w:val="auto"/>
          <w:spacing w:val="-4"/>
          <w:sz w:val="24"/>
          <w:szCs w:val="24"/>
          <w:highlight w:val="none"/>
          <w:lang w:eastAsia="zh-CN"/>
        </w:rPr>
        <w:t>政部关于印发《商</w:t>
      </w:r>
      <w:r>
        <w:rPr>
          <w:rFonts w:hint="eastAsia" w:ascii="仿宋" w:hAnsi="仿宋" w:eastAsia="仿宋" w:cs="仿宋"/>
          <w:color w:val="auto"/>
          <w:spacing w:val="-1"/>
          <w:sz w:val="24"/>
          <w:szCs w:val="24"/>
          <w:highlight w:val="none"/>
          <w:lang w:eastAsia="zh-CN"/>
        </w:rPr>
        <w:t>品包装政府采购需求标准（试行）》、《快递包装政府采购需求标准（试行）》</w:t>
      </w:r>
      <w:r>
        <w:rPr>
          <w:rFonts w:hint="eastAsia" w:ascii="仿宋" w:hAnsi="仿宋" w:eastAsia="仿宋" w:cs="仿宋"/>
          <w:color w:val="auto"/>
          <w:spacing w:val="-2"/>
          <w:sz w:val="24"/>
          <w:szCs w:val="24"/>
          <w:highlight w:val="none"/>
          <w:lang w:eastAsia="zh-CN"/>
        </w:rPr>
        <w:t>的通知（财办库〔2020〕123 号</w:t>
      </w:r>
      <w:r>
        <w:rPr>
          <w:rFonts w:hint="eastAsia" w:ascii="仿宋" w:hAnsi="仿宋" w:eastAsia="仿宋" w:cs="仿宋"/>
          <w:color w:val="auto"/>
          <w:spacing w:val="-11"/>
          <w:sz w:val="24"/>
          <w:szCs w:val="24"/>
          <w:highlight w:val="none"/>
          <w:lang w:eastAsia="zh-CN"/>
        </w:rPr>
        <w:t>），</w:t>
      </w:r>
      <w:r>
        <w:rPr>
          <w:rFonts w:hint="eastAsia" w:ascii="仿宋" w:hAnsi="仿宋" w:eastAsia="仿宋" w:cs="仿宋"/>
          <w:color w:val="auto"/>
          <w:spacing w:val="-2"/>
          <w:sz w:val="24"/>
          <w:szCs w:val="24"/>
          <w:highlight w:val="none"/>
          <w:lang w:eastAsia="zh-CN"/>
        </w:rPr>
        <w:t>本项目如涉</w:t>
      </w:r>
      <w:r>
        <w:rPr>
          <w:rFonts w:hint="eastAsia" w:ascii="仿宋" w:hAnsi="仿宋" w:eastAsia="仿宋" w:cs="仿宋"/>
          <w:color w:val="auto"/>
          <w:spacing w:val="-3"/>
          <w:sz w:val="24"/>
          <w:szCs w:val="24"/>
          <w:highlight w:val="none"/>
          <w:lang w:eastAsia="zh-CN"/>
        </w:rPr>
        <w:t>及商品包装和快递包装的，则其</w:t>
      </w:r>
      <w:r>
        <w:rPr>
          <w:rFonts w:hint="eastAsia" w:ascii="仿宋" w:hAnsi="仿宋" w:eastAsia="仿宋" w:cs="仿宋"/>
          <w:color w:val="auto"/>
          <w:spacing w:val="-1"/>
          <w:sz w:val="24"/>
          <w:szCs w:val="24"/>
          <w:highlight w:val="none"/>
          <w:lang w:eastAsia="zh-CN"/>
        </w:rPr>
        <w:t>具体要求见第三章《采购需求》。</w:t>
      </w:r>
    </w:p>
    <w:p w14:paraId="5E132DD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46.2 绿色数据中心政府采购需求标准（试行）</w:t>
      </w:r>
    </w:p>
    <w:p w14:paraId="207A17F9">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为加快数据中心绿色转型，根据财政部 生态环境部 工业和信息</w:t>
      </w:r>
      <w:r>
        <w:rPr>
          <w:rFonts w:hint="eastAsia" w:ascii="仿宋" w:hAnsi="仿宋" w:eastAsia="仿宋" w:cs="仿宋"/>
          <w:color w:val="auto"/>
          <w:spacing w:val="-4"/>
          <w:sz w:val="24"/>
          <w:szCs w:val="24"/>
          <w:highlight w:val="none"/>
          <w:lang w:eastAsia="zh-CN"/>
        </w:rPr>
        <w:t>化部关于印</w:t>
      </w:r>
      <w:r>
        <w:rPr>
          <w:rFonts w:hint="eastAsia" w:ascii="仿宋" w:hAnsi="仿宋" w:eastAsia="仿宋" w:cs="仿宋"/>
          <w:color w:val="auto"/>
          <w:sz w:val="24"/>
          <w:szCs w:val="24"/>
          <w:highlight w:val="none"/>
          <w:lang w:eastAsia="zh-CN"/>
        </w:rPr>
        <w:t>发《绿色数据中心政府采购需求标准（试行）》的通知</w:t>
      </w:r>
      <w:r>
        <w:rPr>
          <w:rFonts w:hint="eastAsia" w:ascii="仿宋" w:hAnsi="仿宋" w:eastAsia="仿宋" w:cs="仿宋"/>
          <w:color w:val="auto"/>
          <w:spacing w:val="-1"/>
          <w:sz w:val="24"/>
          <w:szCs w:val="24"/>
          <w:highlight w:val="none"/>
          <w:lang w:eastAsia="zh-CN"/>
        </w:rPr>
        <w:t>（财库〔2023〕7 号</w:t>
      </w:r>
      <w:r>
        <w:rPr>
          <w:rFonts w:hint="eastAsia" w:ascii="仿宋" w:hAnsi="仿宋" w:eastAsia="仿宋" w:cs="仿宋"/>
          <w:color w:val="auto"/>
          <w:spacing w:val="-29"/>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本项目如涉及绿色数据中心，则具体要求见第三章《采购需求》。</w:t>
      </w:r>
    </w:p>
    <w:p w14:paraId="52707D1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46.3台式计算机政府采购需求标准</w:t>
      </w:r>
    </w:p>
    <w:p w14:paraId="1749F14E">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为提高台式计算机政府采购需求管理的科学化、规范化水</w:t>
      </w:r>
      <w:r>
        <w:rPr>
          <w:rFonts w:hint="eastAsia" w:ascii="仿宋" w:hAnsi="仿宋" w:eastAsia="仿宋" w:cs="仿宋"/>
          <w:color w:val="auto"/>
          <w:spacing w:val="-4"/>
          <w:sz w:val="24"/>
          <w:szCs w:val="24"/>
          <w:highlight w:val="none"/>
          <w:lang w:eastAsia="zh-CN"/>
        </w:rPr>
        <w:t>平，进一步落实政</w:t>
      </w:r>
      <w:r>
        <w:rPr>
          <w:rFonts w:hint="eastAsia" w:ascii="仿宋" w:hAnsi="仿宋" w:eastAsia="仿宋" w:cs="仿宋"/>
          <w:color w:val="auto"/>
          <w:sz w:val="24"/>
          <w:szCs w:val="24"/>
          <w:highlight w:val="none"/>
          <w:lang w:eastAsia="zh-CN"/>
        </w:rPr>
        <w:t>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工业和信息化部关于印发《台式计算机政府采购需求标准（2023年版）》的通知（财库〔2023〕29号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本项目如涉及台式计算机采购，则具体要求见第三章《采购</w:t>
      </w:r>
      <w:r>
        <w:rPr>
          <w:rFonts w:hint="eastAsia" w:ascii="仿宋" w:hAnsi="仿宋" w:eastAsia="仿宋" w:cs="仿宋"/>
          <w:color w:val="auto"/>
          <w:spacing w:val="-3"/>
          <w:sz w:val="24"/>
          <w:szCs w:val="24"/>
          <w:highlight w:val="none"/>
          <w:lang w:eastAsia="zh-CN"/>
        </w:rPr>
        <w:t>需求》。</w:t>
      </w:r>
    </w:p>
    <w:p w14:paraId="6B0E041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46.4便携式计算机政府采购需求标准</w:t>
      </w:r>
    </w:p>
    <w:p w14:paraId="0044FCED">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为提高便携式计算机政府采购需求管理的科学化、规范化</w:t>
      </w:r>
      <w:r>
        <w:rPr>
          <w:rFonts w:hint="eastAsia" w:ascii="仿宋" w:hAnsi="仿宋" w:eastAsia="仿宋" w:cs="仿宋"/>
          <w:color w:val="auto"/>
          <w:spacing w:val="-4"/>
          <w:sz w:val="24"/>
          <w:szCs w:val="24"/>
          <w:highlight w:val="none"/>
          <w:lang w:eastAsia="zh-CN"/>
        </w:rPr>
        <w:t>水平，进一步落实</w:t>
      </w:r>
      <w:r>
        <w:rPr>
          <w:rFonts w:hint="eastAsia" w:ascii="仿宋" w:hAnsi="仿宋" w:eastAsia="仿宋" w:cs="仿宋"/>
          <w:color w:val="auto"/>
          <w:sz w:val="24"/>
          <w:szCs w:val="24"/>
          <w:highlight w:val="none"/>
          <w:lang w:eastAsia="zh-CN"/>
        </w:rPr>
        <w:t>政府采购公平竞争原则，优化营商环境，营造良好的产业生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w:t>
      </w:r>
      <w:r>
        <w:rPr>
          <w:rFonts w:hint="eastAsia" w:ascii="仿宋" w:hAnsi="仿宋" w:eastAsia="仿宋" w:cs="仿宋"/>
          <w:color w:val="auto"/>
          <w:spacing w:val="-5"/>
          <w:sz w:val="24"/>
          <w:szCs w:val="24"/>
          <w:highlight w:val="none"/>
          <w:lang w:eastAsia="zh-CN"/>
        </w:rPr>
        <w:t>信息化部关于印发《便携式计算机政府采购需求标准（2023年版）》的通知（财</w:t>
      </w:r>
      <w:r>
        <w:rPr>
          <w:rFonts w:hint="eastAsia" w:ascii="仿宋" w:hAnsi="仿宋" w:eastAsia="仿宋" w:cs="仿宋"/>
          <w:color w:val="auto"/>
          <w:spacing w:val="-4"/>
          <w:sz w:val="24"/>
          <w:szCs w:val="24"/>
          <w:highlight w:val="none"/>
          <w:lang w:eastAsia="zh-CN"/>
        </w:rPr>
        <w:t>库〔2023〕30号</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4"/>
          <w:sz w:val="24"/>
          <w:szCs w:val="24"/>
          <w:highlight w:val="none"/>
          <w:lang w:eastAsia="zh-CN"/>
        </w:rPr>
        <w:t>本项目如涉及便携式计算机采购，则具体要求见第三章《采</w:t>
      </w:r>
      <w:r>
        <w:rPr>
          <w:rFonts w:hint="eastAsia" w:ascii="仿宋" w:hAnsi="仿宋" w:eastAsia="仿宋" w:cs="仿宋"/>
          <w:color w:val="auto"/>
          <w:spacing w:val="-2"/>
          <w:sz w:val="24"/>
          <w:szCs w:val="24"/>
          <w:highlight w:val="none"/>
          <w:lang w:eastAsia="zh-CN"/>
        </w:rPr>
        <w:t>购需求》。</w:t>
      </w:r>
    </w:p>
    <w:p w14:paraId="26DCAAE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46.5一体式计算机政府采购需求标准</w:t>
      </w:r>
    </w:p>
    <w:p w14:paraId="261195E0">
      <w:pPr>
        <w:widowControl w:val="0"/>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为提高一体式计算机政府采购需求管理的科学化、规范化</w:t>
      </w:r>
      <w:r>
        <w:rPr>
          <w:rFonts w:hint="eastAsia" w:ascii="仿宋" w:hAnsi="仿宋" w:eastAsia="仿宋" w:cs="仿宋"/>
          <w:color w:val="auto"/>
          <w:spacing w:val="-4"/>
          <w:sz w:val="24"/>
          <w:szCs w:val="24"/>
          <w:highlight w:val="none"/>
          <w:lang w:eastAsia="zh-CN"/>
        </w:rPr>
        <w:t>水平，进一步落实</w:t>
      </w:r>
      <w:r>
        <w:rPr>
          <w:rFonts w:hint="eastAsia" w:ascii="仿宋" w:hAnsi="仿宋" w:eastAsia="仿宋" w:cs="仿宋"/>
          <w:color w:val="auto"/>
          <w:sz w:val="24"/>
          <w:szCs w:val="24"/>
          <w:highlight w:val="none"/>
          <w:lang w:eastAsia="zh-CN"/>
        </w:rPr>
        <w:t>政府采购公平竞争原则，优化营商环境，营造良好的产业生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w:t>
      </w:r>
      <w:r>
        <w:rPr>
          <w:rFonts w:hint="eastAsia" w:ascii="仿宋" w:hAnsi="仿宋" w:eastAsia="仿宋" w:cs="仿宋"/>
          <w:color w:val="auto"/>
          <w:spacing w:val="-5"/>
          <w:sz w:val="24"/>
          <w:szCs w:val="24"/>
          <w:highlight w:val="none"/>
          <w:lang w:eastAsia="zh-CN"/>
        </w:rPr>
        <w:t>信息化部关于印发《一体式计算机政府采购需求标准（2023年版）》的通知（财</w:t>
      </w:r>
      <w:r>
        <w:rPr>
          <w:rFonts w:hint="eastAsia" w:ascii="仿宋" w:hAnsi="仿宋" w:eastAsia="仿宋" w:cs="仿宋"/>
          <w:color w:val="auto"/>
          <w:spacing w:val="-4"/>
          <w:sz w:val="24"/>
          <w:szCs w:val="24"/>
          <w:highlight w:val="none"/>
          <w:lang w:eastAsia="zh-CN"/>
        </w:rPr>
        <w:t>库〔2023〕31号</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4"/>
          <w:sz w:val="24"/>
          <w:szCs w:val="24"/>
          <w:highlight w:val="none"/>
          <w:lang w:eastAsia="zh-CN"/>
        </w:rPr>
        <w:t>本项目如涉及一体式计算机采购，则具体要求见第三章《采</w:t>
      </w:r>
      <w:r>
        <w:rPr>
          <w:rFonts w:hint="eastAsia" w:ascii="仿宋" w:hAnsi="仿宋" w:eastAsia="仿宋" w:cs="仿宋"/>
          <w:color w:val="auto"/>
          <w:spacing w:val="-2"/>
          <w:sz w:val="24"/>
          <w:szCs w:val="24"/>
          <w:highlight w:val="none"/>
          <w:lang w:eastAsia="zh-CN"/>
        </w:rPr>
        <w:t>购需求》。</w:t>
      </w:r>
    </w:p>
    <w:p w14:paraId="3A126A73">
      <w:pPr>
        <w:spacing w:line="360" w:lineRule="auto"/>
        <w:ind w:left="31" w:right="-27" w:rightChars="-13"/>
        <w:rPr>
          <w:rFonts w:ascii="仿宋" w:hAnsi="仿宋" w:eastAsia="仿宋" w:cs="仿宋"/>
          <w:color w:val="auto"/>
          <w:sz w:val="24"/>
          <w:szCs w:val="24"/>
          <w:highlight w:val="none"/>
          <w:lang w:eastAsia="zh-CN"/>
        </w:rPr>
      </w:pPr>
      <w:bookmarkStart w:id="255" w:name="bookmark280"/>
      <w:bookmarkEnd w:id="255"/>
      <w:r>
        <w:rPr>
          <w:rFonts w:hint="eastAsia" w:ascii="仿宋" w:hAnsi="仿宋" w:eastAsia="仿宋" w:cs="仿宋"/>
          <w:color w:val="auto"/>
          <w:spacing w:val="-2"/>
          <w:sz w:val="24"/>
          <w:szCs w:val="24"/>
          <w:highlight w:val="none"/>
          <w:lang w:eastAsia="zh-CN"/>
        </w:rPr>
        <w:t>46.6工作站政府采购需求标准</w:t>
      </w:r>
    </w:p>
    <w:p w14:paraId="3792C747">
      <w:pPr>
        <w:widowControl w:val="0"/>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为提高工作站政府采购需求管理的科学化、规范化水平，</w:t>
      </w:r>
      <w:r>
        <w:rPr>
          <w:rFonts w:hint="eastAsia" w:ascii="仿宋" w:hAnsi="仿宋" w:eastAsia="仿宋" w:cs="仿宋"/>
          <w:color w:val="auto"/>
          <w:spacing w:val="-4"/>
          <w:sz w:val="24"/>
          <w:szCs w:val="24"/>
          <w:highlight w:val="none"/>
          <w:lang w:eastAsia="zh-CN"/>
        </w:rPr>
        <w:t>进一步落实政府采</w:t>
      </w:r>
      <w:r>
        <w:rPr>
          <w:rFonts w:hint="eastAsia" w:ascii="仿宋" w:hAnsi="仿宋" w:eastAsia="仿宋" w:cs="仿宋"/>
          <w:color w:val="auto"/>
          <w:sz w:val="24"/>
          <w:szCs w:val="24"/>
          <w:highlight w:val="none"/>
          <w:lang w:eastAsia="zh-CN"/>
        </w:rPr>
        <w:t>购公平竞争原则，优化营商环境，营造良好的产业生态，财</w:t>
      </w:r>
      <w:r>
        <w:rPr>
          <w:rFonts w:hint="eastAsia" w:ascii="仿宋" w:hAnsi="仿宋" w:eastAsia="仿宋" w:cs="仿宋"/>
          <w:color w:val="auto"/>
          <w:spacing w:val="-1"/>
          <w:sz w:val="24"/>
          <w:szCs w:val="24"/>
          <w:highlight w:val="none"/>
          <w:lang w:eastAsia="zh-CN"/>
        </w:rPr>
        <w:t>政部 工业和信息化部关于印发《工作站政府采购需求标准（2023年版）</w:t>
      </w:r>
      <w:r>
        <w:rPr>
          <w:rFonts w:hint="eastAsia" w:ascii="仿宋" w:hAnsi="仿宋" w:eastAsia="仿宋" w:cs="仿宋"/>
          <w:color w:val="auto"/>
          <w:spacing w:val="-2"/>
          <w:sz w:val="24"/>
          <w:szCs w:val="24"/>
          <w:highlight w:val="none"/>
          <w:lang w:eastAsia="zh-CN"/>
        </w:rPr>
        <w:t>》的通知（财库〔2023〕3</w:t>
      </w:r>
      <w:r>
        <w:rPr>
          <w:rFonts w:hint="eastAsia" w:ascii="仿宋" w:hAnsi="仿宋" w:eastAsia="仿宋" w:cs="仿宋"/>
          <w:color w:val="auto"/>
          <w:spacing w:val="-1"/>
          <w:sz w:val="24"/>
          <w:szCs w:val="24"/>
          <w:highlight w:val="none"/>
          <w:lang w:eastAsia="zh-CN"/>
        </w:rPr>
        <w:t>2号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本项目如涉及工作站采购，则具体要求见第三章《采购</w:t>
      </w:r>
      <w:r>
        <w:rPr>
          <w:rFonts w:hint="eastAsia" w:ascii="仿宋" w:hAnsi="仿宋" w:eastAsia="仿宋" w:cs="仿宋"/>
          <w:color w:val="auto"/>
          <w:spacing w:val="-2"/>
          <w:sz w:val="24"/>
          <w:szCs w:val="24"/>
          <w:highlight w:val="none"/>
          <w:lang w:eastAsia="zh-CN"/>
        </w:rPr>
        <w:t>需求》。</w:t>
      </w:r>
    </w:p>
    <w:p w14:paraId="3889725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46.7通用服务器政府采购需求标准</w:t>
      </w:r>
    </w:p>
    <w:p w14:paraId="0A9818D0">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为提高通用服务器政府采购需求管理的科学化、规范化水</w:t>
      </w:r>
      <w:r>
        <w:rPr>
          <w:rFonts w:hint="eastAsia" w:ascii="仿宋" w:hAnsi="仿宋" w:eastAsia="仿宋" w:cs="仿宋"/>
          <w:color w:val="auto"/>
          <w:spacing w:val="-4"/>
          <w:sz w:val="24"/>
          <w:szCs w:val="24"/>
          <w:highlight w:val="none"/>
          <w:lang w:eastAsia="zh-CN"/>
        </w:rPr>
        <w:t>平，进一步落实政</w:t>
      </w:r>
      <w:r>
        <w:rPr>
          <w:rFonts w:hint="eastAsia" w:ascii="仿宋" w:hAnsi="仿宋" w:eastAsia="仿宋" w:cs="仿宋"/>
          <w:color w:val="auto"/>
          <w:sz w:val="24"/>
          <w:szCs w:val="24"/>
          <w:highlight w:val="none"/>
          <w:lang w:eastAsia="zh-CN"/>
        </w:rPr>
        <w:t>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工业和信息化部关于印发《通用服务器政府采购需求标准（2023年版）》的通知（财库〔2023〕33号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本项目如涉及通用服务器采购，则具体要求见第三章《采购</w:t>
      </w:r>
      <w:r>
        <w:rPr>
          <w:rFonts w:hint="eastAsia" w:ascii="仿宋" w:hAnsi="仿宋" w:eastAsia="仿宋" w:cs="仿宋"/>
          <w:color w:val="auto"/>
          <w:spacing w:val="-3"/>
          <w:sz w:val="24"/>
          <w:szCs w:val="24"/>
          <w:highlight w:val="none"/>
          <w:lang w:eastAsia="zh-CN"/>
        </w:rPr>
        <w:t>需求》。</w:t>
      </w:r>
    </w:p>
    <w:p w14:paraId="41A4136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46.8操作系统政府采购需求标准</w:t>
      </w:r>
    </w:p>
    <w:p w14:paraId="7F5F7F03">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为提高操作系统政府采购需求管理的科学化、规范化水平</w:t>
      </w:r>
      <w:r>
        <w:rPr>
          <w:rFonts w:hint="eastAsia" w:ascii="仿宋" w:hAnsi="仿宋" w:eastAsia="仿宋" w:cs="仿宋"/>
          <w:color w:val="auto"/>
          <w:spacing w:val="-4"/>
          <w:sz w:val="24"/>
          <w:szCs w:val="24"/>
          <w:highlight w:val="none"/>
          <w:lang w:eastAsia="zh-CN"/>
        </w:rPr>
        <w:t>，进一步落实政府</w:t>
      </w:r>
      <w:r>
        <w:rPr>
          <w:rFonts w:hint="eastAsia" w:ascii="仿宋" w:hAnsi="仿宋" w:eastAsia="仿宋" w:cs="仿宋"/>
          <w:color w:val="auto"/>
          <w:sz w:val="24"/>
          <w:szCs w:val="24"/>
          <w:highlight w:val="none"/>
          <w:lang w:eastAsia="zh-CN"/>
        </w:rPr>
        <w:t>采购公平竞争原则，优化营商环境，营造良好的产业生态</w:t>
      </w:r>
      <w:r>
        <w:rPr>
          <w:rFonts w:hint="eastAsia" w:ascii="仿宋" w:hAnsi="仿宋" w:eastAsia="仿宋" w:cs="仿宋"/>
          <w:color w:val="auto"/>
          <w:spacing w:val="-1"/>
          <w:sz w:val="24"/>
          <w:szCs w:val="24"/>
          <w:highlight w:val="none"/>
          <w:lang w:eastAsia="zh-CN"/>
        </w:rPr>
        <w:t>，财政部 工业和信息化部关于印发《操作系统政府采购需求标准（20</w:t>
      </w:r>
      <w:r>
        <w:rPr>
          <w:rFonts w:hint="eastAsia" w:ascii="仿宋" w:hAnsi="仿宋" w:eastAsia="仿宋" w:cs="仿宋"/>
          <w:color w:val="auto"/>
          <w:spacing w:val="-2"/>
          <w:sz w:val="24"/>
          <w:szCs w:val="24"/>
          <w:highlight w:val="none"/>
          <w:lang w:eastAsia="zh-CN"/>
        </w:rPr>
        <w:t>23年版）》的通知（财库〔2023〕34号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2"/>
          <w:sz w:val="24"/>
          <w:szCs w:val="24"/>
          <w:highlight w:val="none"/>
          <w:lang w:eastAsia="zh-CN"/>
        </w:rPr>
        <w:t>本项目如涉及操作系统采购，则具体要求见第三章《采购需求</w:t>
      </w:r>
      <w:r>
        <w:rPr>
          <w:rFonts w:hint="eastAsia" w:ascii="仿宋" w:hAnsi="仿宋" w:eastAsia="仿宋" w:cs="仿宋"/>
          <w:color w:val="auto"/>
          <w:spacing w:val="-3"/>
          <w:sz w:val="24"/>
          <w:szCs w:val="24"/>
          <w:highlight w:val="none"/>
          <w:lang w:eastAsia="zh-CN"/>
        </w:rPr>
        <w:t>》。</w:t>
      </w:r>
    </w:p>
    <w:p w14:paraId="76AA0ED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46.9数据库政府采购需求标准</w:t>
      </w:r>
    </w:p>
    <w:p w14:paraId="12C3241C">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为提高数据库政府采购需求管理的科学化、规范化水平，</w:t>
      </w:r>
      <w:r>
        <w:rPr>
          <w:rFonts w:hint="eastAsia" w:ascii="仿宋" w:hAnsi="仿宋" w:eastAsia="仿宋" w:cs="仿宋"/>
          <w:color w:val="auto"/>
          <w:spacing w:val="-4"/>
          <w:sz w:val="24"/>
          <w:szCs w:val="24"/>
          <w:highlight w:val="none"/>
          <w:lang w:eastAsia="zh-CN"/>
        </w:rPr>
        <w:t>进一步落实政府采</w:t>
      </w:r>
      <w:r>
        <w:rPr>
          <w:rFonts w:hint="eastAsia" w:ascii="仿宋" w:hAnsi="仿宋" w:eastAsia="仿宋" w:cs="仿宋"/>
          <w:color w:val="auto"/>
          <w:sz w:val="24"/>
          <w:szCs w:val="24"/>
          <w:highlight w:val="none"/>
          <w:lang w:eastAsia="zh-CN"/>
        </w:rPr>
        <w:t>购公平竞争原则，优化营商环境，营造良好的产业生态，财</w:t>
      </w:r>
      <w:r>
        <w:rPr>
          <w:rFonts w:hint="eastAsia" w:ascii="仿宋" w:hAnsi="仿宋" w:eastAsia="仿宋" w:cs="仿宋"/>
          <w:color w:val="auto"/>
          <w:spacing w:val="-1"/>
          <w:sz w:val="24"/>
          <w:szCs w:val="24"/>
          <w:highlight w:val="none"/>
          <w:lang w:eastAsia="zh-CN"/>
        </w:rPr>
        <w:t>政部 工业和信息化部关于印发《数据库政府采购需求标准（2023年版）</w:t>
      </w:r>
      <w:r>
        <w:rPr>
          <w:rFonts w:hint="eastAsia" w:ascii="仿宋" w:hAnsi="仿宋" w:eastAsia="仿宋" w:cs="仿宋"/>
          <w:color w:val="auto"/>
          <w:spacing w:val="-2"/>
          <w:sz w:val="24"/>
          <w:szCs w:val="24"/>
          <w:highlight w:val="none"/>
          <w:lang w:eastAsia="zh-CN"/>
        </w:rPr>
        <w:t>》的通知（财库〔2023〕3</w:t>
      </w:r>
      <w:r>
        <w:rPr>
          <w:rFonts w:hint="eastAsia" w:ascii="仿宋" w:hAnsi="仿宋" w:eastAsia="仿宋" w:cs="仿宋"/>
          <w:color w:val="auto"/>
          <w:spacing w:val="-1"/>
          <w:sz w:val="24"/>
          <w:szCs w:val="24"/>
          <w:highlight w:val="none"/>
          <w:lang w:eastAsia="zh-CN"/>
        </w:rPr>
        <w:t>5号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本项目如涉及数据库采购，则具体要求见第三章《采购</w:t>
      </w:r>
      <w:r>
        <w:rPr>
          <w:rFonts w:hint="eastAsia" w:ascii="仿宋" w:hAnsi="仿宋" w:eastAsia="仿宋" w:cs="仿宋"/>
          <w:color w:val="auto"/>
          <w:spacing w:val="-2"/>
          <w:sz w:val="24"/>
          <w:szCs w:val="24"/>
          <w:highlight w:val="none"/>
          <w:lang w:eastAsia="zh-CN"/>
        </w:rPr>
        <w:t>需求》。</w:t>
      </w:r>
    </w:p>
    <w:p w14:paraId="5E69B3D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46.10物业管理服务政府采购需求标准（办公场所类</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z w:val="24"/>
          <w:szCs w:val="24"/>
          <w:highlight w:val="none"/>
          <w:lang w:eastAsia="zh-CN"/>
        </w:rPr>
        <w:t>试行）</w:t>
      </w:r>
    </w:p>
    <w:p w14:paraId="57DA5C75">
      <w:pPr>
        <w:spacing w:line="360" w:lineRule="auto"/>
        <w:ind w:left="31" w:leftChars="15" w:right="-27" w:rightChars="-13" w:firstLine="458" w:firstLineChars="196"/>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为贯彻落实中央全面深化改革委员会审议通过的《深化政</w:t>
      </w:r>
      <w:r>
        <w:rPr>
          <w:rFonts w:hint="eastAsia" w:ascii="仿宋" w:hAnsi="仿宋" w:eastAsia="仿宋" w:cs="仿宋"/>
          <w:color w:val="auto"/>
          <w:spacing w:val="-4"/>
          <w:sz w:val="24"/>
          <w:szCs w:val="24"/>
          <w:highlight w:val="none"/>
          <w:lang w:eastAsia="zh-CN"/>
        </w:rPr>
        <w:t>府采购制度改革方</w:t>
      </w:r>
      <w:r>
        <w:rPr>
          <w:rFonts w:hint="eastAsia" w:ascii="仿宋" w:hAnsi="仿宋" w:eastAsia="仿宋" w:cs="仿宋"/>
          <w:color w:val="auto"/>
          <w:spacing w:val="-3"/>
          <w:sz w:val="24"/>
          <w:szCs w:val="24"/>
          <w:highlight w:val="none"/>
          <w:lang w:eastAsia="zh-CN"/>
        </w:rPr>
        <w:t>案》有关要求，推动政府采购需求标准建设，财政部办公厅关于印发《物业管理</w:t>
      </w:r>
      <w:r>
        <w:rPr>
          <w:rFonts w:hint="eastAsia" w:ascii="仿宋" w:hAnsi="仿宋" w:eastAsia="仿宋" w:cs="仿宋"/>
          <w:color w:val="auto"/>
          <w:spacing w:val="1"/>
          <w:sz w:val="24"/>
          <w:szCs w:val="24"/>
          <w:highlight w:val="none"/>
          <w:lang w:eastAsia="zh-CN"/>
        </w:rPr>
        <w:t>服务政府采购需求标准（办公场所类</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1"/>
          <w:sz w:val="24"/>
          <w:szCs w:val="24"/>
          <w:highlight w:val="none"/>
          <w:lang w:eastAsia="zh-CN"/>
        </w:rPr>
        <w:t>试行）》的通知（</w:t>
      </w:r>
      <w:r>
        <w:rPr>
          <w:rFonts w:hint="eastAsia" w:ascii="仿宋" w:hAnsi="仿宋" w:eastAsia="仿宋" w:cs="仿宋"/>
          <w:color w:val="auto"/>
          <w:sz w:val="24"/>
          <w:szCs w:val="24"/>
          <w:highlight w:val="none"/>
          <w:lang w:eastAsia="zh-CN"/>
        </w:rPr>
        <w:t>财办库〔2024〕113</w:t>
      </w:r>
      <w:r>
        <w:rPr>
          <w:rFonts w:hint="eastAsia" w:ascii="仿宋" w:hAnsi="仿宋" w:eastAsia="仿宋" w:cs="仿宋"/>
          <w:color w:val="auto"/>
          <w:spacing w:val="-1"/>
          <w:sz w:val="24"/>
          <w:szCs w:val="24"/>
          <w:highlight w:val="none"/>
          <w:lang w:eastAsia="zh-CN"/>
        </w:rPr>
        <w:t>号</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本项目如涉及物业管理服务采购，则具体要求见第三章《采购需求》。</w:t>
      </w:r>
    </w:p>
    <w:p w14:paraId="03882973">
      <w:pPr>
        <w:spacing w:line="360" w:lineRule="auto"/>
        <w:ind w:left="31" w:right="-27" w:rightChars="-13"/>
        <w:outlineLvl w:val="2"/>
        <w:rPr>
          <w:rFonts w:ascii="仿宋" w:hAnsi="仿宋" w:eastAsia="仿宋" w:cs="仿宋"/>
          <w:color w:val="auto"/>
          <w:sz w:val="24"/>
          <w:szCs w:val="24"/>
          <w:highlight w:val="none"/>
          <w:lang w:eastAsia="zh-CN"/>
        </w:rPr>
      </w:pPr>
      <w:bookmarkStart w:id="256" w:name="_Toc186477741"/>
      <w:bookmarkStart w:id="257" w:name="_Toc22345"/>
      <w:r>
        <w:rPr>
          <w:rFonts w:hint="eastAsia" w:ascii="仿宋" w:hAnsi="仿宋" w:eastAsia="仿宋" w:cs="仿宋"/>
          <w:b/>
          <w:bCs/>
          <w:color w:val="auto"/>
          <w:spacing w:val="-4"/>
          <w:sz w:val="24"/>
          <w:szCs w:val="24"/>
          <w:highlight w:val="none"/>
          <w:lang w:eastAsia="zh-CN"/>
        </w:rPr>
        <w:t>（十四）政府采购合同融资政策</w:t>
      </w:r>
      <w:bookmarkEnd w:id="256"/>
      <w:r>
        <w:rPr>
          <w:rFonts w:hint="eastAsia" w:ascii="仿宋" w:hAnsi="仿宋" w:eastAsia="仿宋" w:cs="仿宋"/>
          <w:b/>
          <w:bCs/>
          <w:color w:val="auto"/>
          <w:spacing w:val="-4"/>
          <w:sz w:val="24"/>
          <w:szCs w:val="24"/>
          <w:highlight w:val="none"/>
          <w:lang w:eastAsia="zh-CN"/>
        </w:rPr>
        <w:t>：/</w:t>
      </w:r>
      <w:bookmarkEnd w:id="257"/>
    </w:p>
    <w:p w14:paraId="69209787">
      <w:pPr>
        <w:spacing w:line="360" w:lineRule="auto"/>
        <w:ind w:left="31" w:right="-27" w:rightChars="-13"/>
        <w:outlineLvl w:val="2"/>
        <w:rPr>
          <w:rFonts w:ascii="仿宋" w:hAnsi="仿宋" w:eastAsia="仿宋" w:cs="仿宋"/>
          <w:color w:val="auto"/>
          <w:sz w:val="24"/>
          <w:szCs w:val="24"/>
          <w:highlight w:val="none"/>
          <w:lang w:eastAsia="zh-CN"/>
        </w:rPr>
      </w:pPr>
      <w:bookmarkStart w:id="258" w:name="bookmark144"/>
      <w:bookmarkEnd w:id="258"/>
      <w:bookmarkStart w:id="259" w:name="bookmark143"/>
      <w:bookmarkEnd w:id="259"/>
      <w:bookmarkStart w:id="260" w:name="_Toc186477742"/>
      <w:bookmarkStart w:id="261" w:name="_Toc27433"/>
      <w:r>
        <w:rPr>
          <w:rFonts w:hint="eastAsia" w:ascii="仿宋" w:hAnsi="仿宋" w:eastAsia="仿宋" w:cs="仿宋"/>
          <w:b/>
          <w:bCs/>
          <w:color w:val="auto"/>
          <w:spacing w:val="-3"/>
          <w:sz w:val="24"/>
          <w:szCs w:val="24"/>
          <w:highlight w:val="none"/>
          <w:lang w:eastAsia="zh-CN"/>
        </w:rPr>
        <w:t>47.政府采购合同融资政策</w:t>
      </w:r>
      <w:bookmarkEnd w:id="260"/>
      <w:bookmarkEnd w:id="261"/>
    </w:p>
    <w:p w14:paraId="512A359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47.1政府采购合同融资政策：见投标人须知前附表。</w:t>
      </w:r>
    </w:p>
    <w:p w14:paraId="4E090C62">
      <w:pPr>
        <w:spacing w:line="360" w:lineRule="auto"/>
        <w:ind w:left="31" w:right="-27" w:rightChars="-13"/>
        <w:outlineLvl w:val="2"/>
        <w:rPr>
          <w:rFonts w:ascii="仿宋" w:hAnsi="仿宋" w:eastAsia="仿宋" w:cs="仿宋"/>
          <w:color w:val="auto"/>
          <w:sz w:val="24"/>
          <w:szCs w:val="24"/>
          <w:highlight w:val="none"/>
          <w:lang w:eastAsia="zh-CN"/>
        </w:rPr>
      </w:pPr>
      <w:bookmarkStart w:id="262" w:name="bookmark145"/>
      <w:bookmarkEnd w:id="262"/>
      <w:bookmarkStart w:id="263" w:name="bookmark146"/>
      <w:bookmarkEnd w:id="263"/>
      <w:bookmarkStart w:id="264" w:name="_Toc186477743"/>
      <w:bookmarkStart w:id="265" w:name="_Toc6689"/>
      <w:r>
        <w:rPr>
          <w:rFonts w:hint="eastAsia" w:ascii="仿宋" w:hAnsi="仿宋" w:eastAsia="仿宋" w:cs="仿宋"/>
          <w:b/>
          <w:bCs/>
          <w:color w:val="auto"/>
          <w:spacing w:val="-7"/>
          <w:sz w:val="24"/>
          <w:szCs w:val="24"/>
          <w:highlight w:val="none"/>
          <w:lang w:eastAsia="zh-CN"/>
        </w:rPr>
        <w:t>（十五）其他</w:t>
      </w:r>
      <w:bookmarkEnd w:id="264"/>
      <w:bookmarkEnd w:id="265"/>
    </w:p>
    <w:p w14:paraId="7EAA7445">
      <w:pPr>
        <w:spacing w:line="360" w:lineRule="auto"/>
        <w:ind w:left="31" w:right="-27" w:rightChars="-13"/>
        <w:outlineLvl w:val="2"/>
        <w:rPr>
          <w:rFonts w:ascii="仿宋" w:hAnsi="仿宋" w:eastAsia="仿宋" w:cs="仿宋"/>
          <w:color w:val="auto"/>
          <w:sz w:val="24"/>
          <w:szCs w:val="24"/>
          <w:highlight w:val="none"/>
          <w:lang w:eastAsia="zh-CN"/>
        </w:rPr>
      </w:pPr>
      <w:bookmarkStart w:id="266" w:name="bookmark147"/>
      <w:bookmarkEnd w:id="266"/>
      <w:bookmarkStart w:id="267" w:name="bookmark148"/>
      <w:bookmarkEnd w:id="267"/>
      <w:bookmarkStart w:id="268" w:name="_Toc31010"/>
      <w:bookmarkStart w:id="269" w:name="_Toc186477744"/>
      <w:r>
        <w:rPr>
          <w:rFonts w:hint="eastAsia" w:ascii="仿宋" w:hAnsi="仿宋" w:eastAsia="仿宋" w:cs="仿宋"/>
          <w:b/>
          <w:bCs/>
          <w:color w:val="auto"/>
          <w:spacing w:val="-3"/>
          <w:sz w:val="24"/>
          <w:szCs w:val="24"/>
          <w:highlight w:val="none"/>
          <w:lang w:eastAsia="zh-CN"/>
        </w:rPr>
        <w:t>48.需要补充的其他内容</w:t>
      </w:r>
      <w:bookmarkEnd w:id="268"/>
      <w:bookmarkEnd w:id="269"/>
    </w:p>
    <w:p w14:paraId="5063EB4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48.1需要补充的其他内容：见投标人须知前附表。</w:t>
      </w:r>
    </w:p>
    <w:p w14:paraId="3E120E13">
      <w:pPr>
        <w:spacing w:line="360" w:lineRule="auto"/>
        <w:ind w:left="31" w:right="-27" w:rightChars="-13"/>
        <w:outlineLvl w:val="2"/>
        <w:rPr>
          <w:rFonts w:ascii="仿宋" w:hAnsi="仿宋" w:eastAsia="仿宋" w:cs="仿宋"/>
          <w:color w:val="auto"/>
          <w:sz w:val="24"/>
          <w:szCs w:val="24"/>
          <w:highlight w:val="none"/>
          <w:lang w:eastAsia="zh-CN"/>
        </w:rPr>
      </w:pPr>
      <w:bookmarkStart w:id="270" w:name="bookmark149"/>
      <w:bookmarkEnd w:id="270"/>
      <w:bookmarkStart w:id="271" w:name="bookmark150"/>
      <w:bookmarkEnd w:id="271"/>
      <w:bookmarkStart w:id="272" w:name="_Toc21841"/>
      <w:bookmarkStart w:id="273" w:name="_Toc186477745"/>
      <w:r>
        <w:rPr>
          <w:rFonts w:hint="eastAsia" w:ascii="仿宋" w:hAnsi="仿宋" w:eastAsia="仿宋" w:cs="仿宋"/>
          <w:b/>
          <w:bCs/>
          <w:color w:val="auto"/>
          <w:spacing w:val="-4"/>
          <w:sz w:val="24"/>
          <w:szCs w:val="24"/>
          <w:highlight w:val="none"/>
          <w:lang w:eastAsia="zh-CN"/>
        </w:rPr>
        <w:t>49.适用法律</w:t>
      </w:r>
      <w:bookmarkEnd w:id="272"/>
      <w:bookmarkEnd w:id="273"/>
    </w:p>
    <w:p w14:paraId="501014A7">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49.1采购人、采购代理机构及投标人的一切采购活动均适用《中华人民共</w:t>
      </w:r>
      <w:r>
        <w:rPr>
          <w:rFonts w:hint="eastAsia" w:ascii="仿宋" w:hAnsi="仿宋" w:eastAsia="仿宋" w:cs="仿宋"/>
          <w:color w:val="auto"/>
          <w:spacing w:val="-3"/>
          <w:sz w:val="24"/>
          <w:szCs w:val="24"/>
          <w:highlight w:val="none"/>
          <w:lang w:eastAsia="zh-CN"/>
        </w:rPr>
        <w:t>和国政府采购法》、《中华人民共和国政府采购法实施条例》、《政府采</w:t>
      </w:r>
      <w:r>
        <w:rPr>
          <w:rFonts w:hint="eastAsia" w:ascii="仿宋" w:hAnsi="仿宋" w:eastAsia="仿宋" w:cs="仿宋"/>
          <w:color w:val="auto"/>
          <w:spacing w:val="-4"/>
          <w:sz w:val="24"/>
          <w:szCs w:val="24"/>
          <w:highlight w:val="none"/>
          <w:lang w:eastAsia="zh-CN"/>
        </w:rPr>
        <w:t>购货物</w:t>
      </w:r>
      <w:r>
        <w:rPr>
          <w:rFonts w:hint="eastAsia" w:ascii="仿宋" w:hAnsi="仿宋" w:eastAsia="仿宋" w:cs="仿宋"/>
          <w:color w:val="auto"/>
          <w:spacing w:val="-1"/>
          <w:sz w:val="24"/>
          <w:szCs w:val="24"/>
          <w:highlight w:val="none"/>
          <w:lang w:eastAsia="zh-CN"/>
        </w:rPr>
        <w:t>和服务招标投标管理办法》（财政部令第87号）及</w:t>
      </w:r>
      <w:r>
        <w:rPr>
          <w:rFonts w:hint="eastAsia" w:ascii="仿宋" w:hAnsi="仿宋" w:eastAsia="仿宋" w:cs="仿宋"/>
          <w:color w:val="auto"/>
          <w:spacing w:val="-2"/>
          <w:sz w:val="24"/>
          <w:szCs w:val="24"/>
          <w:highlight w:val="none"/>
          <w:lang w:eastAsia="zh-CN"/>
        </w:rPr>
        <w:t>相关法律法规。</w:t>
      </w:r>
    </w:p>
    <w:p w14:paraId="1CD341D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49.2政府采购合同的履行、违约责任和解决争议的方法等适用《中华人民</w:t>
      </w:r>
      <w:r>
        <w:rPr>
          <w:rFonts w:hint="eastAsia" w:ascii="仿宋" w:hAnsi="仿宋" w:eastAsia="仿宋" w:cs="仿宋"/>
          <w:color w:val="auto"/>
          <w:spacing w:val="-2"/>
          <w:sz w:val="24"/>
          <w:szCs w:val="24"/>
          <w:highlight w:val="none"/>
          <w:lang w:eastAsia="zh-CN"/>
        </w:rPr>
        <w:t>共和国民法典》。</w:t>
      </w:r>
    </w:p>
    <w:p w14:paraId="21171CCB">
      <w:pPr>
        <w:spacing w:line="360" w:lineRule="auto"/>
        <w:ind w:left="31" w:right="-27" w:rightChars="-13"/>
        <w:outlineLvl w:val="2"/>
        <w:rPr>
          <w:rFonts w:ascii="仿宋" w:hAnsi="仿宋" w:eastAsia="仿宋" w:cs="仿宋"/>
          <w:color w:val="auto"/>
          <w:sz w:val="24"/>
          <w:szCs w:val="24"/>
          <w:highlight w:val="none"/>
          <w:lang w:eastAsia="zh-CN"/>
        </w:rPr>
      </w:pPr>
      <w:bookmarkStart w:id="274" w:name="bookmark152"/>
      <w:bookmarkEnd w:id="274"/>
      <w:bookmarkStart w:id="275" w:name="bookmark151"/>
      <w:bookmarkEnd w:id="275"/>
      <w:bookmarkStart w:id="276" w:name="_Toc186477746"/>
      <w:bookmarkStart w:id="277" w:name="_Toc24163"/>
      <w:r>
        <w:rPr>
          <w:rFonts w:hint="eastAsia" w:ascii="仿宋" w:hAnsi="仿宋" w:eastAsia="仿宋" w:cs="仿宋"/>
          <w:b/>
          <w:bCs/>
          <w:color w:val="auto"/>
          <w:spacing w:val="-5"/>
          <w:sz w:val="24"/>
          <w:szCs w:val="24"/>
          <w:highlight w:val="none"/>
          <w:lang w:eastAsia="zh-CN"/>
        </w:rPr>
        <w:t>50.解释权</w:t>
      </w:r>
      <w:bookmarkEnd w:id="276"/>
      <w:bookmarkEnd w:id="277"/>
    </w:p>
    <w:p w14:paraId="0608023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50.1本招标文件最终解释权归采购人或采购代理机构所有。</w:t>
      </w:r>
    </w:p>
    <w:p w14:paraId="78C9D450">
      <w:pPr>
        <w:pageBreakBefore/>
        <w:jc w:val="center"/>
        <w:rPr>
          <w:rStyle w:val="38"/>
          <w:rFonts w:hint="default" w:ascii="仿宋" w:hAnsi="仿宋" w:eastAsia="仿宋" w:cs="仿宋"/>
          <w:color w:val="auto"/>
          <w:sz w:val="28"/>
          <w:szCs w:val="28"/>
          <w:highlight w:val="none"/>
          <w:u w:val="none"/>
          <w:lang w:eastAsia="zh-CN"/>
        </w:rPr>
      </w:pPr>
      <w:bookmarkStart w:id="278" w:name="bookmark153"/>
      <w:bookmarkEnd w:id="278"/>
      <w:bookmarkStart w:id="279" w:name="bookmark154"/>
      <w:bookmarkEnd w:id="279"/>
      <w:bookmarkStart w:id="280" w:name="bookmark156"/>
      <w:bookmarkEnd w:id="280"/>
      <w:bookmarkStart w:id="281" w:name="_Toc3777"/>
      <w:r>
        <w:rPr>
          <w:rFonts w:hint="eastAsia" w:ascii="仿宋" w:hAnsi="仿宋" w:eastAsia="仿宋" w:cs="仿宋"/>
          <w:b/>
          <w:bCs/>
          <w:color w:val="auto"/>
          <w:spacing w:val="4"/>
          <w:sz w:val="30"/>
          <w:szCs w:val="30"/>
          <w:highlight w:val="none"/>
          <w:lang w:eastAsia="zh-CN"/>
        </w:rPr>
        <w:t>第三章采购需求</w:t>
      </w:r>
      <w:bookmarkEnd w:id="281"/>
    </w:p>
    <w:p w14:paraId="3E285750">
      <w:pPr>
        <w:pageBreakBefore/>
        <w:jc w:val="center"/>
        <w:rPr>
          <w:rFonts w:hint="eastAsia" w:ascii="仿宋" w:hAnsi="仿宋" w:eastAsia="仿宋" w:cs="仿宋"/>
          <w:b/>
          <w:bCs/>
          <w:color w:val="auto"/>
          <w:spacing w:val="4"/>
          <w:sz w:val="30"/>
          <w:szCs w:val="30"/>
          <w:highlight w:val="none"/>
          <w:lang w:eastAsia="zh-CN"/>
        </w:rPr>
      </w:pPr>
      <w:r>
        <w:rPr>
          <w:rFonts w:hint="eastAsia" w:ascii="仿宋" w:hAnsi="仿宋" w:eastAsia="仿宋" w:cs="仿宋"/>
          <w:b/>
          <w:bCs/>
          <w:color w:val="auto"/>
          <w:spacing w:val="4"/>
          <w:sz w:val="30"/>
          <w:szCs w:val="30"/>
          <w:highlight w:val="none"/>
          <w:lang w:eastAsia="zh-CN"/>
        </w:rPr>
        <w:t>第三章采购需求</w:t>
      </w:r>
    </w:p>
    <w:p w14:paraId="14527BEF">
      <w:pPr>
        <w:rPr>
          <w:rFonts w:hint="default"/>
          <w:lang w:val="en-US" w:eastAsia="zh-CN"/>
        </w:rPr>
      </w:pPr>
    </w:p>
    <w:p w14:paraId="4D5EDDD8">
      <w:pPr>
        <w:spacing w:line="360" w:lineRule="auto"/>
        <w:outlineLvl w:val="0"/>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一、技术参数：</w:t>
      </w:r>
    </w:p>
    <w:tbl>
      <w:tblPr>
        <w:tblStyle w:val="20"/>
        <w:tblW w:w="9813" w:type="dxa"/>
        <w:jc w:val="center"/>
        <w:tblLayout w:type="fixed"/>
        <w:tblCellMar>
          <w:top w:w="0" w:type="dxa"/>
          <w:left w:w="108" w:type="dxa"/>
          <w:bottom w:w="0" w:type="dxa"/>
          <w:right w:w="108" w:type="dxa"/>
        </w:tblCellMar>
      </w:tblPr>
      <w:tblGrid>
        <w:gridCol w:w="964"/>
        <w:gridCol w:w="1245"/>
        <w:gridCol w:w="5976"/>
        <w:gridCol w:w="840"/>
        <w:gridCol w:w="788"/>
      </w:tblGrid>
      <w:tr w14:paraId="49A030A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A974ED">
            <w:pPr>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D2B5">
            <w:pPr>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设备名称</w:t>
            </w:r>
          </w:p>
        </w:tc>
        <w:tc>
          <w:tcPr>
            <w:tcW w:w="59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9675DF5">
            <w:pPr>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规格及技术参数</w:t>
            </w:r>
          </w:p>
        </w:tc>
        <w:tc>
          <w:tcPr>
            <w:tcW w:w="84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79DF53">
            <w:pPr>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数量</w:t>
            </w:r>
          </w:p>
        </w:tc>
        <w:tc>
          <w:tcPr>
            <w:tcW w:w="7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670C01B">
            <w:pPr>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单位</w:t>
            </w:r>
          </w:p>
        </w:tc>
      </w:tr>
      <w:tr w14:paraId="66EE812E">
        <w:tblPrEx>
          <w:tblCellMar>
            <w:top w:w="0" w:type="dxa"/>
            <w:left w:w="108" w:type="dxa"/>
            <w:bottom w:w="0" w:type="dxa"/>
            <w:right w:w="108" w:type="dxa"/>
          </w:tblCellMar>
        </w:tblPrEx>
        <w:trPr>
          <w:trHeight w:val="700" w:hRule="atLeast"/>
          <w:jc w:val="center"/>
        </w:trPr>
        <w:tc>
          <w:tcPr>
            <w:tcW w:w="81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F28E">
            <w:pPr>
              <w:textAlignment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一、物理电学实验室</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2F73">
            <w:pPr>
              <w:jc w:val="center"/>
              <w:rPr>
                <w:rFonts w:ascii="仿宋" w:hAnsi="仿宋" w:eastAsia="仿宋" w:cs="仿宋"/>
                <w:b/>
                <w:bCs/>
                <w:color w:val="auto"/>
                <w:sz w:val="24"/>
                <w:szCs w:val="24"/>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86FF">
            <w:pPr>
              <w:jc w:val="center"/>
              <w:rPr>
                <w:rFonts w:ascii="仿宋" w:hAnsi="仿宋" w:eastAsia="仿宋" w:cs="仿宋"/>
                <w:b/>
                <w:bCs/>
                <w:color w:val="auto"/>
                <w:sz w:val="24"/>
                <w:szCs w:val="24"/>
                <w:highlight w:val="none"/>
              </w:rPr>
            </w:pPr>
          </w:p>
        </w:tc>
      </w:tr>
      <w:tr w14:paraId="2E43C3CC">
        <w:tblPrEx>
          <w:tblCellMar>
            <w:top w:w="0" w:type="dxa"/>
            <w:left w:w="108" w:type="dxa"/>
            <w:bottom w:w="0" w:type="dxa"/>
            <w:right w:w="108" w:type="dxa"/>
          </w:tblCellMar>
        </w:tblPrEx>
        <w:trPr>
          <w:trHeight w:val="700" w:hRule="atLeast"/>
          <w:jc w:val="center"/>
        </w:trPr>
        <w:tc>
          <w:tcPr>
            <w:tcW w:w="8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C2169">
            <w:pPr>
              <w:textAlignment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1、基础设备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AC96">
            <w:pPr>
              <w:jc w:val="center"/>
              <w:rPr>
                <w:rFonts w:ascii="仿宋" w:hAnsi="仿宋" w:eastAsia="仿宋" w:cs="仿宋"/>
                <w:color w:val="auto"/>
                <w:sz w:val="24"/>
                <w:szCs w:val="24"/>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7EF4">
            <w:pPr>
              <w:jc w:val="center"/>
              <w:rPr>
                <w:rFonts w:ascii="仿宋" w:hAnsi="仿宋" w:eastAsia="仿宋" w:cs="仿宋"/>
                <w:color w:val="auto"/>
                <w:sz w:val="24"/>
                <w:szCs w:val="24"/>
                <w:highlight w:val="none"/>
              </w:rPr>
            </w:pPr>
          </w:p>
        </w:tc>
      </w:tr>
      <w:tr w14:paraId="6D5F091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DDE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AE68">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实验桌（教师演示台）</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0014">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整体规格：≥2500mm×700mm×900mm，由3个储物柜，抽屉架组成。</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台面：规格≥2400mm×650mm×13.0mm优抗板台面，由专业生产厂家用CNC机械加工而成；为确保使用者的健康安全，台面板需提供检测报告，满足或优于以下（1）-（12）项性能检测要求，并提供带CMA标识的优抗板检测报告复印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（1）化学性能--台面板材正反两面参照GB/T 17657-2022人造板及饰面人造板理化性能试验办法进行不少于140项化学试剂及有机溶液检测，硫酸（98%）、77%硫酸、40%氢氟酸、硝酸（65%）、四氯化碳、氢氧化钠（40%）、乙基苯、饱和氯化锌等检验结果均为无明显变化，分级结果为“5级”。</w:t>
            </w:r>
          </w:p>
          <w:p w14:paraId="1F1613D8">
            <w:pPr>
              <w:numPr>
                <w:ilvl w:val="0"/>
                <w:numId w:val="2"/>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环保性能---甲醛释放量按照GB/T39600-2021标准检测，检验结果≤0.006mg/m³。</w:t>
            </w:r>
          </w:p>
          <w:p w14:paraId="790CD76F">
            <w:pPr>
              <w:numPr>
                <w:ilvl w:val="0"/>
                <w:numId w:val="2"/>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物理性能-----按照 GB/T 17657-2022标准及其它相关的标准进行不少于27项检测，结果为：密度≥1.44g/㎝³；24h吸水率≤0.2%；静曲强度≥138MPa；弹性模量≥9890MPa；顺纹抗压强度≥176MPa；耐沸水性能：质量增加百分率≤0.01%、厚度增加百分率≤0.06%，表面质量等级：5级：无变化，边缘质量等级：5级：无明显变化；漆膜硬度：≥9H；耐臭氧（72h）；外观无明显变化；表面耐磨性能：≥1550r，未出现磨损；尺寸稳定性检测结果：纵向≤0.04%、横向≤0.05%；漆膜附着力：六级：切割边缘完全平滑，网格内无脱落；体积电阻≤3.1*1012；表面电阻≤4.7*1012。含水率≤0.8%；负荷变形温度：＞200℃；</w:t>
            </w:r>
          </w:p>
          <w:p w14:paraId="29A2B7BD">
            <w:pPr>
              <w:numPr>
                <w:ilvl w:val="0"/>
                <w:numId w:val="2"/>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抗霉性能依据JC/T 2039-2010标准进行检测：霉菌生长情况0级，抗菌性依据JC/T 2039-2010标准进行检测：不少于17种的菌种检测结果抗菌率≥99.99%；</w:t>
            </w:r>
          </w:p>
          <w:p w14:paraId="278C3B93">
            <w:pPr>
              <w:numPr>
                <w:ilvl w:val="0"/>
                <w:numId w:val="2"/>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具有三聚氰胺迁移量检测报告，结果为未检出；</w:t>
            </w:r>
          </w:p>
          <w:p w14:paraId="12BB0DAC">
            <w:pPr>
              <w:numPr>
                <w:ilvl w:val="0"/>
                <w:numId w:val="2"/>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经SEFA 3-2020科学设备及家具协会-实验室工作台面条款 2.1，49项化学试剂检测评级结果为符合实验室级别应不大于四个3级要求；</w:t>
            </w:r>
          </w:p>
          <w:p w14:paraId="49894FA6">
            <w:pPr>
              <w:numPr>
                <w:ilvl w:val="0"/>
                <w:numId w:val="2"/>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参照US EPA3540C：1996方法，采用GC-MS设备对不少于39项邻苯二甲酸脂进行检测，结果为未检出；</w:t>
            </w:r>
          </w:p>
          <w:p w14:paraId="4A25E005">
            <w:pPr>
              <w:numPr>
                <w:ilvl w:val="0"/>
                <w:numId w:val="2"/>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参照AfPS GS 2019:01PAK方法，采用GC-MS设备对不少于15项多环芳烃（PAHs15)进行检测，结果为未检出；</w:t>
            </w:r>
          </w:p>
          <w:p w14:paraId="364F76D5">
            <w:pPr>
              <w:numPr>
                <w:ilvl w:val="0"/>
                <w:numId w:val="2"/>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根据ISO 21702：2019对H1N1、H3N2进行抗病毒活性试验，抗病毒活性率结果＞93%。</w:t>
            </w:r>
          </w:p>
          <w:p w14:paraId="5C5295CB">
            <w:pPr>
              <w:numPr>
                <w:ilvl w:val="0"/>
                <w:numId w:val="2"/>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参考US EPA5021A：2014方法，采用HS-GC-MS进行分析，VOC挥发性有机化合物检测，至少60项结果为nd(未检出）；挥发性有机化合物排放结果达到TVOC释放检测值≤0.04mg/(㎡*h)，苯、甲苯、二甲苯释放检测值≤0.005mg/(m2*h)；</w:t>
            </w:r>
          </w:p>
          <w:p w14:paraId="3A30092F">
            <w:pPr>
              <w:numPr>
                <w:ilvl w:val="0"/>
                <w:numId w:val="2"/>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台面参照GB/T16422.2-2022标准进行1450小时以上氙灯老化试验，检测结果为样品无变色、发粘、裂纹等异常，等级为5级。</w:t>
            </w:r>
          </w:p>
          <w:p w14:paraId="21BDFF6E">
            <w:pPr>
              <w:numPr>
                <w:ilvl w:val="0"/>
                <w:numId w:val="2"/>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燃烧性能项目检测符合GB 8624-2012标准，达到B1（C-s1,d0,t1）级，烟气毒性等级为ZA3级；检测依据GB/T 2408-2021标准水平燃烧符合HB级、垂直燃符合V-0级；</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2、储物柜：柜体均为全钢结构，采用≥1.0mm厚冷轧钢板，表层经酸洗、磷化、环氧树脂粉末喷涂等工艺加工生产，接缝处无焊点，表面平整光滑，耐酸碱，防腐蚀；边缘做倒角设计，可防止磕碰；柜门：主体采用双层冷轧钢板装配成型，内附蜂窝状瓦楞纸防噪填充，柜门内侧装有起缓冲作用防撞贴，门板面板内嵌ABS塑料拉手；活动层板：柜体内设有活动层板，采用≥1.0mm厚冷轧钢板制作，配合至少4个塑料支撑扣调整上下高度，调节孔距≥65mm，承重≥20KG；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抽屉架：主体采用≥1.0mm厚冷轧钢板，表层经酸洗、磷化、环氧树脂粉末喷涂等工艺加工生产，接缝处无焊点，表面平整光滑，耐酸碱，防腐蚀；边缘做倒角设计，可防止磕碰；内置2个内部规格：≥314mm×352mm×126mm抽屉，抽头均为双层结构，内附蜂窝状瓦楞纸防噪填充，采用三节静音导轨，配备阻尼滑道，抽头内嵌塑料拉手；</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4、可调脚：桌体底部配备≥50mm高钢制PP注塑调节地脚，减震防滑。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FBC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A9B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张</w:t>
            </w:r>
          </w:p>
        </w:tc>
      </w:tr>
      <w:tr w14:paraId="7548C61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5CD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34B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教师椅</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AEE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1.规格：≥550×500×1070mm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2.采用PU皮面，海绵坐垫；</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3.黑色PP加玻纤内外塑框；</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4.一体成型PP固定扶手；</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5.中靠背46-49cm，人体工程学设计；</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6.≥1.0mm厚气杆；</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7.PP加纤五星塑脚；</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8.φ50mm（偏差±5%）黑边尼龙万向轮。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461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B29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张</w:t>
            </w:r>
          </w:p>
        </w:tc>
      </w:tr>
      <w:tr w14:paraId="444540C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58A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67C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教师电源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3209">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教师电源包含电源模块和电源箱模块；</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一、电源模块：</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规格：≥310mm×350mm；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采用内嵌式≥7英寸全触摸液晶显示（偏差±5%），智能一体化界面，线路采用高速贴片机焊接，可人性化设置开机验证方式和定时关机时间，教师与学生数据传输采用有线通信，教师电源配备漏电保护，电源参数如下：</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1、教师交流：支持通过触摸显示屏操作0-30V交流电压输出，电压分辨率为1V，额定电流≥4A，具备过载自动保护;</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2、教师直流：支持通过触摸显示屏操作0-30V交流电压输出，电压分辨率为0.1V，额定电流≥4A，具备过载自动保护;</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3、学生交流：教师电源支持分组控制学生交流电源，控制范围为0-30V，分辨率为1V;</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4、学生直流：教师电源支持分组控制学生直流电源，控制范围为0-30V，分辨率为0.1V;</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5、锁定功能：教师端支持远程锁定学生电源低压交、直流电压;</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6、直流高压：输出240V或300V的高压，输出电流为100mA,具备过载保护功能;</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7、直流大电流：由微处理器精确控制20秒自动关断，可达到延时零误差;</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8、教师自用两路220V多功能插座输出，额定电流≥5A。</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二、电源箱模块：</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1、规格：≥285mm×240mm×120mm；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2、材质：外壳采用≥1.2mm厚镀锌钢板，表层经酸洗、磷化、环氧树脂粉末喷涂等工艺加工生产，具有耐酸碱，防腐蚀的特点；</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3、内置额定容量不小于112VA变压器，12V散热风扇，采用电路控制板对电源输出高压、低压、大电流等子单元进行智能控制，能够通过接插件与教师电源抽屉连接，完成教师电源与学生电源间的信号传输。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5B9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B58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A9CA89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3EA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8B6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智能吊装控制系统</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BC73">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1.电源操作控制系统：可实现远程分组控制学生高低压电源开启与关闭；可输出交流电范围0-30V，分辨率1V设置及实时显示，可输出直流电范围0-30V，分辨率0.1V设置及实时显示，带学生电压锁定功能。</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2.照明系统：可实现远程控制照明系统开启与关闭。可单个或全组进行控制，有全选及反选功能，可实现根据周围环境自动调节亮度（护眼模式）或手动调节亮度，实时显示照明工作状态。</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3.升降控制系统：可实现控制电源升起或下降。可单个或全组进行控制，有全选及反选功能。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4.系统设置：（1）开机方式: ①直接开机; ②密码验证； （2）定时关机：0-240分钟时段设置；（3）教室编号设置；（4）自动分组功能；（5）更改密码功能。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A73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496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D5C6EB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9D5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269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实验桌（学生）</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B2BD">
            <w:pPr>
              <w:numPr>
                <w:ilvl w:val="0"/>
                <w:numId w:val="3"/>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规格：≥1200mm（L）×600mm（W）×780mm（H）；实验桌整体符合人体工程学设计，外表为流线形工业设计，简洁时尚。</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实验室专用陶瓷台面，厚度为≥20mm，采用一体实芯黑色坯体一体烧制釉面，具备无空洞、无杂色、无脱层、釉面与坯体呈一体结构的特点；该台面为实验室专用，需满足无甲醛释放、耐化学腐蚀、耐划痕、耐污染等性能要求；在靠近人体操作边缘处有一条与台面一体成型（非后期二次开槽）的功能性凹槽，其宽度≥11.7mm，深度≥1.25mm，储水量≥15.5ml，能够有效阻水和缓冲，同时能够对实验试管、玻璃棒、小球等易滚动器材进行缓冲阻拦。</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▲台面板技术参数满足以下（1）-（6）项指标,并提供</w:t>
            </w:r>
            <w:bookmarkStart w:id="282" w:name="OLE_LINK4"/>
            <w:bookmarkStart w:id="283" w:name="OLE_LINK5"/>
            <w:r>
              <w:rPr>
                <w:rFonts w:hint="eastAsia" w:ascii="仿宋" w:hAnsi="仿宋" w:eastAsia="仿宋" w:cs="仿宋"/>
                <w:color w:val="auto"/>
                <w:sz w:val="24"/>
                <w:szCs w:val="24"/>
                <w:highlight w:val="none"/>
                <w:lang w:eastAsia="zh-CN"/>
              </w:rPr>
              <w:t>带CMA标志的检测报告复印件。</w:t>
            </w:r>
            <w:bookmarkEnd w:id="282"/>
            <w:bookmarkEnd w:id="283"/>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外观要求：参照T/CIQA10-2020的要求，外观为五面坯体，表面釉面为烧成颜色；坯体敲碎后，无空洞、无直径2mm以上气泡、无杂色，为一体实芯坯体；釉面与坯体之间无脱层，釉面与坯体呈一体结构，釉面为烧成颜色，非坯体颜色。</w:t>
            </w:r>
          </w:p>
          <w:p w14:paraId="1EC194F4">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（2）耐化学腐蚀性能：为保证台面耐化学腐蚀的稳定性，参照T/CIQA10-2020标准，台面耐化学腐蚀性不低于GLA级。</w:t>
            </w:r>
          </w:p>
          <w:p w14:paraId="4A078405">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（3）抗冲击性能：为保证台面使用的安全性，参照T/CIQA10-2020标准，台面抗冲击性（恢复系数）不低于0.845。</w:t>
            </w:r>
          </w:p>
          <w:p w14:paraId="0891189B">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（4）防潮要求：为保证台面防潮、防霉的性能，参照GB/T4100-2015（陶瓷砖）附录G标准，台面吸水率测试平均值≤0.05％。</w:t>
            </w:r>
          </w:p>
          <w:p w14:paraId="3CF610F1">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（5）放射性核素限量要求：参照GB6566-2010《建筑材料放射性核素限量》标准，检测结果：内照射指数≤0.4。</w:t>
            </w:r>
          </w:p>
          <w:p w14:paraId="55E47F84">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（6）颜色稳定性：为保证台面的美观度，参照GB/T17657-2022标准,耐光色牢度不低于4级。</w:t>
            </w:r>
          </w:p>
          <w:p w14:paraId="042310BC">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桌体框架：铸铝/塑铝结构；通过桌体上端两侧支架、立柱连接铸铝桌脚，形成“Z”字造型，使桌体具有强承重性及高稳定性；桌体所有接触人体的边棱均无锐利的棱角、毛刺；桌体表面经环氧树脂粉体喷涂处理，耐腐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4、上端两侧支架：铸铝模具成型，规格≥572mm×62mm×93mm选用铝锭，经酸洗磷化前处理，表面经环氧树脂粉喷涂处理，耐腐蚀。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5、桌脚/脚垫：铸铝模具成型，规格≥526mm×60mm×117mm；选用铝锭，经酸洗磷化前处理，表面经环氧树脂粉喷涂处理，耐腐蚀。脚垫高度可调，耐磨、防潮、防滑。</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6、立柱：规格≥620mm×80mm×50mm；铝材挤出成型，经酸洗磷化前处理，表面经环氧树脂粉体喷涂处理，耐腐蚀。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7、主横梁：采用”8”字型铝材挤出成型，规格≥1080mm×19mm×80mm，经酸洗磷化前处理，表面经环氧树脂粉喷涂处理，耐腐蚀。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8、后挡条：铝材挤出成型，规格≥1068mm×80×16mm；连接左右两侧注塑模具成型ABS材质固定卡位，防止台面物品滑落；经酸洗磷化前处理，表面经环氧树脂粉喷涂处理，耐腐蚀。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9、书包斗：规格≥400mm×330mm×162mm，采用增强PP塑料一次注塑成型；书包斗前端预留学生凳挂靠口，上翘工艺设计，两书包斗中间预留放置不同功能学生电源的空间，具有隐蔽性；固定挂架采用镀锌方钢，防腐防锈。</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▲10、实验桌产品满足以下（1）-（6）项性能要求，并提供带CMA标志的检测报告复印件。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（1）形状和位置公差：邻边垂直度（面板、框架）对角线长度&lt;1000mm，长度差1mm ；（面板、框架）对边长度&lt;1000mm，长度差0mm；（平整度）面板正视面板件≤0.20mm；（着地平稳性）底角于水平面的差值≤2.0mm；检测结果均为合格。</w:t>
            </w:r>
          </w:p>
          <w:p w14:paraId="44DE8E85">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（2）金属件外观：管材应无裂缝、叠缝；外露管口端面应封闭；冲压件应无脱层、裂缝；涂层应无漏喷、锈蚀；涂层应光滑均匀，色泽一致，应无流挂、疙瘩、皱皮、飞漆等缺陷； 电镀层表面应无剥落、返锈、毛刺,面应无烧焦、起泡、针孔、裂纹、花斑（不包括镀彩锌）和划痕,检测结果均为合格。</w:t>
            </w:r>
          </w:p>
          <w:p w14:paraId="4920F216">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（3）塑料件外观:应无裂纹、明显变形、缩水、针孔,无凹陷、飞边、折皱、疙瘩,无气泡、杂质、伤痕、白印,表面应光洁，应无划痕、毛刺、拉毛、污渍,无明显色差,检测结果均为合格。</w:t>
            </w:r>
          </w:p>
          <w:p w14:paraId="2226BC7F">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（4）结构性要求：与人体接触的零部件不应有毛刺、刃口、尖锐的棱角和端头；操作台面接缝应平整、紧密，不应渗水、开缝；检测结果均为合格。</w:t>
            </w:r>
          </w:p>
          <w:p w14:paraId="6AE15852">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（5）金属喷漆（塑）涂层：抗盐雾24h无锈蚀现象,抗冲击:3.92J无剥落、裂纹、皱纹现象，应无剥落、裂纹、皱纹；（附着力）应不低于2级；检测结果均为合格。</w:t>
            </w:r>
          </w:p>
          <w:p w14:paraId="7275B775">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（6）力学性能（水平静载荷试验）力400N，10次无损；（垂直静载荷试验）主桌面：力1000N，10次；无损；（垂直耐久性试验）力：600N，循环次数：10000次无损；（桌腿跌落）力：跌落高度：300mm，10 次无损（桌面垂直冲击）力：跌落高度：180mm，2 次无损；检测结果均为合格。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D42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F0B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张</w:t>
            </w:r>
          </w:p>
        </w:tc>
      </w:tr>
      <w:tr w14:paraId="00AAB2E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5CD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478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学生凳</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4D44">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1.规格：≥φ300mm×440mm。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2.凳面：采用ABS环保材质一体注塑成型，防摔耐磨。人体工程学设计，中间有内弧成型，深度≥8mm。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3.升降式螺杆：直径≥20mm螺纹碳钢，配合高强度钢制托盘于凳面底部固定，钢板厚度≥2mm。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支持调节凳子高度，升降≥50mm。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4.钢脚架：由壁厚≥1.2mm椭圆形钢管及壁厚≥2mm圆钢管焊接组成，表面经高温烤漆处理。</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5.脚垫：塑胶材质，采用PP一体注塑成型，防水防滑。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141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676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3E7417B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84A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4F7B">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升降电源（核心产品）</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9C22">
            <w:pPr>
              <w:numPr>
                <w:ilvl w:val="0"/>
                <w:numId w:val="4"/>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电源转换及控制模块：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1、尺寸：≥570mm（L）×250mm（W）×570mm（H）；</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2、工艺与材质：采用≥1.2mm钢板冷轧成型，表面经过防腐氧化处理和纯环氧树脂塑粉高温固化处理，具有较强的耐蚀性。对控制系统硬件安装固定，控制系统以32位MCU为核心配合监测控制电路，电源转换部分采用环形独立变压器对市电进行隔离降压，安全可靠。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二、电源升降模块：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1、升降范围：1400mm-1800mm；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2、采用自动升降系统，双限位单元保障设备到位双保险，电机电流实时监测防止电机堵转、及设备拖拉；</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3、旋转线槽单元设计汽车轮毂式，保障旋转过程中不跳线及对线缆的保护，降低维修率；</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4、电机及传动部件安装固定在≥1.2mm冷轧钢板箱体内，经酸洗磷化前处理，表面经环氧树脂粉喷涂处理，耐腐蚀；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5、采用9芯低烟无卤阻燃综合电缆做升降通信电缆，连接学生电源操作盘。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三、电源照明收纳模块：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1、尺寸：≥φ389mm×145mm（H）；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2、工艺材质：壳体采用ABS注塑一体成型；</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3、照明单元采用铝基高亮度白光LED灯，围绕LED灯设计60格栅条，灯光片为透明亚克力材质，镶嵌在圆盘内，功率≥45W。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四、电源操作控制模块：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1、尺寸：≥φ225mm×175mm（H）；集成2个RJ45网口、2个供电USB接口、1个步进升控制按钮、1个步进降控制按钮、一个到位供电触发按键；4路220V多功能插座输出；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2、工艺材质： 壳体采用ABS注塑一体成型；操作区四面采用360°圆弧设计；选用1.8寸显示屏，配合5组按键，实现电流电压的显示设置及交直流输出的切换；控制系统以32位MCU为核心配合监测控制电路；</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3、交流输出：支持由学生或教师操作输出0-30V电源，分辨率为1V，额定电流≥2A，具有过载报警保护功能；</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4、直流输出：支持由学生或教师操作输出0-30V电源，分辨率为0.1V，额定电流≥2A，具有过载报警保护功能；</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5、锁定：电源被教师端锁定时，电源内部锁定，此时只能由教师端控制此电源所有电压设置，学生端无法操作。</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▲升降电源提供以下（1）-（7）带CMA标志的检测报告复印件。</w:t>
            </w:r>
          </w:p>
          <w:p w14:paraId="01B08384">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（1）保护连接系统的电阻：依据 GB4943.1-2022 标准进行 5.6.6 条款：接地电阻≤0.1, 32A，检验结果符合。                                                                                          </w:t>
            </w:r>
          </w:p>
          <w:p w14:paraId="28368A2A">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（2）预期的接触电压、接触电流和保护导体电流 ：依据 GB4943.1-2022 标准进行 5.7 条款：a)初级-可触及接地零部件，接触电流限值≤5mAb)初级-可触及不接地零部件，接触电流限值≤0.5mA ，检验结果符合。                                                                       （3）抗电强度试验：依据 GB4943.1-2022 标准进行 5.4.9 条款：一次电路与地之间:2000VDC，历时 1min 不应出现击穿一次电路与二次电路间: 4000VDC，历时1min 不应出现击穿,检验结果未击穿                    </w:t>
            </w:r>
          </w:p>
          <w:p w14:paraId="01737ACC">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（4）湿热处理：依据 GB4943.1-2022 标准进行 5.4.8 条款：相对湿度(%)，温度(℃)，持续时间(h) ，检验结果40℃,93%,120h，符合标准。</w:t>
            </w:r>
          </w:p>
          <w:p w14:paraId="6EE91373">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（5）低温工作试验在-10±3°C的条件下,贮存2小时,工作1小时,要求试验期间:样机通电工作正常。样机结构正常。样机外观正常，检验结果通过。                                                                                                                                    （6）高温工作试验：在 40±2°C 的条件下,正常工作 16 小时(非操作),在此期间要求:样机通电工作正常，样机结构正常，样机外观正常，检验结果通过。                                                                                                                            （7）盐雾度测试：试验溶液盐溶液采用氯化钠和蒸馏水配制，其浓度为 5%盐雾工作试验空间内温度:35°CPH 值:6.7盐雾工作试验空间内放置时间:48h 无缺陷面积，外观评级 A，试样表面外观无变化，检验结果通过。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AB9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112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272AC75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746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A2D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储物架（主）</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5D6A">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1、规格：≥530mm*480mm*2000mm；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2、材质：主体承重采用四根铝合金立柱，表面经氧化处理，防酸碱，耐腐蚀；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结构：主体承重立柱预设滑轨孔位，可确保储物筐高度灵活调节，满足不同器材空间储物需求，架体间采用增强尼龙塑料连接，结构稳定，不易晃动，顶部设置储物架防尘盖板，厚度≥0.8mm，表面经钣金喷塑处理，易清洁；</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4、可调脚：可调地脚采用PP材质，可调高度5mm。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A94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C14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747E821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0F1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55A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储物架（副）</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F34D">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1、规格：≥510mm*480mm*2000mm；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2、材质：主体采用两根铝合金立柱，表面经氧化处理，防酸碱，耐腐蚀；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结构：主体承重立柱预设滑轨孔位，可确保储物筐高度灵活调节，满足不同器材空间储物需求，架体间采用增强尼龙塑料连接，结构稳定，不易晃动，顶部设置储物架防尘盖板，厚度≥0.8mm，表面经钣金喷塑处理，易清洁；</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4、可调脚：可调地脚采用PP材质，可调高度5mm。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A08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862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0A9C631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C45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2E6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平放框</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2FB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1、规格：≥439mmx439mmx103mm，灰色；</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2、材质：采用ABS材质，注塑成型，具有耐酸碱、防水、耐热，耐候性、电绝缘性等性能，底部采用实心设计，能防止液体类物体泄漏流到下层框体；</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3、结构：平放框配备纵隔板、横隔板、小隔板、卡槽、滑轨等组件；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4、隔板：横、纵隔板采用规格≥398mmx22mmx100mm ABS塑料，隔板可自定义调节，能满足不同器材摆放，增加空间利用率；</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5、卡槽：≥64mmx42mmx12mm 采用透明PC材质，能放置储物标签，便于器材识别与管理；</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6、滑轨：≥467mmx27mmx52mm，采用增强尼龙塑料材质，能自适应框体拉出、下垂、划过等操作，集成的拉出止动结构可防止模块化框体掉落。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971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625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21CB34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707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52B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斜放框</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A3C6">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1、规格：≥439mmx439mmx103mm，灰色；</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2、材质：采用ABS材质，注塑成型，具有耐酸碱、防水、耐热，耐候性、电绝缘性等性能，底部采用实心设计，能防止液体类物体泄漏流到下层框体；</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3、结构：配备纵隔板、横隔板、小隔板、卡槽、滑轨，斜放配件等组件；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4、摆放方式：斜放式；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5、隔板：横、纵隔板采用规格≥398mmx22mmx100mm ABS塑料，隔板可自定义调节，能满足不同器材摆放，增加空间利用率；</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6、卡槽：≥64mmx42mmx12mm 采用透明PC材质，能放置储物标签，便于器材识别与管理；</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7、滑轨：≥467mmx27mmx52mm，采用增强尼龙塑料材质，能自适应框体拉出、下垂、划过等操作，集成的拉出止动结构可防止模块化框体掉落。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988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CAE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CB13E1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625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F95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层板</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45B8">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1、规格：≥480x466x15mm；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2、材质：层板采用壁厚≥1.2mm冷轧钢板，表面经钣金喷塑处理，防水，耐酸碱，耐腐蚀；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3、配件：层板下方配备不少于4个尼龙塑料层板支撑扣。</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5F7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5BA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4CBBFE3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A7A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830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移动推车</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820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1、规格参数：≥1110*480*1100mm；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2、功能材质：主体承重架体采用铝合金材料，表面氧化处理工艺，架体连接件采用增强尼龙塑料，整体结构稳；架体由铝型材框架、铝合金把手、层板3个、储物筐4个、推车顶层平台等组成；</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移动推车同时预制多个层板及储物筐；层板采用≥1.0mm冷轧钢板，表面经高压静电喷涂环氧树脂防护层，耐酸碱，耐腐蚀，层板下方采用4个增强尼龙塑料支撑件，单个层板承重≤30kg；储物筐采用工程塑料ABS/PC，承重≤10kg；层板和储物筐可根据收纳物品大小调节层高；</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推车顶层平台规格≥1000mm*480mm*8mm，配置抗倍特材质，顶部可根据需求存放实验器材等；移动推车配备6个万向轮，方便移动，具有锁停功能；</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3、适用范围：:适用于各学科实验室，便于实验器材、实验箱、实验耗材等运输及移动。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F5D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D8F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1ED3A35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06F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823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电源布线耗材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5914">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电源主线采用4.0mm²BVR铜软线铺设；选用Ф20或Ф25PVC阻燃线管，每桌采用软铜质电线与主线对接取电；选用合适规格的线管包裹取电连接线。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618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18F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室</w:t>
            </w:r>
          </w:p>
        </w:tc>
      </w:tr>
      <w:tr w14:paraId="78729CE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C76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00A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安装辅件</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900B">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采用L型多孔位钢板固定于楼面，根据楼层的高度可自行调节所需适宜高度，辅材为高强度膨胀栓，及螺丝螺母。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58D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7C7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室</w:t>
            </w:r>
          </w:p>
        </w:tc>
      </w:tr>
      <w:tr w14:paraId="599FD75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8ED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B89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吊装系统安装调试</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EA64">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各项功能测试：</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1、升降系统测试；</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2、强弱电性能测试；</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3、定时，分组测试；</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4、照明测试。</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217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A78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室</w:t>
            </w:r>
          </w:p>
        </w:tc>
      </w:tr>
      <w:tr w14:paraId="115D58B1">
        <w:tblPrEx>
          <w:tblCellMar>
            <w:top w:w="0" w:type="dxa"/>
            <w:left w:w="108" w:type="dxa"/>
            <w:bottom w:w="0" w:type="dxa"/>
            <w:right w:w="108" w:type="dxa"/>
          </w:tblCellMar>
        </w:tblPrEx>
        <w:trPr>
          <w:trHeight w:val="700" w:hRule="atLeast"/>
          <w:jc w:val="center"/>
        </w:trPr>
        <w:tc>
          <w:tcPr>
            <w:tcW w:w="8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9697E">
            <w:pPr>
              <w:textAlignment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2、常态化录播系统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01FB">
            <w:pPr>
              <w:jc w:val="center"/>
              <w:rPr>
                <w:rFonts w:ascii="仿宋" w:hAnsi="仿宋" w:eastAsia="仿宋" w:cs="仿宋"/>
                <w:color w:val="auto"/>
                <w:sz w:val="24"/>
                <w:szCs w:val="24"/>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FF60">
            <w:pPr>
              <w:jc w:val="center"/>
              <w:rPr>
                <w:rFonts w:ascii="仿宋" w:hAnsi="仿宋" w:eastAsia="仿宋" w:cs="仿宋"/>
                <w:color w:val="auto"/>
                <w:sz w:val="24"/>
                <w:szCs w:val="24"/>
                <w:highlight w:val="none"/>
              </w:rPr>
            </w:pPr>
          </w:p>
        </w:tc>
      </w:tr>
      <w:tr w14:paraId="6C6E2E0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E3A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24E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高清录播主机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9D13">
            <w:pPr>
              <w:numPr>
                <w:ilvl w:val="0"/>
                <w:numId w:val="5"/>
              </w:numP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录播主机整体采用嵌入式设计非PC与服务器工作站等架构以保障系统运行稳定、安全。为放便设备部署考虑，为避免屏幕动态变化影响学生课堂专注力的情况，录播主机需为标准1U机架式设计，机身非壁挂且不存在大面积显示屏。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2.录播主机功能高度集成化需同时具备录制、导播、自动跟踪、存储、点播、互动多功能功于一体，且跟踪功能基于AI人工智能技术无需额外增加图像定位分析等其他辅助型设备即可实现。</w:t>
            </w:r>
          </w:p>
          <w:p w14:paraId="456B0530">
            <w:pPr>
              <w:numPr>
                <w:ilvl w:val="0"/>
                <w:numId w:val="0"/>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4.嵌入式架构的录播主机应具有环保特性，需采用不高于DC24V的安全低电压供电，整机正常工作状态下功耗不超过19W。</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5.主机支持≥2路3G-SDI输入、≥2路HDMI 输入；≥3路HDMI 输出，且输入输出分辨率均支持1080P@30fps。6.主机支持≥2路3.5mm线性音频模拟信号输入接口，≥2路3.5mm线性音频输出接口；≥4路数字音频Digital Mic输入接口。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7.主机支持≥2路Console控制接口（RJ45），支持RS232串行通信协议进行外接控制；≥2路USB 2.0接口，可用于连接U盘等外设。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8.主机具备标准RJ45网络接口，支持10/100/1000M网络自适应。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9.日常音频环出：支持主机在通电关机或休眠状态下，仍能按照预设置完成音频信号的输入环出，实现开展日常授课时（不录制、互动等），仍能完成麦克风、电脑等教学音频环出应用且无需重新调整线路。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9.存储容量：主机储存容量不少于1TB，用于录制视频文件的本地存储。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10.要求录播主机采集的摄像机信号无需经过编解码，无画质损耗。具备声画同步机制，实现≤100ms的声画同步，保障录制视频质量。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11.要求录播主机支持定时休眠唤醒功能，并提供自定义时间设置，可以单独设置是否定时休眠或者定时唤醒。12.要求录播主机支持录像文件循环覆盖功能，开启循环覆盖功能后，录播硬盘在已存储90%的空间时，再次启动录制将删除录播内现存时间最早的录像文件以应对录制频率比较高的情况。</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13.为保证设备稳定运行，要求设备平均无故障运行时间（MTBF）≥200000小时。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FC3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133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46CE9D1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B7C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20A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录播流媒体处理软件</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BB37">
            <w:pPr>
              <w:numPr>
                <w:ilvl w:val="0"/>
                <w:numId w:val="6"/>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软件兼容IE、火狐、搜狗等主流浏览器通过网络直接访问软件后台进行管理应用；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2.软件具备录制、暂停、结束等基本功能操作，并支持通过外接控制设备以及网页web登录控制等方式进行录制控制；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3.软件具备录制质量设置，提供1080P、720P等高清标清质量选择，并支持自定义录制分辨率、fps（帧率）、bps（比特率）、gop（画面组）。</w:t>
            </w:r>
          </w:p>
          <w:p w14:paraId="2C530D0B">
            <w:pPr>
              <w:numPr>
                <w:ilvl w:val="0"/>
                <w:numId w:val="7"/>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软件具备对录制视频按视频文件名、时间、时长进行排序，便于快速检索所需视频。支持对录像文件进行下载；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5.软件具备硬盘格式化功能，对设备异常断电、宕机造成的视频文件损坏进行自动修复，具备恢复出厂设置，能够实时初始化系统状态；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6.软件具备资源模式与导播后的电影模式同时录制，支持对视频文件进行点播回放以及拖拽播放进度条播放；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7.软件具备长视频分段录制的功能，可自定义视频文件分段时长，当录制课程时间较长时，可在不结束录制的条件下自动按分段时长将课程视频文件分割录制成多个视频文件。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8.软件具备摄像机云台控制技术，实现对接入摄像机的画面进行云台控制，包括画面上下左右移动、放大缩小变焦等操作。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9.软件具备全自动、半自动、手动三种导播模式，并支持录制过程中任意切换导播模式。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10.软件具备U盘同步录制保存的功能，在录播主机正常录制的同时，另存一份文件保存到U盘中。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11.软件具备高低双码流同步录制，并要求支持自定义录制分辨率、码流。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12.软件具备自定义推流分辨率和码率，码率512Kbps~35Mbps范围可设，以适应不同网络环境下保持直播的流畅性。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13.软件具备自定义设置跟踪检测区域，避免如教室门窗、教学大屏等环境产生额外干扰，支持自定义选择检测区域则该区域系统将在指定区域进行图像识别分析，保障课堂正常跟踪拍摄效果。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14.软件具备双分屏、三分屏、四分屏以及自定义画面布局，支持多个视频图层自由叠加组合，自定义布局时可随意拖拉画面窗口。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15.软件具备对视频信号源标签设置，对摄像机实时拍摄信号或HDMI高清输入信号均可自定义名称标签，为导播控制与编辑灵活性提供便利。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16.软件具备具备 RTMP 和 RTSP 视频传输协议，不少于4路 RTMP 同步推流直播，支持自定义直播分辨率和码率，以适应不同网络环境下保持直播的流畅性。</w:t>
            </w:r>
          </w:p>
          <w:p w14:paraId="1C44FB3E">
            <w:pPr>
              <w:numPr>
                <w:ilvl w:val="0"/>
                <w:numId w:val="8"/>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软件具备 H.323、SIP 标准视音频互动协议，便捷进行远程互动教学应用。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18.软件具备音频处理模块，支持EQ均衡、AEC回声抑制、AGC自动增益、ANS噪声抑制等音频处理功能。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19.软件具备双流互动功能，开启双流后，建立呼叫，支持教学场景信号与电脑课件信号以互相独立的信号进行传输；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20.软件具备呼叫应答设置，默认支持自动应答与勾选手动应答两种方式以满足在专递课堂场景下听讲端的自动入会，以及在其余场景下录播教室内的用户接收到互动申请可自主选择是否加入会议的情况。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21.软件具备查询互动云系统的目录数据，查询内容包括所有已在互动云系统注册的设备账号、会议号，支持筛选查询，支持通过设备账号、会议号快速实现互动。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22.软件具备设置管理员权限和普通用户权限，普通权限用户无法进行配置参数修改。</w:t>
            </w:r>
          </w:p>
          <w:p w14:paraId="4183AE6C">
            <w:pPr>
              <w:numPr>
                <w:ilvl w:val="0"/>
                <w:numId w:val="9"/>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软件具备电子云镜技术搭配云镜摄像机使用可实现单镜头拍摄生成全景和特写两组镜头画面，两组画面同时满足1080P高清视频采集与播放。</w:t>
            </w:r>
          </w:p>
          <w:p w14:paraId="43CDA8C3">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24.为保证录制效果与质量，软件具备对音频设置支持多场景设置配置，支持对录制、互动两个使用场景分别配置音频设置参数。并可在对应使用场景自动生效。此参数为本项目最低要求，此参数仅供参考。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EA0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9A1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167DA0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209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307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教师高清摄像机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0AF5">
            <w:pPr>
              <w:numPr>
                <w:ilvl w:val="0"/>
                <w:numId w:val="10"/>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传感器类型：CMOS、1/2.5英寸</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2.有效像素不低于1100万。</w:t>
            </w:r>
          </w:p>
          <w:p w14:paraId="7D130464">
            <w:pPr>
              <w:numPr>
                <w:ilvl w:val="0"/>
                <w:numId w:val="10"/>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采用了2D和基于运动估计的3D降噪算法</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4.最大水平视场角不小于47°，最大垂直视场角不小于27°</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5.网络接口：RJ45≥1，10/100/1000M自适应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6.视频接口：SDI≥1</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7.支持DC12V电源适配器供电与POC供电方式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8.内置跟踪分析功能，无需辅助跟踪摄像头即可完成对象跟踪捕捉，支持学生全景和特写切换跟踪模式</w:t>
            </w:r>
          </w:p>
          <w:p w14:paraId="63D40A38">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9.支持电子云镜技术，单镜头拍摄可输出“全景”、“特写”双信号画面至录播主机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C86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779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197732E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7F6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146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学生高清摄像机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BAD1">
            <w:pPr>
              <w:numPr>
                <w:ilvl w:val="0"/>
                <w:numId w:val="11"/>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传感器类型：CMOS、1/2.5英寸</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2.有效像素不低于1000万。</w:t>
            </w:r>
          </w:p>
          <w:p w14:paraId="00BEBCE3">
            <w:pPr>
              <w:numPr>
                <w:ilvl w:val="0"/>
                <w:numId w:val="11"/>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采用了2D和基于运动估计的3D降噪算法</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4.最大水平视场角不小于80°，最大垂直视场角不小于50°</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5.网络接口：RJ45≥1，10/100/1000M自适应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6.视频接口：SDI≥1</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7.支持DC12V电源适配器供电与POC供电方式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8.内置跟踪分析功能，无需辅助跟踪摄像头即可完成对象跟踪捕捉，支持学生全景和特写切换跟踪模式</w:t>
            </w:r>
          </w:p>
          <w:p w14:paraId="5C76EB86">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9.支持电子云镜技术，单镜头拍摄可输出“全景”、“特写”双信号画面至录播主机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BD8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605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1A89445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D52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9FE8">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高清摄像机传输处理软件</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463F">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1.摄像机传输处理软件采用B/S架构，支持通用浏览器直接访问进行管理。</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2.支持网络参数设置与修改，支持一键恢复默认参数。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3.支持曝光模式设置功能，包括自动、手动。</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4.支持自动白平衡设置功能，红、蓝增益可调。</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5.支持噪声抑制设置功能，支持2D、3D降噪。</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6.提供中国软件评测中心出具的高清摄像机传输处理软件相关的检测报告复印件。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4B6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F8E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29E69BB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40E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3B0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录制面板</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F8E3">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1.支持通过RS232控制接口连接录播主机，并具备提示信号灯。</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2.支持一键电源开关控制，支持一键开启录制、停止、锁定电脑信号等功能；</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3.支持一键开启和关闭全自动导播功能；</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4.支持切换互动画面的信号源，包括老师信号、学生信号、电脑信号、远端教室的画面；</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5.支持一键发起与远端设备互动连接；</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6.支持对各画面的自由布局控制，包括单画面全屏、双分屏、三分屏、四分屏、画中画，并传输到听课室；</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658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F74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1C3A1E3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96A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AF1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拾音话筒</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9DB4">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1.指向性：超心型</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2.频率响应：30Hz—16kHz</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3.灵敏度≥-7dB±1dB</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4.最大声压级≥100dB</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5.信噪比≥60dB</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6.动态范围≥72dB</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7.使用电源：麦克风一线通供电</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8.输出接口：RJ45，数字音频接口</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058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8B3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支</w:t>
            </w:r>
          </w:p>
        </w:tc>
      </w:tr>
      <w:tr w14:paraId="0FD0CD50">
        <w:tblPrEx>
          <w:tblCellMar>
            <w:top w:w="0" w:type="dxa"/>
            <w:left w:w="108" w:type="dxa"/>
            <w:bottom w:w="0" w:type="dxa"/>
            <w:right w:w="108" w:type="dxa"/>
          </w:tblCellMar>
        </w:tblPrEx>
        <w:trPr>
          <w:trHeight w:val="700" w:hRule="atLeast"/>
          <w:jc w:val="center"/>
        </w:trPr>
        <w:tc>
          <w:tcPr>
            <w:tcW w:w="81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6FAD">
            <w:pPr>
              <w:textAlignment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二、物理力学实验室</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74C6">
            <w:pPr>
              <w:jc w:val="center"/>
              <w:rPr>
                <w:rFonts w:ascii="仿宋" w:hAnsi="仿宋" w:eastAsia="仿宋" w:cs="仿宋"/>
                <w:color w:val="auto"/>
                <w:sz w:val="24"/>
                <w:szCs w:val="24"/>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C356">
            <w:pPr>
              <w:jc w:val="center"/>
              <w:rPr>
                <w:rFonts w:ascii="仿宋" w:hAnsi="仿宋" w:eastAsia="仿宋" w:cs="仿宋"/>
                <w:color w:val="auto"/>
                <w:sz w:val="24"/>
                <w:szCs w:val="24"/>
                <w:highlight w:val="none"/>
              </w:rPr>
            </w:pPr>
          </w:p>
        </w:tc>
      </w:tr>
      <w:tr w14:paraId="309E3DC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661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5060">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实验桌（教师演示台）</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52F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整体规格：≥2500mm×700mm×900mm，由3个储物柜，抽屉架组成。</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1、台面：规格≥2400mm×650mm×13.0mm优抗板台面，由专业生产厂家用CNC机械加工而成；</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2、储物柜：柜体均为全钢结构，采用≥1.0mm厚冷轧钢板，表层经酸洗、磷化、环氧树脂粉末喷涂等工艺加工生产，接缝处无焊点，表面平整光滑，耐酸碱，防腐蚀；边缘做倒角设计，可防止磕碰；柜门：主体采用双层冷轧钢板装配成型，内附蜂窝状瓦楞纸防噪填充，柜门内侧装有起缓冲作用防撞贴，门板面板内嵌ABS塑料拉手；活动层板：柜体内设有活动层板，采用≥1.0mm厚冷轧钢板制作，配合至少4个塑料支撑扣调整上下高度，调节孔距≥65mm，承重≥20KG；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抽屉架：主体采用≥1.0mm厚冷轧钢板，表层经酸洗、磷化、环氧树脂粉末喷涂等工艺加工生产，接缝处无焊点，表面平整光滑，耐酸碱，防腐蚀；边缘做倒角设计，可防止磕碰；内置2个内部规格：≥314mm×352mm×126mm抽屉，抽头均为双层结构，内附蜂窝状瓦楞纸防噪填充，采用三节静音导轨，配备阻尼滑道，抽头内嵌塑料拉手；</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4、可调脚：桌体底部配备≥50mm高钢制PP注塑调节地脚，减震防滑。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D09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67F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张</w:t>
            </w:r>
          </w:p>
        </w:tc>
      </w:tr>
      <w:tr w14:paraId="639784A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361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0F0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教师椅</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C9D8">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1.规格：≥550×500×1070mm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2.采用PU皮面，海绵坐垫；</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3.黑色PP加玻纤内外塑框；</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4.一体成型PP固定扶手；</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5.中靠背46-49cm，人体工程学设计；</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6.≥1.0mm厚气杆；</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7.PP加纤五星塑脚；</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8.φ50mm（偏差±5%）黑边尼龙万向轮。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CB0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F0A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张</w:t>
            </w:r>
          </w:p>
        </w:tc>
      </w:tr>
      <w:tr w14:paraId="49EB28C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6E4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864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教师电源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5BEA">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教师电源包含电源模块和电源箱模块；</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一、电源模块：</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规格：≥310mm×350mm；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采用内嵌式≥7英寸全触摸液晶显示（偏差±5%），智能一体化界面，线路采用高速贴片机焊接，可人性化设置开机验证方式和定时关机时间，教师与学生数据传输采用有线通信，教师电源配备漏电保护，电源参数如下：</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1、教师交流：支持通过触摸显示屏操作0-30V交流电压输出，电压分辨率为1V，额定电流≥4A，具备过载自动保护;</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2、教师直流：支持通过触摸显示屏操作0-30V交流电压输出，电压分辨率为0.1V，额定电流≥4A，具备过载自动保护;</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3、学生交流：教师电源支持分组控制学生交流电源，控制范围为0-30V，分辨率为1V;</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4、学生直流：教师电源支持分组控制学生直流电源，控制范围为0-30V，分辨率为0.1V;</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5、锁定功能：教师端支持远程锁定学生电源低压交、直流电压;</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6、直流高压：输出240V或300V的高压，输出电流为100mA,具备过载保护功能;</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7、直流大电流：由微处理器精确控制20秒自动关断，可达到延时零误差;</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8、教师自用两路220V多功能插座输出，额定电流≥5A。</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二、电源箱模块：</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1、规格：≥285mm×240mm×120mm；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2、材质：外壳采用≥1.2mm厚镀锌钢板，表层经酸洗、磷化、环氧树脂粉末喷涂等工艺加工生产，具有耐酸碱，防腐蚀的特点；</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3、内置额定容量不小于112VA变压器，12V散热风扇，采用电路控制板对电源输出高压、低压、大电流等子单元进行智能控制，能够通过接插件与教师电源抽屉连接，完成教师电源与学生电源间的信号传输。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124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48F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B009A1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3CB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5C9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智能吊装控制系统</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8079">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1.电源操作控制系统：可实现远程分组控制学生高低压电源开启与关闭；可输出交流电范围0-30V，分辨率1V设置及实时显示，可输出直流电范围0-30V，分辨率0.1V设置及实时显示，带学生电压锁定功能。</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2.照明系统：可实现远程控制照明系统开启与关闭。可单个或全组进行控制，有全选及反选功能，可实现根据周围环境自动调节亮度（护眼模式）或手动调节亮度，实时显示照明工作状态。</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3.升降控制系统：可实现控制电源升起或下降。可单个或全组进行控制，有全选及反选功能。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4.系统设置：（1）开机方式: ①直接开机; ②密码验证； （2）定时关机：0-240分钟时段设置；（3）教室编号设置；（4）自动分组功能；（5）更改密码功能。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DE6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50B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2BD514D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55C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370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实验桌（学生）</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1AA2">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1、规格：≥1200mm（L）×600mm（W）×780mm（H）；实验桌整体符合人体工程学设计，外表为流线形工业设计，简洁时尚。</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实验室专用陶瓷台面，厚度为≥20mm，采用一体实芯黑色坯体一体烧制釉面，具备无空洞、无杂色、无脱层、釉面与坯体呈一体结构的特点；该台面为实验室专用，需满足无甲醛释放、耐化学腐蚀、耐划痕、耐污染等性能要求；在靠近人体操作边缘处有一条与台面一体成型（非后期二次开槽）的功能性凹槽，其宽度≥11.7mm，深度≥1.25mm，储水量≥15.5ml，能够有效阻水和缓冲，同时能够对实验试管、玻璃棒、小球等易滚动器材进行缓冲阻拦。</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桌体框架：铸铝/塑铝结构；通过桌体上端两侧支架、立柱连接铸铝桌脚，形成“Z”字造型，使桌体具有强承重性及高稳定性；桌体所有接触人体的边棱均无锐利的棱角、毛刺；桌体表面经环氧树脂粉体喷涂处理，耐腐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4、上端两侧支架：铸铝模具成型，规格≥572mm×62mm×93mm选用铝锭，经酸洗磷化前处理，表面经环氧树脂粉喷涂处理，耐腐蚀。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5、桌脚/脚垫：铸铝模具成型，规格≥526mm×60mm×117mm；选用铝锭，经酸洗磷化前处理，表面经环氧树脂粉喷涂处理，耐腐蚀。脚垫高度可调，耐磨、防潮、防滑。</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6、立柱：规格≥620mm×80mm×50mm；铝材挤出成型，经酸洗磷化前处理，表面经环氧树脂粉体喷涂处理，耐腐蚀。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7、主横梁：采用”8”字型铝材挤出成型，规格≥1080mm×19mm×80mm，经酸洗磷化前处理，表面经环氧树脂粉喷涂处理，耐腐蚀。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8、后挡条：铝材挤出成型，规格≥1068mm×80×16mm；连接左右两侧注塑模具成型ABS材质固定卡位，防止台面物品滑落；经酸洗磷化前处理，表面经环氧树脂粉喷涂处理，耐腐蚀。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9、书包斗：规格≥400mm×330mm×162mm，采用增强PP塑料一次注塑成型；书包斗前端预留学生凳挂靠口，上翘工艺设计，两书包斗中间预留放置不同功能学生电源的空间，具有隐蔽性；固定挂架采用镀锌方钢，防腐防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95F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D1F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张</w:t>
            </w:r>
          </w:p>
        </w:tc>
      </w:tr>
      <w:tr w14:paraId="5974AF6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28C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57F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学生凳</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261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1.规格：≥φ300mm×440mm。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2.凳面：采用ABS环保材质一体注塑成型，防摔耐磨。人体工程学设计，中间有内弧成型，深度≥8mm。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3.升降式螺杆：直径≥20mm螺纹碳钢，配合高强度钢制托盘于凳面底部固定，钢板厚度≥2mm。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支持调节凳子高度，升降≥50mm。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4.钢脚架：由壁厚≥1.2mm椭圆形钢管及壁厚≥2mm圆钢管焊接组成，表面经高温烤漆处理。</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5.脚垫：塑胶材质，采用PP一体注塑成型，防水防滑。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7C3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C5F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3310C61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3A4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AB3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升降电源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744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由电源转换及控制模块、升降模块、照明收纳模块、电源操作控制模块组成；</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 一、电源转换及控制模块：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1、尺寸：≥570mm（L）×250mm（W）×570mm（H）；</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2、工艺与材质：采用≥1.2mm钢板冷轧成型，表面经过防腐氧化处理和纯环氧树脂塑粉高温固化处理，具有较强的耐蚀性。对控制系统硬件安装固定，控制系统以32位MCU为核心配合监测控制电路，电源转换部分采用环形独立变压器对市电进行隔离降压，安全可靠。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二、电源升降模块：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1、升降范围：1400mm-1800mm；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2、采用自动升降系统，双限位单元保障设备到位双保险，电机电流实时监测防止电机堵转、及设备拖拉；</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3、旋转线槽单元设计汽车轮毂式，保障旋转过程中不跳线及对线缆的保护，降低维修率；</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4、电机及传动部件安装固定在≥1.2mm冷轧钢板箱体内，经酸洗磷化前处理，表面经环氧树脂粉喷涂处理，耐腐蚀；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5、采用9芯低烟无卤阻燃综合电缆做升降通信电缆，连接学生电源操作盘。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三、电源照明收纳模块：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1、尺寸：≥φ389mm×145mm（H）；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2、工艺材质：壳体采用ABS注塑一体成型；</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3、照明单元采用铝基高亮度白光LED灯，围绕LED灯设计60格栅条，灯光片为透明亚克力材质，镶嵌在圆盘内，功率≥45W。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四、电源操作控制模块：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1、尺寸：≥φ225mm×175mm（H）；集成2个RJ45网口、2个供电USB接口、1个步进升控制按钮、1个步进降控制按钮、一个到位供电触发按键；4路220V多功能插座输出；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2、工艺材质： 壳体采用ABS注塑一体成型；操作区四面采用360°圆弧设计；选用1.8寸显示屏，配合5组按键，实现电流电压的显示设置及交直流输出的切换；控制系统以32位MCU为核心配合监测控制电路；</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3、交流输出：支持由学生或教师操作输出0-30V电源，分辨率为1V，额定电流≥2A，具有过载报警保护功能；</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4、直流输出：支持由学生或教师操作输出0-30V电源，分辨率为0.1V，额定电流≥2A，具有过载报警保护功能；</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5、锁定：电源被教师端锁定时，电源内部锁定，此时只能由教师端控制此电源所有电压设置，学生端无法操作。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9EE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C14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F18F3A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D49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5ED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电源布线耗材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A6F4">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电源主线采用4.0mm²BVR铜软线铺设；选用Ф20或Ф25PVC阻燃线管，每桌采用软铜质电线与主线对接取电；选用合适规格的线管包裹取电连接线。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471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B37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室</w:t>
            </w:r>
          </w:p>
        </w:tc>
      </w:tr>
      <w:tr w14:paraId="67A5DFF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C92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118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安装辅件</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E33E">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采用L型多孔位钢板固定于楼面，根据楼层的高度可自行调节所需适宜高度，辅材为高强度膨胀栓，及螺丝螺母。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AE7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0A6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室</w:t>
            </w:r>
          </w:p>
        </w:tc>
      </w:tr>
      <w:tr w14:paraId="7D4E415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EA8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757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吊装系统安装调试</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11F0">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各项功能测试：</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1、升降系统测试；</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2、强弱电性能测试；</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3、定时，分组测试；</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4、照明测试。</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B90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052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室</w:t>
            </w:r>
          </w:p>
        </w:tc>
      </w:tr>
      <w:tr w14:paraId="3ACBB68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186D">
            <w:pPr>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248B">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交互式书写板</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DF1B">
            <w:pPr>
              <w:numPr>
                <w:ilvl w:val="0"/>
                <w:numId w:val="12"/>
              </w:num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整机采用一体化全金属外壳设计，屏幕采用≥98英寸液晶显示器，超高清LED液晶显示屏，显示比例16:9，分辨率3840×2160。</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2.侧置输入接口具备≥2路HDMI、≥1路RS232、≥1路USB接口，≥1路3.5mm audio in 音频输入接口  ；侧置输出接口具备≥1路3.5mm audio out音频输出、≥1路触控USB输出；侧置输出接口具备≥1路HDMI out接口，支持3840×2160p/60Hz视频输出；</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前置输入接口≥3路USB接口（包含1路Type-C）。</w:t>
            </w:r>
          </w:p>
          <w:p w14:paraId="77C3733B">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3.整机支持双路可插拔模块，一个槽位支持OPS模块插拔，另一个槽位支持AI模块插拔。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4.整机系统采用高性能8核CPU。</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5.整机系统采用 8 核 GPU 处理器。</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6.嵌入式系统版本不低于Android 13，内存≥4GB，存储空间≥32GB。</w:t>
            </w:r>
          </w:p>
          <w:p w14:paraId="21E02759">
            <w:pPr>
              <w:numPr>
                <w:ilvl w:val="0"/>
                <w:numId w:val="13"/>
              </w:num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整机支持全通道支持4K UI界面显示，包括安卓通道、PC通道、HDMI通道、Type-C通道。</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8.采用红外触控技术，支持Windows系统中进行50点或以上触控，支持在Android系统中进行40点或以上触控。9.整机内置独立千兆网络交换机模块，满足整机内PC模块、算力模块单元之间实现数据通信；</w:t>
            </w:r>
          </w:p>
          <w:p w14:paraId="208A8582">
            <w:pPr>
              <w:numPr>
                <w:ilvl w:val="0"/>
                <w:numId w:val="14"/>
              </w:num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整机内置2.2声道扬声器，位于设备上边框，顶置朝前发声，前朝向10W高音扬声器2个，上朝向20W中低音扬声器2个，额定总功率60W。</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11.整机内置非独立外扩展的8阵列麦克风，拾音角度≥180°，可用于对教室环境音频进行采集，拾音距离≥12m。</w:t>
            </w:r>
          </w:p>
          <w:p w14:paraId="0DB4BE80">
            <w:pPr>
              <w:numPr>
                <w:ilvl w:val="0"/>
                <w:numId w:val="14"/>
              </w:num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支持标准、听力、观影和 AI 感知音效模式，AI 感知音效模式可通过内置麦克风采集教室物理环境声音，自动生成符合当前教室物理环境的频段、音量、音效。13.整机内置独立音频CPU处理器，支持麦克风3A算法（自动增益控制（AGC）、自动抑制噪声（ANC）、自动回声消除（AEC）），提升麦克风拾音效果；</w:t>
            </w:r>
          </w:p>
          <w:p w14:paraId="2D3C4D02">
            <w:pPr>
              <w:numPr>
                <w:ilvl w:val="0"/>
                <w:numId w:val="15"/>
              </w:num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整机内置专属的4核音频CPU处理器，最多支持8路麦克风数据处理，采样率支持192K，同时不占用整机系统的CPU能力。</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15.整机支持色彩空间可选，包含标准模式和sRGB模式，在sRGB模式下可做到高色准△E≤1.0</w:t>
            </w:r>
          </w:p>
          <w:p w14:paraId="796FB36A">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16.处理器：Intel Core i5 10代及以上，内存：≥8G DDR4 笔记本内存或以上配置，硬盘≥256G SSD 固态硬盘，采用抽拉内置式模块化电脑，抽拉内置式，PC模块可插入整机，可实现无单独接线的插拔。</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6B4E">
            <w:pPr>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A3BA">
            <w:pPr>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套</w:t>
            </w:r>
          </w:p>
        </w:tc>
      </w:tr>
      <w:tr w14:paraId="107BB54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FF6D">
            <w:pPr>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C3F0">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壁挂新风机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42A0">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一级能效，变频，220V  50Hz，功率3.0</w:t>
            </w:r>
          </w:p>
          <w:p w14:paraId="5DE3F3F5">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配件：延长管15米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0A52">
            <w:pPr>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9879">
            <w:pPr>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台</w:t>
            </w:r>
          </w:p>
        </w:tc>
      </w:tr>
      <w:tr w14:paraId="5DB3BB2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D28C">
            <w:pPr>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9C5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技术服务</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55BF">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教室顶面装饰，强弱电及灯具改造、原教室设备搬迁</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E1BD">
            <w:pPr>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6638">
            <w:pPr>
              <w:jc w:val="cente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间</w:t>
            </w:r>
          </w:p>
        </w:tc>
      </w:tr>
      <w:tr w14:paraId="504F57AF">
        <w:tblPrEx>
          <w:tblCellMar>
            <w:top w:w="0" w:type="dxa"/>
            <w:left w:w="108" w:type="dxa"/>
            <w:bottom w:w="0" w:type="dxa"/>
            <w:right w:w="108" w:type="dxa"/>
          </w:tblCellMar>
        </w:tblPrEx>
        <w:trPr>
          <w:trHeight w:val="700" w:hRule="atLeast"/>
          <w:jc w:val="center"/>
        </w:trPr>
        <w:tc>
          <w:tcPr>
            <w:tcW w:w="8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3AB96">
            <w:pPr>
              <w:textAlignment w:val="center"/>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三、高中新课标物理实验仪器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624E">
            <w:pPr>
              <w:jc w:val="center"/>
              <w:rPr>
                <w:rFonts w:ascii="仿宋" w:hAnsi="仿宋" w:eastAsia="仿宋" w:cs="仿宋"/>
                <w:color w:val="auto"/>
                <w:sz w:val="24"/>
                <w:szCs w:val="24"/>
                <w:highlight w:val="none"/>
                <w:lang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1B1D">
            <w:pPr>
              <w:jc w:val="center"/>
              <w:rPr>
                <w:rFonts w:ascii="仿宋" w:hAnsi="仿宋" w:eastAsia="仿宋" w:cs="仿宋"/>
                <w:color w:val="auto"/>
                <w:sz w:val="24"/>
                <w:szCs w:val="24"/>
                <w:highlight w:val="none"/>
                <w:lang w:eastAsia="zh-CN"/>
              </w:rPr>
            </w:pPr>
          </w:p>
        </w:tc>
      </w:tr>
      <w:tr w14:paraId="54FA45E3">
        <w:tblPrEx>
          <w:tblCellMar>
            <w:top w:w="0" w:type="dxa"/>
            <w:left w:w="108" w:type="dxa"/>
            <w:bottom w:w="0" w:type="dxa"/>
            <w:right w:w="108" w:type="dxa"/>
          </w:tblCellMar>
        </w:tblPrEx>
        <w:trPr>
          <w:trHeight w:val="347"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846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FB3A">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数据采集器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7A7D">
            <w:pPr>
              <w:numPr>
                <w:ilvl w:val="0"/>
                <w:numId w:val="16"/>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外观与结构：半透明外壳设计，面板上标有名称、产品型号等标记，要求字迹清晰，标记醒目。外壳表面平整、无划痕、无开裂、无溶迹、缩迹等，无气泡、烧粉和夹生现象，边沿无变形破边、凹凸不平等缺陷；壳体接插平整、牢固。</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2、并行采集功能：支持多路数据并行采集功能，数据采集器可以级联，可以实现12 套数据采集器同时连接电脑使用。</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3、有线/无线通讯方式转换功能：数据采集器通过更换有线接口或无线接口实现有线通讯和无线通讯两种数据通讯方式，数据采集器通过 SATA 高速数据传输接口与有线接口或无线接口连接。当数据采集器接插有线接口时，可与传感器通过传感器连线进行有线通讯;当数据采集器接插无线接口时，传感器可与无线发射模块无线连接，打开无线发射的电源开关，实现与数据采集器的无线通讯，单只数据采集器连接无线接口时，可同时无线传输4只传感器采集的数据。</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4、高速数据采集功能：数据采集器在有线数据通讯方式下各路通道的数据采集频率可达 20kHz。可同时连接10个声波/声级传感器测量声音的波形。</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5、数据同步并行采集功能：数据采集器在有线数据通讯方式下四路通道的可以同时对信号进行数据采集，并且四路通道可以并行数据采集，相互不受影响。</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6、数字通讯功能：所有传感器与数据采集器进行通讯均采用数字信号传输。</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7、供电功能：电源（DC）直接由计USB 接口供电。</w:t>
            </w:r>
          </w:p>
          <w:p w14:paraId="79BD6865">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▲提供符合技术参数1-7条要求的检测报告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04E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A3F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35D0A04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9F7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697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数据显示模块</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A24F">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1、数据显示模块由内置鲤电池供电，自带≥1.7寸彩色显示屏，可以连接传感器并显示传感器采集到的数据。</w:t>
            </w:r>
          </w:p>
          <w:p w14:paraId="5EF7CE8A">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2、数据显示模块可以通过无线的方式将数据传送至平板或者手机进行实时数据显示或通过表格、图线的方式进行数据分析及存储，并且可以通过有线的方式将内部存储的数据上传至PC端；</w:t>
            </w:r>
          </w:p>
          <w:p w14:paraId="177D9C45">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3、数据显示模块可以通过自带显示屏显示，蓝牙ID和ID对应的二维码；</w:t>
            </w:r>
          </w:p>
          <w:p w14:paraId="36E7DF75">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4、接入任一可识别传感器，屏幕会显示该传感器的实时数据和单位，并且显示数据应有变化；</w:t>
            </w:r>
          </w:p>
          <w:p w14:paraId="74C04239">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5、接入传感器，将数据显示模块通过配套的USB数据线接入计算机，数据显示模块应显示“已连接计算机”字样；</w:t>
            </w:r>
          </w:p>
          <w:p w14:paraId="60A38AFD">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6、打开数据导入器专用软件，应显示存储设备为最后一次接入的传感器数据存储信息：</w:t>
            </w:r>
          </w:p>
          <w:p w14:paraId="3C7228C3">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7、点击“数据导出”按钮，存储在传感器数据显示模块中的测试数据可导入到上位机软件中，查看导入的数据应为刚才接入传感器测试的数据。</w:t>
            </w:r>
          </w:p>
          <w:p w14:paraId="613C0504">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▲提供符合技术参数4-7条要求的检测报告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D16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D69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6ABDE58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764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E9B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传感器转接模块</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D8C1">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两端分别是BT接头与BT接口转换器，用于特种传感器与无线发射模块或数据显示模块的转接；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DA7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F24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2927547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C7C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C3B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无线接口</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9980">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采用无线方式接入四种传感器并支持四通道并行采集，全数字通道，与数据采集器接插使用。在此种工作状态下，传感器应配合无线发射模块使用，为方便区分、使用，设备外壳丝印名称、型号。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E1A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8E5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027CCE6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67A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B61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无线发射模块</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DA36">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通过与传感器组合使之具备与采集器的无线通讯功能，BT自锁接头，支持热插拔连接，可充电电池供电；为方便区分、使用，设备外壳丝印名称、型号。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85C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5F2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62A23F5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B3D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595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力传感器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272A">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1、测量范围：50N～50N，分度≤0.01N；</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2、可用于测拉力（显示正值）和压力（显示负值）；</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3、支持有线通讯、无线通讯和屏幕数据显示三种工作方式；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4、采用BT通讯接口，具有方向性和自锁功能，支持热插拔；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5、可应用于Windows、Android、iOS平台；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6、支持硬件调零和软件调零；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7、传感器外壳预留开孔，可用于固定传感器。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5AC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A6C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2F5D6E8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F8C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20D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微力传感器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E380">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1、测量范围：-2N～2N，分度≤0.001N；</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2、可用于测拉力（显示正值）和压力（显示负值）；</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3、支持有线通讯、无线通讯和屏幕数据显示三种工作方式；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4、采用BT通讯接口，具有方向性和自锁功能，支持热插拔；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5、可应用于Windows、Android、iOS平台；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6、支持硬件调零和软件调零；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7、传感器外壳带螺丝孔，可用于固定传感器。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1ED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DA6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758B2B3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735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33CE">
            <w:pPr>
              <w:jc w:val="both"/>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温度传感器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D004">
            <w:pPr>
              <w:numPr>
                <w:ilvl w:val="0"/>
                <w:numId w:val="17"/>
              </w:num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测量范围：-40℃～190℃，分度：0.1℃；</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2、温度传感器采用温度测量端(探针)、传感器电路分体式结构，用于测量待测物温度；</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3、数据传输采用具有方向性和自锁功能(可以防止传感器脱落保证数据传输稳定)的BT接口方式；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4、支持有线、无线连接至电脑或者平板电脑等设备进行数据显示，支持独立显示数据。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C15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496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7213BAF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0F4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123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声波/声级传感器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C845">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1、声波频率测量范围：20Hz～20kHz，声级测量范围：20dB～130dB，分度≤0.1dB；</w:t>
            </w:r>
          </w:p>
          <w:p w14:paraId="7696DAF2">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2、通过转换按钮切换测量声音的波形和强度，研究声音的频率周期、振幅等特征；</w:t>
            </w:r>
          </w:p>
          <w:p w14:paraId="2529442F">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3、支持有线通讯、无线通讯和屏幕数据显示三种工作方式；</w:t>
            </w:r>
          </w:p>
          <w:p w14:paraId="4921532C">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4、采用BT通讯接口，具有方向性和自锁功能，支持热插拔；</w:t>
            </w:r>
          </w:p>
          <w:p w14:paraId="063A84B4">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5、可应用于Windows、Android、iOS平台；</w:t>
            </w:r>
          </w:p>
          <w:p w14:paraId="1EAF844B">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6、支持硬件调零和软件调零；</w:t>
            </w:r>
          </w:p>
          <w:p w14:paraId="41180621">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7、传感器外壳带螺丝孔，可用于固定传感器。</w:t>
            </w:r>
          </w:p>
          <w:p w14:paraId="46DD64BF">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▲提供符合技术参数2-7条要求的检测报告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AA5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007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1C1FD1E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326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D78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光电门传感器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6F7C">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1、分度≤2μS；</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2、用于测量挡光片（U型、I型）的挡光时间；</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3、支持有线通讯、无线通讯和屏幕数据显示三种工作方式；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4、采用BT通讯接口，具有方向性和自锁功能，支持热插拔；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5、可应用于Windows、Android、iOS平台；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6、支持硬件调零和软件调零；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7、传感器外壳带螺丝孔，可用于固定传感器。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E71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180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36210E1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D56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DAF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分体式位移传感器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95EA">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1、测量范围：0cm ～190cm，分度≤1mm；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2、由发射器与接收器构成，发射器由可充电锂电池供电，可与运动小车、弹簧振子等组合。接收器与采集器连接，接收发射器发出的信号，并显示与发射器前沿之间的距离；</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3、支持有线通讯、无线通讯和屏幕数据显示三种工作方式；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4、采用 BT通讯接口，具有方向性和自锁功能，支持热插拔；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5、可应用于 Windows、Android、i0S 平台；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6、支持硬件调零和软件调零；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7、传感器外壳带螺丝孔，可用于固定传感器。</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▲提供符合技术参数2-7条要求的检测报告。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7DD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73B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5ECE45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7D5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65D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一体式位移传感器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2547">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1、测量范围：0.15m～6m，分度≤1mm；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2、自带可翻转式超声波接收和发射装置；</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3、支持有线通讯、无线通讯和屏幕数据显示三种工作方式；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4、采用BT通讯接口，具有方向性和自锁功能，支持热插拔；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5、可应用于Windows、Android、iOS平台；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6、支持硬件调零和软件调零；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7、传感器外壳带螺丝孔，可用于固定传感器。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912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DA9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D6AC14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205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880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小量程位移传感器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EB4F">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1、测量范围：0  ~50mm，分度：0.1mm；</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2、测量小量程位移；</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3、支持有线通讯、无线通讯和屏幕数据显示三种工作方式；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4、采用BT通讯接口，具有方向性和自锁功能，支持热插拔；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5、可应用于Windows、Android、iOS平台；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6、支持硬件调零和软件调零；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7、传感器外壳带螺丝孔，可用于固定传感器。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31E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8B2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05E1D7C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EC3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363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微电流传感器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1299">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1、测量范围：-5μA～5μA，分度≤0.01μA；</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2、用于测量电路中微小电流；</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3、支持有线通讯、无线通讯和屏幕数据显示三种工作方式；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4、采用BT通讯接口，具有方向性和自锁功能，支持热插拔；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5、可应用于Windows、Android、iOS平台；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6、支持硬件调零和软件调零；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7、传感器外壳带螺丝孔，可用于固定传感器。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991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F9F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6CBC0DE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43E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7F8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多量程电流传感器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7C21">
            <w:pP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1、测量范围：-3A~+3A，分度≤0.01A；测量范围：-300mA~+300mA，分度≤0.1mA；测量范围：-30mA~+30mA，分度≤0.01mA；</w:t>
            </w:r>
          </w:p>
          <w:p w14:paraId="48A2E7C9">
            <w:pP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2、可通过传感器自带的硬件调零按钮实现数据调零功能；</w:t>
            </w:r>
          </w:p>
          <w:p w14:paraId="61669C56">
            <w:pP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3、多量程电流传感器可通过传感器上按钮对量程进行切换，用于测量电路中电流大小；示数为正时表示电流由传感器红色导线流入，黑色导线流出，示数为负值时则表示电流方向由黑色导线流入。</w:t>
            </w:r>
          </w:p>
          <w:p w14:paraId="3397FA5C">
            <w:pP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4、数据传输采用具有方向性和自锁功能(可以防止传感器脱落保证数据传输稳定)的BT接口方式；</w:t>
            </w:r>
          </w:p>
          <w:p w14:paraId="6AF2947D">
            <w:pP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5、支持有线、无线连接至电脑或者平板电脑等设备进行数据显示;支持独立显示数据。</w:t>
            </w:r>
          </w:p>
          <w:p w14:paraId="05E28EB9">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▲提供含有产品图片的检测报告佐证2-5项内容要求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743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18D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6944EEC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B71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15D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多量程电压传感器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A0C8">
            <w:pP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1、测量范围：-20V～20V；分度≤0.01V ，测量范围：-2V～2V；分度≤0.001V，测量范围：-0.2V～0.2V；分度≤0.1mV；</w:t>
            </w:r>
          </w:p>
          <w:p w14:paraId="2219049F">
            <w:pP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2、可通过传感器自带的硬件调零按钮实现数据调零功能；</w:t>
            </w:r>
          </w:p>
          <w:p w14:paraId="025DB641">
            <w:pP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3、多量程电压传感器可通过传感器上按钮对量程进行切换，用于测量电路中电压大小。示数为正时表示红色导线接入电源正极，示数为负值时表示黑色导线接入正极。</w:t>
            </w:r>
          </w:p>
          <w:p w14:paraId="1156F3DE">
            <w:pP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4、数据传输采用具有方向性和自锁功能(可以防止传感器脱落保证数据传输稳定)的BT接口方式。</w:t>
            </w:r>
          </w:p>
          <w:p w14:paraId="09ED74E0">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▲提供含有产品图片的检测报告佐证2-4项内容要求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36E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471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641B799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17A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EEF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磁感应强度传感器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6513">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1、测量范围：-14mT～14 mT，分度≤0.01 mT；</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2、传感器探头长度不小于10cm，标有刻度方便测量螺线管不同位置磁感应强度；</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3、支持有线通讯、无线通讯和屏幕数据显示三种工作方式；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4、采用BT通讯接口，具有方向性和自锁功能，支持热插拔；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5、可应用于Windows、Android、iOS平台；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6、支持硬件调零和软件调零；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7、传感器外壳带螺丝孔，可用于固定传感器。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77F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584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66A6EEA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B13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418D">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三维磁感应强度传感器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DBEA">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1、测量范围：-50mT~+50 mT，分度≤0.01 mT；</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2、测量磁场中的磁感应强度，可同时监测X、Y、Z三个方向上磁感应强度的分量；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3、支持有线通讯、无线通讯和屏幕数据显示三种工作方式；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4、采用BT通讯接口，具有方向性和自锁功能，支持热插拔；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5、可应用于Windows、Android、iOS平台；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6、支持硬件调零和软件调零；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7、传感器外壳带螺丝孔，可用于固定传感器。</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▲提供符合技术参数2-7条要求的检测报告。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479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764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0165F43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0AD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440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旋转运动传感器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1120">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1、测量范围：30转/秒,分度≤0.2°；</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2、支持有线通讯、无线通讯和屏幕数据显示三种工作方式；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3、采用BT通讯接口，具有方向性和自锁功能，支持热插拔；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4、可应用于Windows、Android、iOS平台；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5、支持硬件调零和软件调零；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6、传感器外壳带螺丝孔，可用于固定传感器。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87D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3D0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0CC0E0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6E3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9BB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加速度传感器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29DB">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1、测量范围-45m/s2～50m/s2；</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2、测量X、Y、Z三个正交方向的加速度值，</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3、支持有线通讯、无线通讯和屏幕数据显示三种工作方式；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4、采用BT通讯接口，具有方向性和自锁功能，支持热插拔；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5、可应用于Windows、AndroidiOS平台；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6、支持硬件调零和软件调零；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7、传感器外壳带螺丝孔，可用于固定传感器。</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▲提供符合技术参数2-7条要求的检测报告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0E2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87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3EA17A8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CF6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7CCA">
            <w:pPr>
              <w:jc w:val="both"/>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压强传感器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4A1F">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1、测量范围：0 kPa～700 kPa；</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2、分度≤0.1 kPa；</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3、自带传感器固定卡槽和螺口，便于和配套实验器材固定；</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4、模块化设计，可与有线接口、无线发射模块、数据显示模块连接，实现有线通讯、无线通讯、独立彩屏数据显示三种工作模式；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5、采用BT接口，自带锁扣，有效防止脱落。同时具有单向连接属性，避免因连接失误导致的数据传输失败。支持热插拔，使用寿命：不少于10000次插拔；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6、支持系统：windows、Android、iOS系统。</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配件：20ml注射器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67F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DBA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0A59EA3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6F7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50F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相对压强传感器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82CC">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1、测量范围：-20kPa～20kPa，分度≤0.01 kPa；</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2、可用于测量气体的相对压；</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3、支持有线通讯、无线通讯和屏幕数据显示三种工作方式；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4、采用BT通讯接口，具有方向性和自锁功能，支持热插拔；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5、可应用于Windows、AndroidiOS平台；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6、支持硬件调零和软件调零；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7、传感器外壳带螺丝孔，可用于固定传感器。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D58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E75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78323EB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624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59C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多用力学轨道系统</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1CDB">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含1.2m黑色强化铝合金轨道1条、轨道小车2辆、弹簧2条、固定柱2只、50克配重片4片、5克配重块4只、沙桶1只、挡光片五片（20×2、40、60、80）、摩擦块1块、磁碰片2片、弹性碰圈2只、滑轮1套、磁碰座架1套、小车收纳器1套、轨道倾角调节器1套、T型支撑架1只、L型挂架2只、铝合金I型支架4只、塑料I型支架2只、策动源1套、紧固件一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BF6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0B7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537199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FD7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CB60">
            <w:pPr>
              <w:jc w:val="both"/>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光电计时测距实验器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1581">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含1.2m专用铝合金轨道1条、光电计时测距装置2台、无线接收器2套，USBHub一套、弹簧2条、固定柱2只、5克配重块4只、50克配重块2块、100克配重块2块、沙桶1只、滑轮1套、磁碰座架1只、轨道倾角调节器1套、T型支撑架1只、L型挂架1只、I型支架1只、策动源1套、紧固件一宗、充电器1套。无线接收器直接与计算机USB口通讯，通过无线通讯的方式接收光电计时测距装置的信号，并在专用软件上显示出测量数据或图线。</w:t>
            </w:r>
          </w:p>
          <w:p w14:paraId="54ADC2C0">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1、按下小车电源开关打开电源,将无线接收器连接至计算机并与小车配对。</w:t>
            </w:r>
          </w:p>
          <w:p w14:paraId="58A04768">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此时无线接收器与小车上的配对指示灯应常亮。校准软件应该识别为位移传感器。将小车放置在专用轨道上，左右推动小车，软件显示的位移数据应随之变化；</w:t>
            </w:r>
          </w:p>
          <w:p w14:paraId="766BFAB5">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2、将小车后端处于数码标尺0cm刻度线保持小车不动，轻按调零按键，软件显示数值应变为0.00cm；</w:t>
            </w:r>
          </w:p>
          <w:p w14:paraId="2279E4B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3、数据调零后,用手拖动小车前进，使小车在轨道上运动的距离，软件显示的数据应在100±0.5cm范围内；</w:t>
            </w:r>
          </w:p>
          <w:p w14:paraId="13AD79C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4、将两辆小车放置在轨道上，使用两辆小车在轨道上车头相对碰撞，两辆小车应该能够弹开：车尾相对碰报撞两辆小车应该能够粘合在一起；</w:t>
            </w:r>
          </w:p>
          <w:p w14:paraId="75517D6B">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5、将两辆小车同向放置在轨道上,打开专用软件中的“弹性碰拍与非弹性碰撞”实验条条目，点击“开始实验”按钮，用手同时来回拖动两辆小车，软件中应同步显示两条速度曲线。</w:t>
            </w:r>
          </w:p>
          <w:p w14:paraId="6322097B">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▲提供符合技术参数1-5条要求的检测报告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69E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630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C326DE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409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3DA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二力平衡实验器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593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由匀速运动升降装置、I型支架、十字转接器、横杆等组成，与力传感器配合使用，测量物体运动过程中力的变化情况，可扩展为同时测量物体运动速度功能，供电电源为两节5号电池；</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10A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1C6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681187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941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EC82">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作用力与反作用力实验器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17DC">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由底座、滑台、两个固定柱构成，将两个力传感器分别固定在固定柱上，通过移动其中一个固定柱上力传感器来观看两个力传感器值的大小。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为保证多种环境下均能正常工作需提供经低温存储、高温存储、恒温恒湿试验后能正常启动并工作的检测报告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6ED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F7C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BABE3E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B3D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7A4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浮力定律实验器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0BA2">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由无级调节升降台、塑料烧杯、专用物块、水平杆、十字转接器及塑帽螺栓构成，专用物块由5只体积为15cm3的小物块用细杆连接而成。配合铁架台及力传感器使用，验证浮力定律</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057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7E2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C7382D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27C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297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液体内部压强实验器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54B4">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1.由压强测量组件（包括压强探头、旋转器、标尺）、标尺固定夹、控制器、盛液桶、USB Type-C 数据线构成；</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2.压强量程：-20kPa~+20kPa；分度值：0.01kPa；角度旋转范围：0°~180°；分度值：1°；</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3.压强传感器自带防水功能，可直接将压强传感器放入水中；</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4.无需数据采集器，传感器可与专用 App 软件或计算机软件配套使用，实验数据可无线传输到移动端并能有线传</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输到计算机软件；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5.自带控制器，可自动 0°~180°内调节压强传感器探头，用于测量不同方向压强，研究液体内部压强与方向的</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关系；</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6.自带标尺，可用于观测进入液体深度，完成液体内部压强与深度关系的实验；</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7.自带数据显示功能，可同时显示压强大小和旋转角度两个量；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8.支持压强硬件调零和软件调零；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9.可自动生成电子二维码，用于数据无线传输；</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10.自带可充电锂电池，无需外接电源；</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▲提供符合技术参数1-10条要求的检测报告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003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48D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9287CF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A52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0DD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流体压强实验器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1532">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由气泵、套管、外接联通软管和支架组成，与同时多个压强传感器配合使用，实验可清晰显示气流的不同流速对应的气体压强差异，可进行用于伯努利定律的演示和实验探究。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A61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EDA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34C3F4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7DA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7E5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热辐射的吸收实验器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22D8">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由三种相同材料不同颜色物块及支架组成，与三只温度传感器配合使用，观察在同种照射条件下，不同颜色的吸热本领。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3E2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B45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4AC5F4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E60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D0A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热辐射实验器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97CA">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由底座、专用实验板组成，与微电流传感器配合使用。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C00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059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97D7D3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6B3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8CA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热传导实验器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70F9">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由导热基座、三种不同材料的金属棒、传感器支架、固定螺栓组成，与三只温度传感器、酒精灯配合使用，可完成热的传导方向与不同金属的传热能力实验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976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1A9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BBF0BC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603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267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电磁铁实验器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AF3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底座、支架、铁芯、多匝同轴线圈、扭子开关及附件构成，外壳尺寸：300mm*90mm*90mm(±5mm);与磁传感器配合使用，电池盒为线圈提供1.5V和3.0V的供电电压，分别接入不同匝数的线圈，可在通用软件中观察磁传感器所测数据的变化；完成“研究影响电磁铁磁性强弱的因素”实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71F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AE5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FCADAB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C4E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118D">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电磁波传播实验器发射模块</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148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体化设计(自带≧2寸显示屏幕，可实时显示输出波形)，发射模块内置电磁波发生器，可发射由频率为200Hz的载波与信号波调制而成的电磁波，外接天线，可调制并发射正弦波、方波和三角波，信号波的频率在1~8Hz范围内可调。由2节5号电池供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614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5AB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5FF1E2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43A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FCBE">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电磁波传播实验器接收模块</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E62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接收模块可接插电压传感器，通过电脑观察接收到的特定电磁波波形。由2节5号电池供电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B8C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FFE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DA5EDE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6D7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EC00">
            <w:pPr>
              <w:jc w:val="both"/>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马德堡实验器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AB11">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由马德堡实验装置（包含透明上下壳、微型压强传感器、吊环、阀门）、数据线、抽气装置构成，用于验证大气压强存在。可通过显示屏实时显示压强数据，也可采用无线的方式将数据传输到移动端。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DDD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637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BDA592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1DB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74F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力的分解合成实验器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57BF">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由带刻度精密力盘、挂臂、固定柱、滚轴、标准方型物块组成，与两只力传感器配合使用，完成力的分解合成实验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092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E3C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6B63F1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F84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61F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智能力盘</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B64B">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两只一体式力/倾角传感器（测量范围：-20N～20N/-180°～180°；分度≤0.01N/0.1°）、精密力盘、挂臂、固定装置组成，与铁架台、数据采集器配合使用。可同时测量两个方向的分力大小与角度值，完成动态条件下力的分解实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300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FAC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F78AD6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AED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FB46">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斜面上力的分解实验器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EC9F">
            <w:pPr>
              <w:jc w:val="both"/>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由座架、L型旋臂和内置式力传感器、弧型角度标尺、环型物块构成。不需另配传感器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1C1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2A2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06232B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728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0C9D">
            <w:pPr>
              <w:jc w:val="both"/>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机械能守恒实验器Ⅰ</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33C0">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含主板、副板、圆柱型摆、固定臂、测平器、螺栓等。能够完成动能势能转化实验（定性定量）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E5E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ED6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20107AC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B30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4F0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机械能守恒实验器Ⅱ</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7C26">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由底座、刻度板、释放装置、收纳装置、挡光片、固定装置、光电门传感器、传感器电路、摆锤、摆杆、固定螺栓和USB数据线、配套专用软件组成。</w:t>
            </w:r>
          </w:p>
          <w:p w14:paraId="550D52DE">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1、固定装置上的USB接口与计算机通过USB数据线建立通讯；</w:t>
            </w:r>
          </w:p>
          <w:p w14:paraId="23943DE8">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2、释放装置可固定及释放摆锤；</w:t>
            </w:r>
          </w:p>
          <w:p w14:paraId="52081C3D">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3、摆锤下落时不与刻度板发生触，落下后可以被收纳装置接收住；</w:t>
            </w:r>
          </w:p>
          <w:p w14:paraId="24BC7A57">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4、软件表格中显示挡光片高度依次为0.15、0.12、0.09、0.06、0.03、0（单位：米）；</w:t>
            </w:r>
          </w:p>
          <w:p w14:paraId="0DF6FFB1">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5、点击“开始实验”，释放摆锤后，软件可记录下摆锤通过不同高度挡光片时的速度：点击“数据计算”，可计算出摆锤位于不同挡光片位置时的动能、势能与机械能并绘制相对应的曲线变化。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C55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871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5D1CE4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E27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EAE9">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法拉第电磁感应实验器Ⅰ</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2BF4">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1.由铝合金固定座、磁铁固定架、挡光杆、铝合金支架、线框、缓冲垫和附件构成；</w:t>
            </w:r>
          </w:p>
          <w:p w14:paraId="3D9B1A23">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2.底座尺寸:302mm×130mm×300mm；</w:t>
            </w:r>
          </w:p>
          <w:p w14:paraId="5A411102">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3.挡光杆宽度:6mm±0.2mm；</w:t>
            </w:r>
          </w:p>
          <w:p w14:paraId="0CD27B67">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4.挡光杆插入到线框底部；</w:t>
            </w:r>
          </w:p>
          <w:p w14:paraId="17EEEB64">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5.线框卡在两条铝合金支架中间竖槽内；</w:t>
            </w:r>
          </w:p>
          <w:p w14:paraId="6BCBD278">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6.两条铝合金支架垂直于铝合金固定座且与缓冲垫处于同一竖直平面内固定，并能够用蝶形螺栓上紧；</w:t>
            </w:r>
          </w:p>
          <w:p w14:paraId="4CA69C6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7.内置电压传感器与外置光电门传感器能正常工作；</w:t>
            </w:r>
          </w:p>
          <w:p w14:paraId="2922AF9D">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8.能完成法拉第电磁感应定律实验；</w:t>
            </w:r>
          </w:p>
          <w:p w14:paraId="0623AEAC">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9.外置光电门传感器测量线框下落至光电门处的挡光时间,通过软件计算得出线框下落至光电门处的瞬时速度；</w:t>
            </w:r>
          </w:p>
          <w:p w14:paraId="22500591">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10.内置电压传感器测量线框下落至光电门处的感应电动势。</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▲提供符合技术参数1-10条要求的检测报告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8FE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08A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248D9A1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2DD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FBCA">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法拉第电磁感应实验器Ⅱ</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F4B1">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1.由底座和原副线圈构成；</w:t>
            </w:r>
          </w:p>
          <w:p w14:paraId="515AF581">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2.底座尺寸:302mm×91mm×90mm（偏差不超过±5mm）；</w:t>
            </w:r>
          </w:p>
          <w:p w14:paraId="0C4FD92C">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3.内置电压传感器及外置磁感应强度传感器能正常工作；</w:t>
            </w:r>
          </w:p>
          <w:p w14:paraId="5D9CCF19">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4.配合智能学生电源能够完成法拉第电磁感应定律实验；</w:t>
            </w:r>
          </w:p>
          <w:p w14:paraId="729F2AB6">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5.外置磁感应强度传感器可测量当原线圈电流变化时，内部磁感应强度大小；</w:t>
            </w:r>
          </w:p>
          <w:p w14:paraId="31FDA96F">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6.内置电压传感器可测量当原线圈磁场变化时,副线圈内感应电动势大小。</w:t>
            </w:r>
          </w:p>
          <w:p w14:paraId="20CF3CA1">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▲提供符合技术参数1-6条要求的检测报告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14D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434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30948B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A2D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C1F7">
            <w:pPr>
              <w:jc w:val="both"/>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智能电源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0205">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自带彩色显示屏，显示输出电压的变化图像，配套专用导线，外壳尺寸：200mm×143.5mm×88.5mm（偏差不超过±5mm）</w:t>
            </w:r>
          </w:p>
          <w:p w14:paraId="5FD4202F">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分为手动模式和智能模式输出。</w:t>
            </w:r>
          </w:p>
          <w:p w14:paraId="49649365">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1、手动模式输出：（1）可实现直流、交流转换输出；（2）直流输出:0V~18V，连续可调</w:t>
            </w:r>
          </w:p>
          <w:p w14:paraId="6FE91FED">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（3）交流输出:0V~5V，50Hz；（4）交直流电压独立幅值调节。</w:t>
            </w:r>
          </w:p>
          <w:p w14:paraId="538A7A21">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智能模式输出：（1）可分别调节单周期的梯形波、单周期三角波及多周期三角波三种模式输出；（2）波形上升与下降斜率分别可调；（3）与法拉第电磁感应定律实验器Ⅱ配合使用完成究磁通量的变化率与感生电动势的关系实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34F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266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AF445C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2FC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77C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平抛运动实验器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9FC4">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由座架、支架、平抛轨道、光电门支架、内置式触碰传感器、小球、标尺游标、磁性回收器等组成。与光电门传感器配合，可测量平抛运动小球的初速度、运行时间与水平距离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DFD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3B0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7EEBF1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5AA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CC8A">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无线向心力实验器（电机版）</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5318">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1、由主梁架总成（包含旋臂、托架、电机（含皮带轮、传动带）、挡光杆、电机控制器）、底座、砝码、电 源适配器、无线接收器构成； </w:t>
            </w:r>
          </w:p>
          <w:p w14:paraId="6C1A94F7">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2、旋臂内置光电门传感器、力传感器及无线发射电路，可自由旋转；</w:t>
            </w:r>
          </w:p>
          <w:p w14:paraId="085AC477">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3、无线接收器与计算机USB接口通讯，无需另配数据采集器与传感器测量系统，可支持蓝牙无线数据传输，内 </w:t>
            </w:r>
          </w:p>
          <w:p w14:paraId="7BE4E170">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置光电门传感器测量系统可以精确记录每次挡光时间，并通过软件计算出旋臂的角速度；力传感器同步测量向心力的大小； </w:t>
            </w:r>
          </w:p>
          <w:p w14:paraId="3A04542E">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4、可以选择手动与电机驱动两种旋转模式；电机转动速 度（0~30rad/s）及转动方向可调。</w:t>
            </w:r>
          </w:p>
          <w:p w14:paraId="601816F4">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5、可通过控制变量法，描绘向心力与质量、角速度、运 动半径的关系曲线，探究向心力与质量、角速度、运动半径的关系。</w:t>
            </w:r>
          </w:p>
          <w:p w14:paraId="0E5ECD6A">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▲提供符合技术参数1-4条要求的检测报告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811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1E4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43C477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FBF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6E6C">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魔板（电磁定位系统）</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41D4">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1、由支架、电磁定位板、纵横向保护槽、信号源、三速弹射器、附件组成，可完成平抛运动、斜抛运动相关实验；</w:t>
            </w:r>
          </w:p>
          <w:p w14:paraId="36E923C3">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2、定位范围：不小于578mm×330mm；最高采样频率：200Hz/s；定位精度：≤1mm；信号源直径：≤3cm；</w:t>
            </w:r>
          </w:p>
          <w:p w14:paraId="534514FF">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3、通过USB直接与计算机实现通讯，配套专用软件进行数据分析；</w:t>
            </w:r>
          </w:p>
          <w:p w14:paraId="2856B62A">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软件采样频率可设置为50Hz、100Hz、150Hz、200Hz，可将信号源在电磁感应位置记录板上的移动数据记录，并进行运动轨迹曲线绘制。可选择一段运动轨迹区域进行分析，通过“数据计算”计算该过程的实验数据，通过“清屏”功能，能够清除表格中的数据及坐标系中的实验数据曲线；</w:t>
            </w:r>
          </w:p>
          <w:p w14:paraId="5B4DFCA1">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5、电磁定位板(魔板)软件包括：平抛、斜抛、离心轨道、伽利略斜面、自由落体、圆周、阻尼、运动的合成、单摆、机械能守恒实验，电磁感应位置记录板通过数据线与计算机数据传输；</w:t>
            </w:r>
          </w:p>
          <w:p w14:paraId="6773958B">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6、软件对实验数据可进行“数据导入”和“数据导出”实验界面可通过软件“拍照”按钮进行保存；</w:t>
            </w:r>
          </w:p>
          <w:p w14:paraId="519406AF">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7、平抛运动实验可通过放置信号源在抛射轨道上使信号源具有水平抛出的速度，调节信号源位置可以使信号源具有不同的抛出速度；</w:t>
            </w:r>
          </w:p>
          <w:p w14:paraId="7EF0E899">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8、斜抛运动实验可通过放置信号源在触发器上使信号源具有倾斜的抛出速度，调节信号源位置可以使信号源具有不同的抛出速度。</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▲提供符合技术参数4-8条要求的检测报告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848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E38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64F41A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FA2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F07D">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魔板-运动的合成实验器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BC3C">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轨道架（包含左连接块、线桩、水平轨道、刻度盘、右连接块、牵引线固定器、信号源固定座、竖直轨道、滑轮）、塑胶手拧螺栓、T型螺母、手拧螺栓、手拧螺母、绑线扣、拉环、牵引线构成与电磁定位板、信号源配合使用，可进行运动的合成实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1AC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349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A9B9D4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655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267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魔板-自由落体实验器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D715">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实验器由释放装置总成（含翻盖牌、释放装置、释放按钮、信号源夹）、接收筐、接收筐固定装置及紧固件构成。与电磁定位板、信号源配合使用，可进行“自由落体运动”实验，系统自动记录信号源的运动轨迹，软件自动绘制“s-t图线”、“v-t图线”，并根据实验数据计算出加速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4D5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B44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8A35E8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2FD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B73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魔板-凹凸桥实验器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931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由桥形支架、滚轮、条形锁紧装置、USB Type-C数据线构成，是魔板系统的拓展实验装置之一，与魔板配合使用，可用于探究物体运动过程中受力与所处位置之间的关系，能够定量展示物体在凹桥、凸桥上的超重、失重状态，可以测量轨道任意位置的受力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313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2BA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B04602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94F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B924">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EXB系列电学实验板</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2456">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≥23块，设有标准接插孔及开关；包含半波整流与滤波，全波整流与滤波，复杂电路分析， RC、RL 移相，伏安法测电池的电动势和内阻，补偿法测量电池电动势，分压与限流电路，伏安法测电阻、测电阻丝电阻率，二极管特性曲线，三极管特性曲线，三极管放大电路，恒压源、恒流源、双稳态电路、多谐振荡、电容充放电及串并联、振荡电路、自感现象、描绘小灯泡的伏安特性曲线、与门电路、或门电路、非门电路、电感等实验板，可完成几十例中学电学实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987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674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D3AC4C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DDC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757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摩擦力实验器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3C82">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由轨道、摩擦台底座、多种摩擦块、电机组成，与力传感器配合使用，可实现摩擦物体做匀速直线运动.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971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206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665321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E2B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4472">
            <w:pPr>
              <w:jc w:val="both"/>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安培力实验器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B775">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底座、磁铁组、标有角度的转盘、矩形线框、挂钩、支架组成，配合电流传感器或多量程电流传感器和微力传感器使用，研究安培力与导线长度、供电电流以及电流方向与磁场夹角的关系。矩形线框上线圈为6种匝数，50、100、150、200、250、300匝，可研究不同匝数下的安培力大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1DC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3A5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A86AC4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F17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A8B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自动控制执行器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CB6D">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可与传感器配合使用，完成自动控制功能，内部集成三种执行器：指示灯、报警器、电动机；可通过切换开关来任意切换不同执行器执行动作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440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E85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D0CA40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43D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D0D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光敏传感器控制电路</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8EF1">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底板、控制电路、传感器电路、光传感器构成；基于传感器控制系统软件进行阈值设定，一旦传感器所采集到的数据满足设定的条件，选定的执行器即可启动。可拨动控制电路开关选择执行器类型（蜂鸣器、小灯、电机）。附件含miniUSB数据通讯线、传感器连线及扇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E51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1B1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1B4166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15C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4B3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计时传感器控制电路</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1330">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底板、控制电路、传感器电路、计时传感器构成；基于传感器控制系统软件进行阈值设定，一旦传感器所采集到的数据满足设定的条件，选定的执行器即可启动。可拨动控制电路开关选择执行器类型（蜂鸣器、小灯、电机）。附件含miniUSB数据通讯线、传感器连线及扇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E17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F7F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C624D9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95D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B0D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方块电路·高中教师版</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C278">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1、外观与结构：产品表面无划痕和污渍，边缘平整无破边、变形。产品表面印制文字、字母、符号应规范、字迹清晰、标记醒目，且不易脱落。</w:t>
            </w:r>
          </w:p>
          <w:p w14:paraId="2D4FCC40">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2、模块尺寸：≥100×100×5（mm）正面为亚黑色PCB板，外壳为黑色。</w:t>
            </w:r>
          </w:p>
          <w:p w14:paraId="1891037E">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3、功能模块连接功能：模块之间磁吸式连接，通过金手指触点使电路导通。模块背面内置的磁铁可以使模块竖直吸附在磁性金属表面。</w:t>
            </w:r>
          </w:p>
          <w:p w14:paraId="3A237AFC">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电源类模块：（1）电源模块×2：模块输出5V电压，最大输出电流0.8A，USB接口充电，设有四个电量指示灯。（2）干电池模块×1：设有一个5号电池座。</w:t>
            </w:r>
          </w:p>
          <w:p w14:paraId="5CBE17A1">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仪表类模块：（1）电压表模块×1：彩屏显示，支持蓝牙通讯上传到移动设备（手机、PAD等），或通过数据线连接计算机软件。测量范围：-20V~+20V；分度：0.01V。（2）电流表模块×1：彩屏显示，支持蓝牙通讯上传到移动设备（手机、PAD等），或通过数据线连接计算机软件。按键切换量程，测量范围分度分别为：-2A~+2A、0.01A；-200mA~+200mA、0.1mA；-20mA~+20mA、0.01mA。</w:t>
            </w:r>
          </w:p>
          <w:p w14:paraId="3E47B14A">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开关类模块：（1）普通开关模块×1：设有单刀单掷开关。（2）双向开关模块×2：设有单刀双掷开关。（3）继电器模块×1：设有一个继电器，直流5V驱动。允许最大负载：直流电压30V，电流2A；交流电压125V，电流1A。</w:t>
            </w:r>
          </w:p>
          <w:p w14:paraId="79B2A24C">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导线类模块：（1）直线模块×3：用于导通电路，充当直导线作用。（2）折线模块×8：用于导通电路，充当折导线作用。（3）T型线模块×4：用于导通电路，充当三头导线作用。</w:t>
            </w:r>
          </w:p>
          <w:p w14:paraId="4CB45CB3">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位器类模块：（1）电位器22Ω模块×1：设有22Ω电位器，模块上三个连接端口对应电位器上的三个引脚，通过旋转模块上的手柄，改变电位器阻值。（2）电位器1kΩ模块×1：设有1kΩ电位器，模块上三个连接端口对应电位器上的三个引脚，通过旋转模块上的手柄，改变电位器阻值。（3）电位器10kΩ模块×1：设有10kΩ电位器，模块上三个连接端口对应电位器上的三个引脚，通过旋转模块上的手柄，改变电位器阻值。</w:t>
            </w:r>
          </w:p>
          <w:p w14:paraId="5E51CEEF">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可变电阻类模块：（1）可变电阻（0~1kΩ）模块×1：设有1kΩ电位器，顺时针旋转模块上的手柄，模块上两个连接端口之间的阻值增大；反之逆时针旋转则阻值减小。（2）可变电阻（0~10kΩ）模块×1：设有10kΩ电位器，顺时针旋转模块上的手柄，模块上两个连接端口之间的阻值增大；反之逆时针旋转则阻值减小。（3）可变电阻（0~100kΩ）模块×1：设有100kΩ电位器，顺时针旋转模块上的手柄，模块上两个连接端口之间的阻值增大；反之逆时针旋转则阻值减小。</w:t>
            </w:r>
          </w:p>
          <w:p w14:paraId="6533DC43">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敏感电阻类模块：（1）光敏电阻模块×1：设有光敏电阻，环境光照强度越大阻值越小。（2）热敏电阻模块×1：设有热敏电阻，环境温度越大阻值越小。</w:t>
            </w:r>
          </w:p>
          <w:p w14:paraId="2024EFDE">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二极管类模块：（1）二极管模块×1：设有二极管，其导通电压为0.55V。（2）双向发光二极管模块×1：设有双向发光二极管，其发光临界电压为1.5V。</w:t>
            </w:r>
          </w:p>
          <w:p w14:paraId="3170E55D">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三极管类模块：（1）NPN三极管模块×1：设有NPN三极管。三个连接端口分别对应三极管的B、C、E引脚。（2）PNP三极管模块×1：设有PNP三极管。三个连接端口分别对应三极管的B、C、E引脚。</w:t>
            </w:r>
          </w:p>
          <w:p w14:paraId="5E677364">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电感类模块：（1）电感（0.6H）模块×1：设有0.6H电感器件。（2）电感（1H）模块×1：设有1H电感器件。</w:t>
            </w:r>
          </w:p>
          <w:p w14:paraId="3D28914B">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用电器类模块：（1）小灯泡模块×2：设有E10螺口，与附件中的灯泡组合使用。（2）电机模块×1：设有直流电动机，驱动扇叶转动，电机的额定电压为5V。（3）蜂鸣器模块×1：设有有源蜂鸣器，蜂鸣器的额定电压为5V。</w:t>
            </w:r>
          </w:p>
          <w:p w14:paraId="39348B24">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扩展类模块：（1）普通综合扩展模块×1：设有一个插座，与附件中的各种插片组合使用。</w:t>
            </w:r>
          </w:p>
          <w:p w14:paraId="6E2F920E">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（2）综合扩展（并联）模块×1：设有两个插座，并联设置，与附件中的各种插片组合使用。</w:t>
            </w:r>
          </w:p>
          <w:p w14:paraId="48425560">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接口类模块:接口模块：设有香蕉插座，与附件中鳄鱼夹线配合使用，外接负载。</w:t>
            </w:r>
          </w:p>
          <w:p w14:paraId="6651E72F">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1）电阻插片：2.5Ω×1、500Ω×1、600Ω×1、1kΩ×2、1.5kΩ×1、2kΩ×2。除电阻2.5Ω的额定功率为3W，其他电阻的额定功率为1W。（2）电容插片：10uF×1、100uF×1、470uF×1、1000uF××1。（3）线圈插片：线圈2匝×1、线圈50匝×1。（4）柱形磁铁×2：直径φ5mm和φ8mm两种规格各一根。（5）灯泡：绿色LED灯×1、蓝色LED灯×1、钨丝灯泡×2。（6）USB集线器×1、双头充电器×1、USBType-C数据线×2、鳄鱼夹线×2、5号干电池×1。</w:t>
            </w:r>
          </w:p>
          <w:p w14:paraId="640E0E3B">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▲提供符合技术参数1-3条要求的检测报告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374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1F0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E30837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932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889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光学实验系统</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F0CC">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由长度1.2米轨道、可调光源座、光缝座、光屏座、相对光照度分布传感器、单缝、双缝、USB数据线构成。可完成高中物理中光的干涉、衍射实验。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BA7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E07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CB4A13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3CE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C7DD">
            <w:pPr>
              <w:jc w:val="both"/>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静电计</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A8B5">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1、测量范围：-100nC～100 nC，分度≤1 自带液晶显示屏，可独立使用并显示测量结果；</w:t>
            </w:r>
          </w:p>
          <w:p w14:paraId="4576D315">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2、静电计与无线发射器能正常通讯；</w:t>
            </w:r>
          </w:p>
          <w:p w14:paraId="65BA6364">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3、静电计能够测量并显示毛皮摩擦后的橡胶棒以及丝绸摩擦后的玻璃棒电量。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6C5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94A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3CE31B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0D9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124A">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电磁感应与楞次定律实验器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733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该实验器由档位开关、线圈、接线柱和电路板组成。与多量程电流传感器或微电流传感器配合使用，用于研究电磁感应现象。档位开关分别与不同匝数相的线圈连接，探究线圈匝数与感应电流的关系。可根据曲线的变化趋势分析感应电流的方向，并由此验证楞次定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740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2C9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A13315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A3F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722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焦耳定律实验器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E3C5">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量热器、底座组成，外形尺寸：140mm*140mm*157mm(±5mm);量热器内金属丝长度为86cm±2mm;每个量热器内配置不同阻值电阻(电阻值误差为±1％)，结合温度传感器实时监测焦耳定律实验器中热量变化，并能根据此研究电流通过导体产生的热量与电流大小及电阻的关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02C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029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60FA38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219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74F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多功能学生电源V2.0</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578C">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具有直流/交流转换输出功能，直流输出：电压1.5V~20V，最大输出功率：30W；交流输出：电压0~9V/50Hz，最大输出功率：4.5W。交直流电压独立幅值连续可调；具有直流极性转换、输出短路保护功能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667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349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11104D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271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E10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匀强磁场螺线管</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0A3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可接学生电源，塑壳封装，产生匀强磁场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829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FBE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FFD7B0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D25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41C7">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Mini牛顿管实验器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11E5">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牛顿管（含透明管、微型无线压强传感器、抽气阀门）、抽气装置、观测物体（金属、泡沫或羽毛）等构成。可以观察物体在空气中、近似真空状态下以及其他压强状态情况的下落过程。用于完成探究自由落体实验，通过安装App软件的移动终端，实时显示牛顿管内的压强及压强变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101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B57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BA0A26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63D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947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查理定律实验器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9B50">
            <w:pPr>
              <w:jc w:val="both"/>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由试管、快速温度探头、压强传感器连接器组成，结合温度与压强传感器，探究气体压强与温度的关系</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B14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E69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2330E2E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42B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024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电阻定律实验器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AECD">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由直径不同的铁、铁铬、镍铬三种金属丝组成，配合电流、电压传感器使用，探究导体的电阻与长度、截面积的关系。</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6FD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C8A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F3D4DA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B12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6B24">
            <w:pPr>
              <w:jc w:val="both"/>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真空铃实验器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5FA">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由真空铃罐体、抽气装置、蓝牙音箱、发泡球、隔音膜等构成。让师生既能听到声音又能看到声音的振动，近似真空中能看到振动听不到声音，突破教学难点验证“声音的传播需要介质”这一物理规律。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C8A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1DD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C1D78D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1CA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BFA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远红外加热器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66F1">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220V交流供电，功率80W；圆筒型远红外辐射加热炉芯，便于对加热体均匀加热。可完成查理定律、晶体熔解和凝固、比热容等高精度热学定量实验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A47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56D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2C7181C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3DE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DAD7">
            <w:pPr>
              <w:jc w:val="both"/>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高灵敏度线圈</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FBEC">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高灵敏度、无源、塑壳封装、带屏蔽，与微电流传感器配合，可测得切割地磁场产生的感生电流，也可测得不同电器的电磁辐射强度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4F8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C4C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86B77A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E0C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CEB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玻璃导电实验器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F97A">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由底座、专用实验板组成，外形尺寸：104mm*114mm*172mm(±5mm)；底座上设有两个接线柱，与微电流传感器配合使用能够完成玻璃导电实验。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6A6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BA2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C011BE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7B8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99B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温差电流实验器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1139">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由底座、不同材料金属框组成，与微电流传感器配合使用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0C9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B7E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C7687D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E4E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C78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摩擦做功实验器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FCD5">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由铜管、支架、摩擦绳组成，与温度传感器配合使用，可完成摩擦做功使温度升高实验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A03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2B4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070468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891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2F3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压缩气体做功实验器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F510">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由专用底座、注射器和快速响应温度探头组成，研究气体压缩或膨胀时，温度的变化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53F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55B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9B83B2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097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6A4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实验软件</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91C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1、为数字化实验分析软件软件，用于数据收集和结果分析c；</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2、包含教材通用软件、物理教材专用软件、化学专用软件y、生物专用软n件、传感器校准软件与数据导入软件六个部分；</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3.1、通用软件：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可实现传感器数据的自动识别及控制：传感器接入后自动识别测量种类、测量范围、分度、单位、通道序号等；可改变传感器的显示方式：数字表、模拟表、示波。可根据实验调整传感器的采样频率、开始与暂停、字号大小、调零、示波图线的移动及大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组合图线：拥有2个完全相同的组合图线显示窗口，可并行使用；通过该功能的应用可完成基于传感器的实时数据变化的描绘和计算表格数据描绘及分析、处理等操作；数据的分析及处理包括：拟合、求导、积分、统计、包格线等；可通过回访功能重复观察实验的变化规律；对图像可根据实验进行放大、缩小；可对引用的传感器进行同步的停止和开始，达到很好的同时性；可对引用的传感器进行同步的调零，达到很好的一致性；可对引用的传感器进行同步采样频率调整，达到很好的精确性；</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计算表格：可自动识别接入的传感器，并按照接入的通道自动标号。可通过变量、公式、求平均、绘图等按钮对数据进行处理。根据不同的实验要求可选择自动记录和手动记录。自动记录可调整时间间隔、选择采样条件，手动记录可根据需要进行点击记录，有效减少无效数据对实验结果的干扰。可引用现有实验模板也可DIY实验模板，并保存。支持表格的复制、粘贴、剪切。具备放大缩小功能，还支持打印机直接引用（无需退出实验软件），进行结果打印。实验结果可通过Excel形式进行保存。也可将保存的数据多次调用。</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（4）实验录制：可同时将实验操作过程和软件的实验界面进行同屏录制，实现了实验现象和数据的对应。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3.2、物理专用软件：界面简洁、风格独特、一键OK的特点。涵盖了人教、粤教、鲁科等教材的重点实验。明确了实验题目，使用时直接接入传感器即可。大大的方便了课堂教学。实验界面与多版本教材高度一致，完全符合现行教材。用户可直接根据教材进行实验操作。</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3.3、化学专用软件：涵盖了初初中重点实验，起到温故知新的作用。</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3.4、生物专用软件：涵盖了初初中重点实验，起到温故知新的作用。</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3.5、传感器校准软件：根据国际计量公用应用规范，针对生物、化学传感器进行校准，以减少误差，提高精度。应用于PH、溶解氧、色度、浊度、氧化还原等传感器。</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3.6、数据导入软件：和数据显示模块配合使用，将数据显示模块的数据导入电脑进行长期保存和数据处理。</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4、应用平台：支持windows、Android、iOS系统。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109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9B7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4F486E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6F2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766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多向转接头</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BF1D">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零件，双向交叉，孔内径适应于标准铁架台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B95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66F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BDFDE2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50C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4F3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磁力固定座</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CED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三角型底座配三个强力磁铁，铝合金支柱，适用于固定较大型实验器材。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B61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8DA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14C8E4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0C5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2C1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附件</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5350">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含USB通讯线1条、转接器4只、传感器线4条；两端为BT插头，插口具有方向性和自锁功能插接方便、配合严密、方便教学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C54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64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73C0E7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246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F4B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物理实验指南</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162B">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彩色印刷版实验指导手册，有详细实验案例介绍（实验器材、实验装置图、实验操作步骤等）,配有二维码，通过扫描二维码可观看实验操作视频。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097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CE6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w:t>
            </w:r>
          </w:p>
        </w:tc>
      </w:tr>
      <w:tr w14:paraId="3AF5B11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016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A31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高中物理 必修第一册</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BDF17">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【主要器材配置】：1.毛钱管(牛顿管) 1套、2.抽气泵 1个、3.微小形变演示器 1套、4.教学用弹簧测力计 1个、5.金属钩码 1套、6.摩擦板 1个、7.摩擦块1件。等仪器。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【主要器材参数】：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1.毛钱管(牛顿管)：带释放装置，密封性好，同步下落效果明显，金属片和羽毛片同时到达时间相</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差不超过0.02 s。</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2.抽气泵：单相，油封旋片式直联泵2XZ-0.5 型，底座采用2.5 mm 厚的钢板，铝合金机壳；进气口应为台阶口，外径8 mm，配有内径6.3 mm±0.75 mm、长2.0 m 的压缩空气用橡胶管。电气安全要求：Ⅰ类电器必须使用三极插头，外壳接保护接地线，电源与外壳抗电强度1500 V；Ⅱ类电器必须使用二极插头，电源与外壳抗电强度3000 V。</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3.微小形变演示器：两个平面镜加激光机和激光笔座，利用光杠杆原理。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4.教学用弹簧测力计：5N。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5.金属钩码 ：50g×4件200g×2 件，材料采用纯度99.6%、粒度不小于80#的铁基粉或其它钢材，钩码表面应有防腐镀层；硬度不小于HB70；上下勾的连线应通过钩码主体的轴线 。执行JY/T 105标准。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6.摩擦板 ：摩擦板不小于800 mm×100 mm×10 mm，平面度误差不大于0.6 mm，质地坚硬，表面均匀。</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7.摩擦块：摩擦块尺寸不小于110 mm×50 mm×35 mm，两摩擦面平面度误差应不大于0.1 mm，侧面有挂钩。                                                                                                                                                                                                                                     【可完成实验】：                                                                                                                  1.轻重不同的物体下落快慢的研究                                                                                                                       2.通过平面镜观察桌面的微小形变                                                                                                                          3.静摩擦力的大小随拉力的变化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2EB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B5C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0B6BA2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3A7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2A0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高中物理 必修第二册 </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39768">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【主要器材配置】：1.曲线运动速度方向实验器1套、2.曲线运动条件实验器 1套、3.可密封长玻璃管 1支、4.红蜡块。向心力实验器1套等仪器。</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【主要器材参数】：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1.曲线运动速度方向实验器 ：由可拼接的铝合金“S”形轨道、钢球、钢球释放装置等组成。小钢球能够在轨道内自由滚动。小钢球表面粘上印泥后，能够以一定的初速度从同一入口滚入轨道，滚出轨道时的速度方向（沿轨道该点切线）即为此时瞬时速度的方向，在加、减轨道时，小球滚出的速度方向不同。钢球在滚出轨道时会在白纸上留下一条运动的痕迹，记录钢球在离开轨道时的速度方向。</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2.曲线运动条件实验器 ：外型尺寸620*420*45（mm)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3.可密封长玻璃管：内径10mm×1000mm，有胶塞，带刻度衬板。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4.红蜡块：优质石蜡。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【可完成实验】：                                                                                                                  1.观察做曲线运动物体的速度方向                                                                                                                       2.观察钢球的运动轨迹                                                                                                                               3.观察蜡块的运动</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 探究向心力大小的表达式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A37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A0E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76070D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8DF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5E0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高中物理 必修第三册</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5D63">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【主要器材配置】：1.电场线演示器 1套、2.静电实验箱 1套、3.电池盒 1套、4.1号电池 2组、5.导线 1套、6.电子元件 2个、7.单刀开关1个、8.单刀双掷开关1个、9.直流电压表1只、10.电珠(小灯泡)2个、11.小灯座 2个、12.酒精灯 1个、13.磁感线演示器 1套、14.安培力演示器 1台。等仪器。</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【主要器材参数】：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1.电场线演示器：由单点电极演示板、双点电极演示板（同种电极和异种电极）、平行板电极演示板、环形电极演示板、尖形导体演示板组成。</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2.静电实验箱：可演示静电除尘、避雷针原理、静电屏蔽、静电植绒、静电乒乓、静电转轮、静电喷漆、静电复印、静电离子风发动机等实验。</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3.电池盒：外型尺寸</w:t>
            </w:r>
            <w:r>
              <w:rPr>
                <w:rStyle w:val="51"/>
                <w:rFonts w:hint="eastAsia" w:ascii="仿宋" w:hAnsi="仿宋" w:eastAsia="仿宋" w:cs="仿宋"/>
                <w:color w:val="auto"/>
                <w:sz w:val="24"/>
                <w:szCs w:val="24"/>
                <w:highlight w:val="none"/>
                <w:lang w:eastAsia="zh-CN"/>
              </w:rPr>
              <w:t>≧</w:t>
            </w:r>
            <w:r>
              <w:rPr>
                <w:rStyle w:val="52"/>
                <w:rFonts w:hint="default" w:ascii="仿宋" w:hAnsi="仿宋" w:eastAsia="仿宋" w:cs="仿宋"/>
                <w:color w:val="auto"/>
                <w:sz w:val="24"/>
                <w:szCs w:val="24"/>
                <w:highlight w:val="none"/>
                <w:lang w:eastAsia="zh-CN"/>
              </w:rPr>
              <w:t xml:space="preserve">113*51*41（mm)。  </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 xml:space="preserve">5.导线：7根，长度分别为400 mm，单芯4 mm，纯铜导线，不同线色。  </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 xml:space="preserve">6.电子元件: 2个,电容  6.3V820uf 6*12。  </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7.单刀开关: 外形尺寸</w:t>
            </w:r>
            <w:r>
              <w:rPr>
                <w:rStyle w:val="51"/>
                <w:rFonts w:hint="eastAsia" w:ascii="仿宋" w:hAnsi="仿宋" w:eastAsia="仿宋" w:cs="仿宋"/>
                <w:color w:val="auto"/>
                <w:sz w:val="24"/>
                <w:szCs w:val="24"/>
                <w:highlight w:val="none"/>
                <w:lang w:eastAsia="zh-CN"/>
              </w:rPr>
              <w:t>≧</w:t>
            </w:r>
            <w:r>
              <w:rPr>
                <w:rStyle w:val="52"/>
                <w:rFonts w:hint="default" w:ascii="仿宋" w:hAnsi="仿宋" w:eastAsia="仿宋" w:cs="仿宋"/>
                <w:color w:val="auto"/>
                <w:sz w:val="24"/>
                <w:szCs w:val="24"/>
                <w:highlight w:val="none"/>
                <w:lang w:eastAsia="zh-CN"/>
              </w:rPr>
              <w:t xml:space="preserve">100*69*52（mm)。  </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 xml:space="preserve">8.单刀双掷开关: 最高工作电压36 V，额定工作电流6 A。开关闸刀、接线柱、垫片均为铜质。闸刀宽度≥7 mm，闸刀厚度≥0.7 mm。接线柱直径为4 mm，有效行程≥4 mm。通额定电流，导电部分允许温升≤5 ℃，操作手柄允许温升≤25 ℃。开关的绝缘强度应能承受1200 V 在额定直流电流工作条件下，接线两端直流电压降≤100 mV。  </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 xml:space="preserve">9.直流电压表：3 V、15 V 双量程，2.5 级，基本误差、升降变差、平衡误差不超过量程上限的2.5％。  </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 xml:space="preserve">10.电珠(小灯泡：2.5V或3.8V。                                                                                                                                                                                                                                                                                                                                                                              【可完成实验】：                                                                                                                  1.模拟电场线                                                                                                                                       2.静电屏蔽                                                                                                                                        3.电容器两极板间电势差跟所带电荷量的关系                                                                                                             4.电阻率与温度的关系                                                                                                                                  5.观察常见磁场的分布                                                                                                                                6.探究影响通电导线受力的因素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7F4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CD4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9A4456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6C5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AC9F">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高中物理 选择性必修第一册</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0BB8">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【主要器材配置】：1.单摆组 1套、2.教学支架 1套、3.弹簧振子 1套、4.机械停表 1块、5.波动演示器 1台、6.波动弹簧 1个、7.发波水槽 1套、8.多普勒效应演示器 1套 、9.激光光学演示仪 1台、10.半圆玻璃砖 1块、11.光导纤维应用演示器 1台、12.光的干涉衍射偏振演示器 1套。等仪器。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【主要器材参数】：</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1.单摆组：5 个摆球。</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2.教学支架 ：教学支架，不锈钢SUS304铸造一体成型，耐酸、耐碱，底座质量或支持面积≧1.5kg。3.弹簧振子：水平式。</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4.机械停表：专用型。</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5.波动演示器：演示纵横波的形成与传播，能完成3个横波波长，振子同相位演示。</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6.波动弹簧 ：扁钢丝弹簧，外径不小于66 mm，圈数不小于180，两端为90°弯折半圆。</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7.发波水槽 ：由水波槽、振动器、频闪光源和投影设备等组成，水槽尺寸不小于30 cm×30 cm×35 cm,屏幕尺寸不小于26 cm×24 cm。性能要求：能消除边缘产生的反射波；能够演示小孔的口径不变，调整频率衍射由不明显到明显；能够演示频率不变，改变小孔的口径衍射由不明显到明显；投影清晰，可见度好。</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8.多普勒效应演示器 ：由频率计、蜂鸣器盒、开关、转杆、转轴、平衡铁、底座、速调盒、测声音响度的装置等组成；性能研究：声源在身旁疾驶而过时，听到的音调明显变化。</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9.激光光学演示仪：演示屏、圆形光盘、光源、分束器、光学零部件（扩束透镜、双凸柱面透镜、半圆柱面透镜、平凸柱面透镜、平凹柱面透镜、凹凸柱面反光镜、平面镜、漫反射镜、等边棱镜、等腰直角棱镜、光纤、光具架、移动尺）等。演示屏长度≥350 mm，宽度≥280 mm；圆形光盘直径≥160 mm。光盘面分为四个象限，分别刻有0°～90°刻度。激光束经分束器在演示屏上呈现的三条光束基本相同。</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10.半圆玻璃砖：光洁度为V5，上下里底面、两斜面及另一梯形面为精加工面，应进行抛光处理。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11.光导纤维应用演示器：包括传光束、传像束、有机玻璃棒、通讯演示器（发射机和接收机）、字母板、放大屏等。视听距离≥6 m，传光束长度≥400 mm，横截面≥2.55 mm2，白光透过率≥50%，传像束长度≥350 mm，传像工作面积≥100 mm2。光线丝排列对应整齐，无错位，像元数不低于900 个。</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12.光的干涉衍射偏振演示器：白光光源（亮度和焦距可调）、光屏、光栅（3 个，分别为80 线/mm、300 线/mm、600 线/mm）、双缝2 个、单缝3 个、1对带刻度的偏振滤光片、泊松亮斑。性能要求：可以观察清晰的白光干涉条纹，加上滤光片后可以观察到5 条以上明暗相干条纹。                                                                                                                               </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 xml:space="preserve">【可完成实验】：                                                                                                                  1.寻求碰撞中的不变量——质量不同小球的碰撞                                                                                                             2.观察两个小球的振动情况                                                                                                                                3.影响单摆周期的因素                                                                                                                                    4.观察绳波的产生和传播                                                                                                                                 5.观察弹簧形成的波                                                                                                                                       6.水波的反射                                                                                                                                                                           7.水波的衍射                                                                                                                                                                           8.观察波的叠加现象                                                                                                                                                                       9.观察水波的干涉                                                                                                                                                                       10.蜂鸣器音调的变化                                                                                                                                                                      11.观察全反射现象                                                                                                                                                                             12.观察光在弯曲的有机玻璃棒中传播的路径                                                                                                                                              13.光的双缝干涉                                                                                                                                                                          14.观察光的偏振现象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76B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A9D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1EF35A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DC0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8A7B">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高中物理 选择性必修第二册 </w:t>
            </w:r>
          </w:p>
        </w:tc>
        <w:tc>
          <w:tcPr>
            <w:tcW w:w="5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7A6D">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【主要器材配置】：1.安培力演示器 1套、2.电子束演示器 1台、3.蹄形磁铁 1个、4.洛伦兹力演示仪 1台、5.三相电机原理演示器 1套、6.自感现象演示器 1台、7.高中教学电源 1台、8.手摇交直流发电机 1个、9.发光二极管 2个、10.电磁振荡演示仪 1台、11.导线 1套、12.传感器1套、13.滑动变阻器1件、14电子元件1组、15.多用电表1个、16.原副线圈1套</w:t>
            </w:r>
            <w:r>
              <w:rPr>
                <w:rStyle w:val="53"/>
                <w:rFonts w:hint="eastAsia" w:ascii="仿宋" w:hAnsi="仿宋" w:eastAsia="仿宋" w:cs="仿宋"/>
                <w:color w:val="auto"/>
                <w:sz w:val="24"/>
                <w:szCs w:val="24"/>
                <w:highlight w:val="none"/>
                <w:lang w:eastAsia="zh-CN"/>
              </w:rPr>
              <w:t>、</w:t>
            </w:r>
            <w:r>
              <w:rPr>
                <w:rStyle w:val="52"/>
                <w:rFonts w:hint="default" w:ascii="仿宋" w:hAnsi="仿宋" w:eastAsia="仿宋" w:cs="仿宋"/>
                <w:color w:val="auto"/>
                <w:sz w:val="24"/>
                <w:szCs w:val="24"/>
                <w:highlight w:val="none"/>
                <w:lang w:eastAsia="zh-CN"/>
              </w:rPr>
              <w:t>17.灵敏电流计1件</w:t>
            </w:r>
            <w:r>
              <w:rPr>
                <w:rStyle w:val="53"/>
                <w:rFonts w:hint="eastAsia" w:ascii="仿宋" w:hAnsi="仿宋" w:eastAsia="仿宋" w:cs="仿宋"/>
                <w:color w:val="auto"/>
                <w:sz w:val="24"/>
                <w:szCs w:val="24"/>
                <w:highlight w:val="none"/>
                <w:lang w:eastAsia="zh-CN"/>
              </w:rPr>
              <w:t>、18.</w:t>
            </w:r>
            <w:r>
              <w:rPr>
                <w:rStyle w:val="52"/>
                <w:rFonts w:hint="default" w:ascii="仿宋" w:hAnsi="仿宋" w:eastAsia="仿宋" w:cs="仿宋"/>
                <w:color w:val="auto"/>
                <w:sz w:val="24"/>
                <w:szCs w:val="24"/>
                <w:highlight w:val="none"/>
                <w:lang w:eastAsia="zh-CN"/>
              </w:rPr>
              <w:t>电池盒1组</w:t>
            </w:r>
            <w:r>
              <w:rPr>
                <w:rStyle w:val="53"/>
                <w:rFonts w:hint="eastAsia" w:ascii="仿宋" w:hAnsi="仿宋" w:eastAsia="仿宋" w:cs="仿宋"/>
                <w:color w:val="auto"/>
                <w:sz w:val="24"/>
                <w:szCs w:val="24"/>
                <w:highlight w:val="none"/>
                <w:lang w:eastAsia="zh-CN"/>
              </w:rPr>
              <w:t>、19.</w:t>
            </w:r>
            <w:r>
              <w:rPr>
                <w:rStyle w:val="52"/>
                <w:rFonts w:hint="default" w:ascii="仿宋" w:hAnsi="仿宋" w:eastAsia="仿宋" w:cs="仿宋"/>
                <w:color w:val="auto"/>
                <w:sz w:val="24"/>
                <w:szCs w:val="24"/>
                <w:highlight w:val="none"/>
                <w:lang w:eastAsia="zh-CN"/>
              </w:rPr>
              <w:t>单刀开关1个</w:t>
            </w:r>
            <w:r>
              <w:rPr>
                <w:rStyle w:val="53"/>
                <w:rFonts w:hint="eastAsia" w:ascii="仿宋" w:hAnsi="仿宋" w:eastAsia="仿宋" w:cs="仿宋"/>
                <w:color w:val="auto"/>
                <w:sz w:val="24"/>
                <w:szCs w:val="24"/>
                <w:highlight w:val="none"/>
                <w:lang w:eastAsia="zh-CN"/>
              </w:rPr>
              <w:t>、20.变压器1台</w:t>
            </w:r>
            <w:r>
              <w:rPr>
                <w:rStyle w:val="52"/>
                <w:rFonts w:hint="default" w:ascii="仿宋" w:hAnsi="仿宋" w:eastAsia="仿宋" w:cs="仿宋"/>
                <w:color w:val="auto"/>
                <w:sz w:val="24"/>
                <w:szCs w:val="24"/>
                <w:highlight w:val="none"/>
                <w:lang w:eastAsia="zh-CN"/>
              </w:rPr>
              <w:t xml:space="preserve">等仪器。   </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【主要器材参数】：</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1.安培力演示器：由底座、磁极框架、磁铁、通电线框、接线柱、连接片、刻度盘支架、刻度盘、指针等组成。</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 xml:space="preserve">2.电子束演示器 ：可演示观察电子束在电场力的作用下发生的偏转，观察电子束在磁场中所受的洛仑兹力，说明热电子发射现象等。 </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 xml:space="preserve">3.蹄形磁铁 ：D-CG-LU-100，表面磁感应强度≥0.055 T。 </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4.洛伦兹力演示仪：有洛伦兹力演示。</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5.三相电机原理演示器 ：由蹄形磁铁、磁针、铝框、塑料框、鼠笼方形线圈、支架、转轴、接线柱等组成。性能要求：包含永磁式旋转磁场演示器和电磁式旋转磁场演示器，用于说明旋转磁场的性质和三相感应电动机的原理。</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 xml:space="preserve">6.自感现象演示器：由小灯泡、灯座、变压器、电位器、单刀开关、旋钮开关、接线柱等组成。仪器面板分为“通电自感现象”和“断电自感现象”两部分。表面印有电路原理图并分别标有两部分的工作电压。导线采用暗线布置，内部接线应与面板上的原理图一致。性能：通电时，与自感线圈并联的小灯泡亮的时间应明显滞后于与滑动变阻器串联的小灯泡；断电时，与自感线圈并联的小灯泡应瞬间闪亮（亮度比断电前有明显增强）后熄灭，或持续亮片刻后再熄灭。 </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7.数显教学电源 ：1：外型尺寸: ≥229mm*173mm*126mm。外壳采用ABS阻燃材料注塑成型，底部和侧面设有多孔散热设计。2：双屏数字显示。电压、电流双显示。显示直观清晰。3：数字编码器控制电压、电流输出。寿命长，使用率高，性能稳定，效率高，不发热，无风扇，数控切换，受命可达10万次。4：交流输出采用微控制器控制继电器切换变压器绕组，实现绕组的串并联，可以满足教学电源低压大电流要求。交流输出电流保护采用互感器加微控制器的方式，准确可靠，直流输出采用数控同步整流技术，稳定高效，速度快，低内阻，输出效率超过80%。5：程序可以灵活设定保护电流值，满足多电流输出的要求。操作为数字编码器加长寿命高亮数码管显示，配合蜂鸣器声音提示，操作便捷。6.功能: 交流：2V～24V，每2V一档，2V～6V/12A，8V～12V/6A，14V～24V/3。直流稳压：1V～25V分档连续可调，2V～6V/6A，8V～12V/4A，14V～24V/2A；40A、8s自动关断。7.安全要求：电源端与外壳抗电强度1500V（有保护接地线）或3000V（无保护接地线），电源端与低压输出抗电强度3000V。▲</w:t>
            </w:r>
            <w:r>
              <w:rPr>
                <w:rFonts w:hint="eastAsia" w:ascii="仿宋" w:hAnsi="仿宋" w:eastAsia="仿宋" w:cs="仿宋"/>
                <w:color w:val="auto"/>
                <w:sz w:val="24"/>
                <w:szCs w:val="24"/>
                <w:highlight w:val="none"/>
                <w:lang w:eastAsia="zh-CN"/>
              </w:rPr>
              <w:t>提供带CMA标志的检测报告复印件</w:t>
            </w:r>
            <w:r>
              <w:rPr>
                <w:rStyle w:val="52"/>
                <w:rFonts w:hint="default" w:ascii="仿宋" w:hAnsi="仿宋" w:eastAsia="仿宋" w:cs="仿宋"/>
                <w:color w:val="auto"/>
                <w:sz w:val="24"/>
                <w:szCs w:val="24"/>
                <w:highlight w:val="none"/>
                <w:lang w:eastAsia="zh-CN"/>
              </w:rPr>
              <w:t>，满足以上1~7项技术要求的“数显教学电源”检测</w:t>
            </w:r>
            <w:r>
              <w:rPr>
                <w:rStyle w:val="52"/>
                <w:rFonts w:ascii="仿宋" w:hAnsi="仿宋" w:eastAsia="仿宋" w:cs="仿宋"/>
                <w:color w:val="auto"/>
                <w:sz w:val="24"/>
                <w:szCs w:val="24"/>
                <w:highlight w:val="none"/>
                <w:lang w:eastAsia="zh-CN"/>
              </w:rPr>
              <w:t>报告复印件</w:t>
            </w:r>
            <w:r>
              <w:rPr>
                <w:rStyle w:val="52"/>
                <w:rFonts w:hint="default" w:ascii="仿宋" w:hAnsi="仿宋" w:eastAsia="仿宋" w:cs="仿宋"/>
                <w:color w:val="auto"/>
                <w:sz w:val="24"/>
                <w:szCs w:val="24"/>
                <w:highlight w:val="none"/>
                <w:lang w:eastAsia="zh-CN"/>
              </w:rPr>
              <w:t xml:space="preserve">。                                           </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8.手摇交直流发电机：包括定子、转子、整流器、集流环、电刷、灯座（带灯泡）、手摇驱动机构和底板等部分。定子应由永磁体和极靴组成，转子应由转轴、两极电枢铁芯、电枢线圈以及整流器和集流环等组成。整流器在任何位置不应将两电刷短路，电刷与整流器和集流环应使用弹性接触，转动灵活。转子转速为1600 r/min 空载时，输出端交流和直流电压均应不小于8V。</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9.发光二极管：直插式。</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10.电磁振荡演示仪：由具有铁芯的电感线圈、电容器、集成电路等组成，包括等幅振荡演示电路和减幅振荡演示电路，仪器面板上印有原理图。</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 xml:space="preserve">11.导线：7根，长度分别为400 mm，单芯4 mm，纯铜导线，不同线色。    </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 xml:space="preserve">12.传感器：电压传感器，测量范围不小于±15 V，分辨力不大于10 mV。                                                                                                                                               </w:t>
            </w:r>
            <w:r>
              <w:rPr>
                <w:rStyle w:val="52"/>
                <w:rFonts w:hint="default" w:ascii="仿宋" w:hAnsi="仿宋" w:eastAsia="仿宋" w:cs="仿宋"/>
                <w:color w:val="auto"/>
                <w:sz w:val="24"/>
                <w:szCs w:val="24"/>
                <w:highlight w:val="none"/>
                <w:lang w:eastAsia="zh-CN"/>
              </w:rPr>
              <w:br w:type="textWrapping"/>
            </w:r>
            <w:r>
              <w:rPr>
                <w:rStyle w:val="52"/>
                <w:rFonts w:hint="default" w:ascii="仿宋" w:hAnsi="仿宋" w:eastAsia="仿宋" w:cs="仿宋"/>
                <w:color w:val="auto"/>
                <w:sz w:val="24"/>
                <w:szCs w:val="24"/>
                <w:highlight w:val="none"/>
                <w:lang w:eastAsia="zh-CN"/>
              </w:rPr>
              <w:t xml:space="preserve">【可完成实验】：                                                                                                                  1.安培力的方向                                                                                                                                         2.观察电子束在磁场中的偏转                                                                                                                            3.观察带电粒子的运动径迹                                                                                                                                 4..观察铝框的运动                                                                                                                                         5.观察两个灯泡的发光情况                                                                                                                                    6.观察开关断开时灯泡的亮度                                                                                                                                    7.观察交变电流的方向                                                                                                                                         8.观察振荡电路中电压的波形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565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374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9BA76B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B24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40A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打孔器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CB8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B2C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13B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CA1FD2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2E0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791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两用气筒</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1A0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1BC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415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3A0D0ED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E15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C11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抽气筒</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E33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860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3CF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7FECBE1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352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1A5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打气筒</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E77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8F9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F3D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3DF9CA5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534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4BB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抽气盘</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8AEA">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直径不小于180mm,附钟罩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239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F78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DB8967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BAE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DB8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吹风机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4654">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用做小型气源，可稳定供给弹簧振子工作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907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17A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32752A9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B60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4CB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充磁器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001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9ED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DA3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48B946A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B07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3B9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望远镜</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47B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双筒，7×35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CCD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DEC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3B3E7D66">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F51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F7C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酒精喷灯</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FBF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坐式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FB6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1CC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A1959B6">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376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A5E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注射器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35A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100mL</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50E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46F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23265E7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DC2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013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升降台</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E118">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升降范围不小于150mm,载荷不小于10kg</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B47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F70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55F9C65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487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BEFF5A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高中教学电源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1A3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交流：2V～24V,每2V一档，2V～6V/12A,8V~12V/6A,14V～ 24V/3A:直流压：1V～25V分档连续调2V6V/6A,8V~12V/4A,14V～24V/2A;40A、8s自动关断</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3F5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A88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5823D3E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779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C5D49E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蓄电池</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6DD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6V,15Ah,阀控式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908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869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027AEC7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E81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0D7555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调压变压器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49B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2kVA,TDGC2系列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ABB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258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06C718D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943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1F91CB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感应圈</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EF0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电子开关式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853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238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629985E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B7E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9996FB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直流高压电源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0796">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输出电压：250V、300V、600V、1000V、1200V、1500V纹波电压：≤0.5V输出电流：≥0.1A(250V、300V时),≥0.05A(600V、1000V、1200V、1500V时);有过载保护</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ECC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EB0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3C6A610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667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B948C0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电子起电机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C7B3">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输入DC6V,输出电压范围：-17.5 kV～+17.5 ·kV,短路电流不大于500μA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F28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C3C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6268A0D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3D8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D507D96">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教学用铅酸蓄电池充电器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855D">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单充阀控式铅蓄电池或单充</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可调内阻电池或组合式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68C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14E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3AF99F9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7A3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1D4936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钢直尺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854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200mm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DC4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E48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2F9D804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990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9A0EDE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钢直尺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6B9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600mm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70A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D93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777056F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49E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043A59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钢卷尺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A9A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4EA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041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盒</w:t>
            </w:r>
          </w:p>
        </w:tc>
      </w:tr>
      <w:tr w14:paraId="5DB42BB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36C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7E422F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游标卡尺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DE1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150mm,0.02mm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4AD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DFF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把</w:t>
            </w:r>
          </w:p>
        </w:tc>
      </w:tr>
      <w:tr w14:paraId="3D6C4C7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FA7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AEA965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游标卡尺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C1A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150mm,0.05mm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3E0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A44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把</w:t>
            </w:r>
          </w:p>
        </w:tc>
      </w:tr>
      <w:tr w14:paraId="396CF4D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8C7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40DD90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外径千分尺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E21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0mm～25mm,0.01mm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FE1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B69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2F6AC36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D09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7055CE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数显游标卡尺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02F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150mm,0.01mm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F1B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00C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把</w:t>
            </w:r>
          </w:p>
        </w:tc>
      </w:tr>
      <w:tr w14:paraId="0A0DB0F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979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6C7633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电子天平</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2F1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100g,0.0lg</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C68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E3E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7CC593E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F55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110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BBFE39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电子天平</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A4D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1000g,0.1g</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431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37D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1B54123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931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111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3F70CC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金属槽码</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89D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10g×1，20g×2，50g×2，200g×1，另附10g金属槽码盘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CF4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30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C1F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3D5740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0E5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112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0BA0F1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数字计时器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20E9">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位及以上，数据存贮，显示：10个挡光间隔时间、10周振动、n次振动时间总和、加速度计时三个时间、自由落体时间不少于二个、二路光电门分别计二个挡光时间(对碰、追碰),有光电门接口和电磁铁接口，统一接口</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A2A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928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5B7A77C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578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113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D0D351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数字计时器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7857">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位及以上，数据存贮，显示：10个挡光间隔时间、10周振动、n次振动时间总和、加速度计时三个时间、自由落体时间不少于二个、二路光电门分别计二个挡光时间(对碰、追碰),有光电门接口和电磁铁接口，统一接口。显示对应间隔时间的平均速度、加速度、碰撞计时四个平均速度；电磁铁可调释放延时补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4C1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690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2F07A81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B2C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114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53484E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频闪光源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98C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25Hz,50Hz,100Hz</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867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068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051E994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EED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115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26A2D0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节拍器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EC8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电子式或机械式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12F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F7B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1DAA93B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D84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116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EC9670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沙漏</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F5E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4C9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12A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61E3F44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703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117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267CBD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数字测温计</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31B4">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集成温度传感器， 一50℃~+150℃,分辩率0.1℃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359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EF3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7EDADA66">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B33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118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13A6E1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电子体温计</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DB9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38B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BCE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支</w:t>
            </w:r>
          </w:p>
        </w:tc>
      </w:tr>
      <w:tr w14:paraId="10CCFB3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D8D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119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403F4E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绝缘电阻表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901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500V</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7E6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5CB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2C8C531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E3F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120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078F31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多用电表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F30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指针式，不低于2.5级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25E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67E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138C338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67A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121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335A5C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多用电表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CF15">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数字式，3-1/2位，电压、电流、电阻、温度测试、电容、二极管测试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BA4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31E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4A21524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B45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122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481815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多用电表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3EA1">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数字式，4-1/2位，电压、电流、电阻、温度测试、频率测试、电容、二极管测试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C39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0DF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794A53F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99C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123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860B7E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交流电流表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950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2.5级，毫安级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388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9D4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只</w:t>
            </w:r>
          </w:p>
        </w:tc>
      </w:tr>
      <w:tr w14:paraId="5E3675B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C84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124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1F0C17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演示电流电压表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D4E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2.5级，检流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205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483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347EE43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D2C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793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演示微电流电阻表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CDB5">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微量直流检流，直流电压、电阻测量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1B7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9D8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2387FF7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3C1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126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797F2F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教学示波器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E30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DC 5MHz,扫描范围：10Hz~100kHz</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DFF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1EA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212B01D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2BB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127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D1B494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示波器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D5A3">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通用二踪。采样频率不低于20MHz</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E8A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57C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49C48C5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E07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128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F5A79B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电阻箱</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84C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四位99990,0.5级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6FC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715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5162A8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559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129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B8D418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电阻箱</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3AA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六位99999.90,0.1级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710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B1B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28F8C3B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6F2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7A7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微电流放大器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CF4F">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多路输入档。一路为毫伏级，低阻抗输入，放大倍数约一千倍。两路用于传感器，分别为电流型放大输出和电压型放大输出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DEB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751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4F30088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946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131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4EEE14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湿度计</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D9D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443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B29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6DA665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EFB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132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4C30F8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空盒气压表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77C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800hPa～1060hPa,1hPa;误差≤2.0hPa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51B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D42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5BCCC5B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4E1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133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F9990F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露点测定器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6D1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BC3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6AB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86167C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AEF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134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700501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量角器(圆等分器 )</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B91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850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25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613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414D67E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C09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135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008619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气垫导轨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0D9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不小于1200mm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56C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050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05EE720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4A4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136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804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小型气源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1227">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气压不小于5kPa,低噪声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4CD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8B2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01D7C0A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BB7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137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CE7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自由落体实验仪</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0F6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F82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C13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7558DC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553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138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EF14FD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碰撞实验器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491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EC9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textDirection w:val="tbRlV"/>
          </w:tcPr>
          <w:p w14:paraId="5033428F">
            <w:pPr>
              <w:jc w:val="center"/>
              <w:textAlignment w:val="top"/>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0851730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9DF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139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9B7D8A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冲击摆实验器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E93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09B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1BD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554725C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6B4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140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3535E5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运动频闪观测仪</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2E2D">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频闪光源25Hz、50Hz,可实时观测运动物体图像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CFB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1AD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638BAC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37A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141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1C09C8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向心力演示器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041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指针式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E23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9B2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2CCCCEC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460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142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4ACFBA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向心力演示器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E3D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数显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4F8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B92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2A16AF46">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EFE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143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1EB628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向心力实验器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3D5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127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965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0A7FC9B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4A9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144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C58E78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凹凸桥演示器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028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321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33D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8AFD6A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078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145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EB438E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演示力矩盘</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FE0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C7F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E7B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16C3532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086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146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BB7D68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波动演示器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689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帘式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B3D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634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4447142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8A6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147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B8DD9C7">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弹簧振子振动图像描绘器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A25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自动稳定走纸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97E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F3F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4BA1FD5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933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148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26C761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简谐振动投影演示器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A58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6FB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707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10DBC97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A5A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149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612403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匀速圆周运动投影器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4C2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CFB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29A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4901272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4EE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1CF588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单摆组</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97D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5个摆球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F19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30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1FE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组</w:t>
            </w:r>
          </w:p>
        </w:tc>
      </w:tr>
      <w:tr w14:paraId="185C163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EEF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2AA80E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声传播演示器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E5A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AFC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347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E30933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6C3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8FF2E1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量热器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6DF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255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30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6A2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F4893D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1C2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0BA826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内聚力演示器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AF37">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有挤压扳动器和刮削器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CDF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6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569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BC79B86">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A22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475EE1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爆燃器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6CF0">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酒精点火，透明盒，附电子点火器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632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C38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D4EA80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327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0E4681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机械能热能互变演示器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B3B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B2F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D3B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DC118F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1D7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1EB4D0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金属线膨胀演示器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AE7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9DF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670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6F43018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930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1CFB65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固体缩力演示器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DCD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21E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7DF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81ACCA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22F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36E9FD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热传导演示器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AED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CBD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313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0B057F1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AB0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DFD3EC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气体做功内能减少演示器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5ED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用热敏电阻演示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294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142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EB8F52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C6B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160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D4E8C7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油膜实验器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04C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3F1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AB7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9E99F1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18F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161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6952689">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浸润和不浸润现象演示器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45E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DA3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E46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10121C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451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162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98EA62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液体表面张力演示器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9F9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33F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FD0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2A3F0F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65D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163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18069B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液体表面张力实验器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B7F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6DE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FAA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907E9B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BCB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164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11439E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毛细现象演示器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FAD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7C5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CD4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810A85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DF7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165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086E11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伽尔顿板(道尔顿板 )</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118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53C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586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761BA74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E19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166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DDE563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气体定律实验器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DEB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005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D52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3423BB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67C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167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7BA132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玻意耳定律演示器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4C4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906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673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F6C385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F6B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168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32D271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盖 · 吕萨克定律演示器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ED8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771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00BF4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A5F43D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BDB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169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DAB9C8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气压模拟演示器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7F0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A59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56E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B41B57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ACC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170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B75534D">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饱和水汽膨胀液化演示器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8B20">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透明容器内能承受3个以上大气压，成雾明显，使用安全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FC2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E35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DBF0DA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532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171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B9015C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气体定律演示器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1F6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90F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509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EAD6CE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E63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172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D78ACD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液体对流演示器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F5D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4DF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5E8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5522E6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A33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173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0CE63F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露点测定器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30B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B1A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A3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21E91EB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66B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174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DE801F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萘的溶解于凝固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94D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D59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1A6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B530CD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A36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175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19A5C1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指针验电器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03B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带法拉第圆筒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7EC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C96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对</w:t>
            </w:r>
          </w:p>
        </w:tc>
      </w:tr>
      <w:tr w14:paraId="727B0BE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4E4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176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6EDCCB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感应起电机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496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AA7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056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73BD13F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23E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177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CC8218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枕形导体</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733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F63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CAF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副</w:t>
            </w:r>
          </w:p>
        </w:tc>
      </w:tr>
      <w:tr w14:paraId="5E5C094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08A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178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8A3C00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演示线路实验板</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6CB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高中演示组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18F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8B8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25CD61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D14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179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03FFD4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保险丝作用演示器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856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38A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E776D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2B192A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C57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180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045BF5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范氏起电机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9C2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F2A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44C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24E9C21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EB7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181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4AA3EF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球形导体</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3F5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022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92F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60D63BB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CF5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182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C059EC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验电器连接杆</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507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7A9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028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622BCE4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0A1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183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5B0BA4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移电球(验电球)</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801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14E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79D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6770C97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7F7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184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5F4971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验电羽</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F99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5FF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C42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对</w:t>
            </w:r>
          </w:p>
        </w:tc>
      </w:tr>
      <w:tr w14:paraId="03FF216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068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185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761EDF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验电幡</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D7E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5CE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731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EEF784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60E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186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1DBD76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尖形布电器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2AB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DE3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F89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424DAB4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35A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187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00EFA7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正负电荷检验器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559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C65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82E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2B091B7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E04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188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B2C287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静电实验箱</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1D18">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避雷针原理、静电屏蔽、静电除尘、静电植绒、静电乒乓、静电转轮等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C7C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A63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6264B9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4D6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189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4E0414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金属网罩</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BDF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441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11F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1B63A9D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4D0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190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53D30F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电荷间作用力演示器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B0A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B78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60F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EF67F0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9F9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191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42F464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电荷间作用力实验器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509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ACD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15A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2F3BCE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155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192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834589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库仑定律演示器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A41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C6E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2A5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7922DE5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857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193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9B90DF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电场线演示器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8DA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922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19F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E13CA96">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06A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194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B19417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电势演示仪</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D5F0">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电势、电势差、等势面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9DA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795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51BF6C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8E2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195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14B190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等势线描绘实验器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CD7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导电玻璃型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CBF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9E2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BF1630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539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196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F5C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平行板电容器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487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E15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046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E03239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26B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197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0A60">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电场中带电粒子运动模拟演示器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B189">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模拟电场中带电粒子加速、偏转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D29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296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DE0F1C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C7B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198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645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常用电容器示教板</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DC8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电解电容器、云母电容器、陶瓷电容器、薄膜电容器、贴片电容器、微调电容器、可变电容器等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9A1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496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A8138E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449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199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EBC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常用电阻器示教板</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BF89">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定值电阻(碳膜电阻、金属膜电阻、绕线电阻、水泥电阻等)、可变电阻(电位器等)、特殊电阻(热敏电阻、光敏电阻等)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751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F11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9114B4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85F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725DCA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演示可调内阻电池</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197C">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气压调节式及其改进型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347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063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00EAB83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C3B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AAA544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阴极射线管</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189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磁效应管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B96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91F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16E95A0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C17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D1031D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阴极射线管</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99F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示直进管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B46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4DD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支</w:t>
            </w:r>
          </w:p>
        </w:tc>
      </w:tr>
      <w:tr w14:paraId="026BE61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321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2A3690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阴极射线管</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F5B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机械效应管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4B7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B6F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支</w:t>
            </w:r>
          </w:p>
        </w:tc>
      </w:tr>
      <w:tr w14:paraId="377013D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9D1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59D7DF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阴极射线管</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DED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静电偏转管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858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A12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支</w:t>
            </w:r>
          </w:p>
        </w:tc>
      </w:tr>
      <w:tr w14:paraId="3A8229B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DBD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922044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条形强磁体</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522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磁感应强度≥0.8T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62E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F46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16B1C316">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A56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1559D2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蹄形强磁体</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1FB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磁感应强度≥0.8T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DF8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87F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095F60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446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102ED6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强磁针</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B8F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高磁能积磁体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5E1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CA6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4873836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FF7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25A2219">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通电平行直导线</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相互作用演示器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7B4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0C0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DE6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B2D5EF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36C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7C7946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电流天平</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E0B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FAC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BEA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83BD446">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799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210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957FB3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安培力演示器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31C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3BC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2EF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5913F4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2FE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211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73F3FC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安培力实验器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ECB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5F6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313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49970D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49A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212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08BB9E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自感现象演示器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A93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ABC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E15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6112452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E5A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213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91D34A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电磁感应演示器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906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591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FCF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FADEC8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69A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214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30F60D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楞次定律演示器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0BA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开口环、闭口环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6DA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26E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BE3C76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F1F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215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5AFB3B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电磁阻尼演示器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48F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BE5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815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06364D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316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216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29DA1F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动能发电手电筒</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55F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F33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F44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2E4750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A64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217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012299E">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单匝线圈电机原理演示器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382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使用高磁能积磁体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B44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864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2D47858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855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218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7D67A5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三相电机原理演示器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233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3DF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0A2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70B45A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A11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219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F63137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手摇三相交流发电机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D43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043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871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7E5028A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307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220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627FF3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三线电子开关</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753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C26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textDirection w:val="tbRlV"/>
          </w:tcPr>
          <w:p w14:paraId="5C6A6845">
            <w:pPr>
              <w:jc w:val="center"/>
              <w:textAlignment w:val="top"/>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205C730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5A2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221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50BDBA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交流电路特性演示器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74E4">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大电感、小电感，大电容、小电容，电阻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011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textDirection w:val="tbRlV"/>
          </w:tcPr>
          <w:p w14:paraId="539E0716">
            <w:pPr>
              <w:jc w:val="center"/>
              <w:textAlignment w:val="top"/>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1D54C47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222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222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DEA0C9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可拆变压器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1EC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FA2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5F3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18F245E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315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223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732B0F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小型变压器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679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337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658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8338D0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F1E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224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49934D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变压器原理说明器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1EC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增加调压变压器功能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8AA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9F6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401CF6B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FA8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225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3596D6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日光灯原理演示器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FDD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电感式镇流器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78B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8BF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5BE7B2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73E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226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DAA91B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洛伦兹力演示器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530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有洛伦兹力管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C5B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813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71D3918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671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227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D376D3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电子束演示器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D9B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6A4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994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06182FD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6B2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228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AF9AAD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阴极射线演示器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A72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热阴极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4ED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67E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07A6F11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0A1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229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E57654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电学元件黑箱</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6645">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三个接点，两个元件(电池、电阻、二极管均可更换)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957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895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F6A79D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0DD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466918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低气压放电管组</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F80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78F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B6A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0BA387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067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8F08308">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光的折射全反射实验器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47C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F20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52A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D8C3DB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B00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A820CE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光的干涉衍射偏振演示器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76C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CA0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F56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7D8C37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8E3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186369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激光光学演示仪</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426B">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几何光学和物理光学实验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0CC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8FE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11040BA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1F6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E38F64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微型物理光学观察器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AD11">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半导体激光器，光的干涉、多种衍射(单缝、多缝、圆孔、异形孔、单丝、圆屏、刀口等)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D29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67E93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013FFD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D40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E4D1F1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双缝干涉实验仪</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800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FE5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2C8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1569AC7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B5D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E35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牛顿环</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401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59A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206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7C3C279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A35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992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光导纤维应用演示器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DE0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488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C5A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185428E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69A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6AF72E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光的偏振观察器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E95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起偏片、检偏片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8E3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FD9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4DD57A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DB7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239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F43C1B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手持直视分光镜</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253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FE6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4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C7A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21AFBCC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0F1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240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148885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棱镜分光镜</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245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带波长分度尺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834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53B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6CE8AC7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3CE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241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A50CAC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光谱管组</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B68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F14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983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E9820F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7C6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242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34545E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钠的吸收光谱演</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67C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0F3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E08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2702309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8F6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243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C83C64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光电效应演示器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4E0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带光源和锌板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184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E26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32F0D9F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3C0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244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35B327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光电效应演示器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BEB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光电管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7EE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76E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11422CF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843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245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21C54D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液压机模型</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46F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0A8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27B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0323959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B55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246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E5AFB7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磁分子模型</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A19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F46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3E1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ADDA24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012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247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07A1EF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离心机械模型</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BF49">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节速器、干燥器、分离器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9DF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8DA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1B55CE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1F7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248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5D78AB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晶体空间点阵模型</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0FB9">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食盐，金刚石，石墨，明矾，石英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4E8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BBE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C5E0DA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FF1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249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CB6341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蒸汽机模型</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06F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吹动式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407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460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4F975E7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9EF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B7DFDC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蒸汽轮机模型</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96F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吹动式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458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676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0C349A1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835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11552B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燃气轮机模型</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8F7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可动模型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28C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06F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24F7C3C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49C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F1F0C8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机械机构模型</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5861">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曲柄摇杆机构、双曲柄机构、双摇杆机构、曲柄滑块机构、凸轮机构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DCC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D8A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F081B4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745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DB3DF0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机械传动模型</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2816">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含齿轮传动、皮带传动、链传动、蜗轮蜗杆传动、摩擦轮传动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BCB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7C1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559B6B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4EE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88593C2">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高中物理必修模块教学挂图</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309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456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C3F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327AE8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36B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9AE9144">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高中物理系列1选</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修模块教学挂图</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704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562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184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82103B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22C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20215F5">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高中物理系列2选</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修模块教学挂图</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70C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CAF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E59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24BAE4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787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A59A952">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高中物理系列3选</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修模块教学挂图</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43E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276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7AB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104D01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D3C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3AD37C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简明物理学史挂图</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542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E4B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AF2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EF3FBD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EBD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04E9E61">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实验规范操作和安全要求</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681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D4B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05B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4F7813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DEA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260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07B656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初中物理实验参考书</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6F0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新课程教材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5E9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240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8B71816">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D9B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261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3EF7EA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初中物理实验手册</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C8C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新课程教材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DF1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0E8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92CC1D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2D9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262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DC1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高中物理实验参考书</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20B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新课程教材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9BE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757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B04B05F">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C32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263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6C825B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高中物理实验手册</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51B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新课程教材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27B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CDF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A04EB1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697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264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62DDCA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传感器器材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FD81">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各种温度传感器(双金属片、热电偶、铂电阻、铜电阻、热敏电阻、半导体、感温铁氧体)、光敏电阻、硅光电池、光电二极管、湿敏电阻、干簧管、霍尔元件等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FF2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FE3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0B63F12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BA8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265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EE2621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晶体和非晶体样品</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EC2B">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石英晶体，食盐晶体，云母片，明矾晶体，硫酸铜晶体；玻璃，松香，蜂蜡，沥青，橡胶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70D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35F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282DC8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048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266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0029B5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滚珠盒</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6D1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自行车小滚珠200粒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B4E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479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盒</w:t>
            </w:r>
          </w:p>
        </w:tc>
      </w:tr>
      <w:tr w14:paraId="1C275BB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78A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267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F304C1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演示实验器材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D2AC">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云母片、电解电容器(25V,470μF～1000μF)、三极管、驻极体话筒、光声控延时开关、100kΩ可变电阻、1kQ电阻、74LS00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707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F44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EA74B5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23B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268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52D15B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学生实验纸材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7A4D">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打点纸带、墨粉纸、坐标纸、复印纸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3B3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30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0EB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AE2B986">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CD9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269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FC1DC1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频闪观察器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361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298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8BF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04D9AC6">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2F7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270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8CA8F8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电工刀</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426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EEA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53A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EDD2CB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744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271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DF6E4B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手摇钻</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012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木工工具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721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6B2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7673004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831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272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3DAAAA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木锉</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1E3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250mm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EB1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5F9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2601965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EE3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273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35366B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木工锯</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BCE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带把手锯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4EE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C21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0FDF08D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6D6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274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0EE737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木工锤</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B7A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0.25kg</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C5D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3A8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023538D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47D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275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53DCB7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铯</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09C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粗、细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B22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18E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4EB9E7D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A63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276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51531D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斧</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9DE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48B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351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45903B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251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277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FAC35C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钢手锯</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9BC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62A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8E7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6913084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735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278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FDE191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剥线钳</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CEC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E82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6F8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D2F9EB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B3D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279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8A44AA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钢丝钳</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C82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250mm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FA3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3D8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E8CB14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03B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280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2C0329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手锤</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BD2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24F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5F7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5FA6C4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3DE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281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91CC59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錾子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A3B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DF2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B97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36B6ECB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727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282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B41C88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锉刀(平板)</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29E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250mm,带柄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244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B9A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1068D46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EED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283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60FBB0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三角锉刀</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EA2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250mm,带柄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924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AE3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7A9335A8">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43D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284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9885A5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什锦锉</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8F8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1CA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678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02AEA9B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ACE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285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67C5A7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活扳手</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F1A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150mm或250mm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394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1AC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2EFD1F4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23C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286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045EFD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手剪</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0DFF">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钳工工具，剪铁皮、铜片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DD0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9E5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613E4DD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B0C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287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DC1326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直角尺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27E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钳工工具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8D9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D92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39B0FBD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A2B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288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35092A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电烙铁</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036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60W,20W,橡胶线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F64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013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支</w:t>
            </w:r>
          </w:p>
        </w:tc>
      </w:tr>
      <w:tr w14:paraId="46121A6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328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289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DD3E00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平口钳</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A5A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80mm,台钻上用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EB8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49E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604F26D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6BB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290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F33A5B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台钻</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B73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φ1mm~φ13mm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F4D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8EB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1FB8947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E12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291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10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手电钻</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261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φlmm~φ13mm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B63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F3B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69BA5D7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945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292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E0D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钻头</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1E0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φ1mm~φ13mm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FDE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2F4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7E19F03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566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293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DDA86E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砂轮机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B86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单相或三相，300W,3000r/min,含安全护板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4AA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0FA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r>
      <w:tr w14:paraId="22FDBD0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161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294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19DC08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烙铁架</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45B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62B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036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006DC9A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DA9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295</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7843E8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油石</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F65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粗细两面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FF82">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C0F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B1D736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4FB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296</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47E3795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冲子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CFB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ED5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D71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69AAA4D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1B7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297</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5D5AF7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水平尺</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EA87">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三水泡型，水平面工作长度160mm～250mm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1E4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4C4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1B1714B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BE0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298</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41A08C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工作服</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36F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903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144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件</w:t>
            </w:r>
          </w:p>
        </w:tc>
      </w:tr>
      <w:tr w14:paraId="2BEB345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59F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299</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55FE333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护目镜</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4C43">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防强光，上部衰减10倍～20倍，下部透射比≥75%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C0D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59F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3C1B6B4">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996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300</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203B9D2E">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护目镜</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A00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防机械冲击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6CC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429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4A7CF06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169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301</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B3A399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手套</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792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棉纱线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2D2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C6F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双</w:t>
            </w:r>
          </w:p>
        </w:tc>
      </w:tr>
      <w:tr w14:paraId="1F36290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8FE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302</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C19D31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高压绝缘凳</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358A">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绝 缘 耐 受 电 压 不 小 于120kV</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A3C5">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A47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0D48933C">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5F1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303</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71C6895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重心板</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C1D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89E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5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3A3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CB6D18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8C8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304</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01A121C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重锤</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829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04D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30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AEE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028B926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567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CAB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木板</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E6B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力的合成分解用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82B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30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CC0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68C99D03">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3F2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9E1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磁吸式电学演示箱</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E7C2">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9F2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815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656624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054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BE5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三脚架</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5B1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8E8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F1C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3607BD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56C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C88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单摆架</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72F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613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0BD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CDADA1E">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5A9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D587">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交直流电机解析说明器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454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4C5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516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11D5ADE2">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398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69E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方形线圈</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32B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A14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30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EF9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002965B">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90F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466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F光源</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87B5">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BBB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30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A4F7">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D875F41">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A1C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677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平面镜</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0EF9">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478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30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55C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4DDAAFC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354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313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3EEB">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玻璃板</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3D3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9EA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30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452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568C458A">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803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1DAF">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中学几何光学探究演示仪</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7EE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51BE">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FB6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套</w:t>
            </w:r>
          </w:p>
        </w:tc>
      </w:tr>
      <w:tr w14:paraId="38B58CF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7B9A">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BC3A">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喷壶</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9DE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4E4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C7B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4DDDB7E9">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5866">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316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33C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手电筒</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A760">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AD0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4AD4">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7EB13716">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40FD">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317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F498">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游标卡尺模型</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7B76">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10等分20等分各一个50等分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660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3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8B3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687A8E00">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7D3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318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51E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螺旋测微器模型</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E0B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AED9">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2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B0B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54E07C65">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548B">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7658">
            <w:pPr>
              <w:textAlignment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眼睛与眼镜模拟演示器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B48C">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B2E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562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6742A746">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05E8">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F907">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眼睛模型</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C85D">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DEBC">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297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010C93AD">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650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A141">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交流发电机模型</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C5FF">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标准款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89F0">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9CB3">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r w14:paraId="00F7FA87">
        <w:tblPrEx>
          <w:tblCellMar>
            <w:top w:w="0" w:type="dxa"/>
            <w:left w:w="108" w:type="dxa"/>
            <w:bottom w:w="0" w:type="dxa"/>
            <w:right w:w="108" w:type="dxa"/>
          </w:tblCellMar>
        </w:tblPrEx>
        <w:trPr>
          <w:trHeight w:val="70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00E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322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1E53">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毛巾</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24E4">
            <w:pP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摩擦力包木板实验用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7111">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50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344F">
            <w:pPr>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个</w:t>
            </w:r>
          </w:p>
        </w:tc>
      </w:tr>
    </w:tbl>
    <w:p w14:paraId="5FEDE2D0"/>
    <w:p w14:paraId="56AC8BD7">
      <w:pPr>
        <w:spacing w:line="360" w:lineRule="auto"/>
        <w:outlineLvl w:val="0"/>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注：以上参数为参考指标参数的最低要求，均无品牌指向性，投标人可根据实际情况进行选择。</w:t>
      </w:r>
    </w:p>
    <w:p w14:paraId="7D7AEE29">
      <w:pPr>
        <w:spacing w:line="360" w:lineRule="auto"/>
        <w:outlineLvl w:val="0"/>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 xml:space="preserve">二、施工安装要求： </w:t>
      </w:r>
    </w:p>
    <w:p w14:paraId="0663FC37">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所投货物（服务）必须满足以上技术参数、配置（功能）要求且不得低于参考要求，在“投标响应”栏必须明确填报所投货物（服务）详细的型号配置及技术指标。所投货物（服务）报价包括设备、辅助材料、人工、机械、运输、存储、安装、调试、保险、劳保、各种税费、专利技术及质保期间一切费用等。</w:t>
      </w:r>
    </w:p>
    <w:p w14:paraId="1F131235">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2、所有投标货物（服务）的生产、制造、安装等各项技术标准应当符合国家（强制性）标准、各项规范要求；国家没有相应标准、规范的，可使用行业标准、规定；非标设备按约定的技术要求和规范。</w:t>
      </w:r>
    </w:p>
    <w:p w14:paraId="6AED7120">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质量保证：所投货物（服务）必须是全新的、未使用过的、原包装未拆封的正品商品，完全符合采购设备规定的质量、规格和性能的要求，投标方应保证其提供的货物（服务）在正确安装、正常使用和保养条件下，在规定的使用寿命期内具有满意的性能。签订合同时需提供原厂出具的质量保证及售后的服务承诺函原件。产品质量、技术性能等有误导、虚假行为给采购人造成损失的责任由投标人承担。</w:t>
      </w:r>
    </w:p>
    <w:p w14:paraId="2A4BCA1E">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4、供应商负责提供质检报告等相关技术资料及日常使用、维护保养培训。</w:t>
      </w:r>
    </w:p>
    <w:p w14:paraId="0BC542D5">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5、供货及安装工期：30天。</w:t>
      </w:r>
    </w:p>
    <w:p w14:paraId="3B53EFD0">
      <w:pPr>
        <w:spacing w:line="360" w:lineRule="auto"/>
        <w:outlineLvl w:val="0"/>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四、质保及售后服务要求：</w:t>
      </w:r>
    </w:p>
    <w:p w14:paraId="30E7B6BD">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 质保标准</w:t>
      </w:r>
    </w:p>
    <w:p w14:paraId="311CC311">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对项目中所有提供的产品遵照厂家质保期限为三年（含系统软件升级），对系统提供终身技术支持及3年的免费上门服务。</w:t>
      </w:r>
    </w:p>
    <w:p w14:paraId="210668F5">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对软件升级提供免费培训及技术支持。</w:t>
      </w:r>
    </w:p>
    <w:p w14:paraId="06D6A533">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对所提供的配套设备按照相应的售后服务内容进行保修。对设备质量和安装质量涉及人身安全的，投标人应给出书面的安全保证。</w:t>
      </w:r>
    </w:p>
    <w:p w14:paraId="5514DD61">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本项目所有设备、配件及安装辅材必须为正规生产厂家生产的合格产品，设备附表涉及产品三年质保。中标方需提供三年免费上门维护服务，故障响应时间小于1小时，故障解决时间小于12小时；定期进行巡检，每年不少于2次。</w:t>
      </w:r>
    </w:p>
    <w:p w14:paraId="36C9E47B">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 中标人在质保期内每学期开学前需到校对设备进行检查维护、维修，以保证师生在开学时能正常使用。在质保期内，中标供应商应负责对其提供的设备进行现场维修、损坏件更换，不收取额外费用。</w:t>
      </w:r>
    </w:p>
    <w:p w14:paraId="225B174B">
      <w:pPr>
        <w:spacing w:line="360" w:lineRule="auto"/>
        <w:outlineLvl w:val="0"/>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五、培训服务及要求</w:t>
      </w:r>
    </w:p>
    <w:p w14:paraId="4728FEBE">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1、对实验员及教师进行产品使用、实验教学等方面的培训；</w:t>
      </w:r>
    </w:p>
    <w:p w14:paraId="654422EE">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2、对实验教学中的公开课等提供特定专项培训，包括实验设计，过程指导；</w:t>
      </w:r>
    </w:p>
    <w:p w14:paraId="62801609">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3、能够根据学校要求改进实验装置和教具并协助开发设计实验；</w:t>
      </w:r>
    </w:p>
    <w:p w14:paraId="75CA0AA0">
      <w:pPr>
        <w:spacing w:line="360" w:lineRule="auto"/>
        <w:outlineLvl w:val="0"/>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六、安装调试及验收</w:t>
      </w:r>
    </w:p>
    <w:p w14:paraId="02C469B1">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1.设备采购</w:t>
      </w:r>
    </w:p>
    <w:p w14:paraId="2C3FFE05">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标人在签订合同后，严格按照合同清单采购及供货。严禁擅自更改，若发现有设备品牌与投标文件中不符，并要求无条件更换，同时承担相关责任。无论何种原因，出现不合格材料、器材、设备用于工程的情况，后果均由中标方承担。</w:t>
      </w:r>
    </w:p>
    <w:p w14:paraId="0B2AA5FA">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2.安装调试</w:t>
      </w:r>
    </w:p>
    <w:p w14:paraId="1D6BA12D">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标人应根据用户需要，在规定的时间内，配合相关单位，保质保量完成设备的安装、调试及投入运行。设备安装、调试所需的工具、仪表及安装材料由投标人自行解决。施工过程应严格执行相关的强弱电施工规范，并保证施工安全。</w:t>
      </w:r>
    </w:p>
    <w:p w14:paraId="694FC126">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3.验收</w:t>
      </w:r>
    </w:p>
    <w:p w14:paraId="5DA3CBD2">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中标人在确保系统稳定性的前提下，学校组织验收小组对系统进行验收，在完全达到设计要求、招标要求的前提下共同签字确认。</w:t>
      </w:r>
    </w:p>
    <w:p w14:paraId="16D74A81">
      <w:pPr>
        <w:spacing w:line="360" w:lineRule="auto"/>
        <w:outlineLvl w:val="0"/>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 xml:space="preserve">七、其它要求 </w:t>
      </w:r>
    </w:p>
    <w:p w14:paraId="34B69C7D">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1、该项目为交钥匙工程，供应商须提供满足或高于参数要求的产品，并负责送货、安装、调试，培训直至验收。</w:t>
      </w:r>
    </w:p>
    <w:p w14:paraId="3DE1BB96">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2、为保证安装的产品能安全使用，供应商必须到现场勘察设计；对在安装中可能出现的问题，必须有详细的应对方案。由于供应商勘察不认真，导致的各类费用增加或各类事故，由供应商自行负责。</w:t>
      </w:r>
    </w:p>
    <w:p w14:paraId="6E57FE20">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3、供应商负责提供质检报告等相关技术资料及日常使用、维护保养培训。</w:t>
      </w:r>
    </w:p>
    <w:p w14:paraId="3E810DE1">
      <w:pPr>
        <w:widowControl w:val="0"/>
        <w:kinsoku/>
        <w:autoSpaceDE/>
        <w:autoSpaceDN/>
        <w:adjustRightInd/>
        <w:snapToGrid/>
        <w:spacing w:line="360" w:lineRule="auto"/>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4、供应商承担项目中所需要的全部材料、配件和各类费用，负责办理与本项目相关的各类手续。</w:t>
      </w:r>
    </w:p>
    <w:p w14:paraId="4042B048">
      <w:pPr>
        <w:rPr>
          <w:color w:val="auto"/>
          <w:highlight w:val="none"/>
          <w:lang w:eastAsia="zh-CN"/>
        </w:rPr>
      </w:pPr>
    </w:p>
    <w:p w14:paraId="394F0F40">
      <w:pPr>
        <w:jc w:val="center"/>
        <w:rPr>
          <w:rStyle w:val="38"/>
          <w:rFonts w:hint="default" w:ascii="仿宋" w:hAnsi="仿宋" w:eastAsia="仿宋" w:cs="仿宋"/>
          <w:color w:val="auto"/>
          <w:sz w:val="28"/>
          <w:szCs w:val="28"/>
          <w:highlight w:val="none"/>
          <w:u w:val="none"/>
          <w:lang w:eastAsia="zh-CN"/>
        </w:rPr>
      </w:pPr>
    </w:p>
    <w:p w14:paraId="25EC4ACE">
      <w:pPr>
        <w:rPr>
          <w:rFonts w:ascii="仿宋" w:hAnsi="仿宋" w:eastAsia="仿宋" w:cs="仿宋"/>
          <w:color w:val="auto"/>
          <w:highlight w:val="none"/>
          <w:lang w:eastAsia="zh-CN"/>
        </w:rPr>
      </w:pPr>
    </w:p>
    <w:p w14:paraId="5A278B47">
      <w:pPr>
        <w:pStyle w:val="9"/>
        <w:rPr>
          <w:color w:val="auto"/>
          <w:highlight w:val="none"/>
          <w:lang w:eastAsia="zh-CN"/>
        </w:rPr>
      </w:pPr>
    </w:p>
    <w:p w14:paraId="710FA538">
      <w:pPr>
        <w:widowControl w:val="0"/>
        <w:overflowPunct w:val="0"/>
        <w:spacing w:line="221" w:lineRule="auto"/>
        <w:rPr>
          <w:rFonts w:ascii="仿宋" w:hAnsi="仿宋" w:eastAsia="仿宋" w:cs="仿宋"/>
          <w:b/>
          <w:bCs/>
          <w:color w:val="auto"/>
          <w:sz w:val="24"/>
          <w:szCs w:val="24"/>
          <w:highlight w:val="none"/>
          <w:lang w:eastAsia="zh-CN"/>
        </w:rPr>
      </w:pPr>
    </w:p>
    <w:p w14:paraId="5C893E58">
      <w:pPr>
        <w:pStyle w:val="9"/>
        <w:rPr>
          <w:color w:val="auto"/>
          <w:highlight w:val="none"/>
          <w:lang w:eastAsia="zh-CN"/>
        </w:rPr>
      </w:pPr>
    </w:p>
    <w:p w14:paraId="45354C0C">
      <w:pPr>
        <w:rPr>
          <w:color w:val="auto"/>
          <w:highlight w:val="none"/>
          <w:lang w:eastAsia="zh-CN"/>
        </w:rPr>
      </w:pPr>
    </w:p>
    <w:p w14:paraId="2ED9AB1D">
      <w:pPr>
        <w:pStyle w:val="9"/>
        <w:pageBreakBefore/>
        <w:spacing w:before="314" w:line="226" w:lineRule="auto"/>
        <w:jc w:val="center"/>
        <w:outlineLvl w:val="0"/>
        <w:rPr>
          <w:rFonts w:ascii="仿宋" w:hAnsi="仿宋" w:eastAsia="仿宋" w:cs="仿宋"/>
          <w:b/>
          <w:bCs/>
          <w:color w:val="auto"/>
          <w:spacing w:val="4"/>
          <w:sz w:val="30"/>
          <w:szCs w:val="30"/>
          <w:highlight w:val="none"/>
          <w:lang w:eastAsia="zh-CN"/>
        </w:rPr>
      </w:pPr>
      <w:bookmarkStart w:id="284" w:name="bookmark160"/>
      <w:bookmarkEnd w:id="284"/>
      <w:bookmarkStart w:id="285" w:name="bookmark159"/>
      <w:bookmarkEnd w:id="285"/>
      <w:bookmarkStart w:id="286" w:name="_Toc28055"/>
      <w:r>
        <w:rPr>
          <w:rFonts w:hint="eastAsia" w:ascii="仿宋" w:hAnsi="仿宋" w:eastAsia="仿宋" w:cs="仿宋"/>
          <w:b/>
          <w:bCs/>
          <w:color w:val="auto"/>
          <w:spacing w:val="4"/>
          <w:sz w:val="30"/>
          <w:szCs w:val="30"/>
          <w:highlight w:val="none"/>
          <w:lang w:eastAsia="zh-CN"/>
        </w:rPr>
        <w:t>第四章资格审查</w:t>
      </w:r>
      <w:bookmarkEnd w:id="286"/>
    </w:p>
    <w:p w14:paraId="6A128C53">
      <w:pPr>
        <w:spacing w:line="360" w:lineRule="auto"/>
        <w:ind w:left="549"/>
        <w:outlineLvl w:val="1"/>
        <w:rPr>
          <w:rFonts w:ascii="仿宋" w:hAnsi="仿宋" w:eastAsia="仿宋" w:cs="仿宋"/>
          <w:color w:val="auto"/>
          <w:sz w:val="24"/>
          <w:szCs w:val="24"/>
          <w:highlight w:val="none"/>
          <w:lang w:eastAsia="zh-CN"/>
        </w:rPr>
      </w:pPr>
      <w:bookmarkStart w:id="287" w:name="bookmark161"/>
      <w:bookmarkEnd w:id="287"/>
      <w:bookmarkStart w:id="288" w:name="_Toc18738"/>
      <w:r>
        <w:rPr>
          <w:rFonts w:hint="eastAsia" w:ascii="仿宋" w:hAnsi="仿宋" w:eastAsia="仿宋" w:cs="仿宋"/>
          <w:b/>
          <w:bCs/>
          <w:color w:val="auto"/>
          <w:spacing w:val="5"/>
          <w:sz w:val="24"/>
          <w:szCs w:val="24"/>
          <w:highlight w:val="none"/>
          <w:lang w:eastAsia="zh-CN"/>
        </w:rPr>
        <w:t>一、资格审查程序</w:t>
      </w:r>
      <w:bookmarkEnd w:id="288"/>
    </w:p>
    <w:p w14:paraId="235EEBFD">
      <w:pPr>
        <w:spacing w:line="360" w:lineRule="auto"/>
        <w:ind w:right="13" w:firstLine="50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 开标结束后，采购人或采购代理机构将根据《资格审查要求》中的规定，</w:t>
      </w:r>
      <w:r>
        <w:rPr>
          <w:rFonts w:hint="eastAsia" w:ascii="仿宋" w:hAnsi="仿宋" w:eastAsia="仿宋" w:cs="仿宋"/>
          <w:color w:val="auto"/>
          <w:spacing w:val="-1"/>
          <w:sz w:val="24"/>
          <w:szCs w:val="24"/>
          <w:highlight w:val="none"/>
          <w:lang w:eastAsia="zh-CN"/>
        </w:rPr>
        <w:t>对投标人进行资格审查，并形成资格审查结果。</w:t>
      </w:r>
    </w:p>
    <w:p w14:paraId="17C4A0DD">
      <w:pPr>
        <w:spacing w:line="360" w:lineRule="auto"/>
        <w:ind w:right="13" w:firstLine="501"/>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 投标人《资格证明文件》有任何一项不符合《资格审查要求》的，资格审查不合格，其</w:t>
      </w:r>
      <w:r>
        <w:rPr>
          <w:rFonts w:hint="eastAsia" w:ascii="仿宋" w:hAnsi="仿宋" w:eastAsia="仿宋" w:cs="仿宋"/>
          <w:b/>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3EAE0B2B">
      <w:pPr>
        <w:spacing w:line="360" w:lineRule="auto"/>
        <w:ind w:right="13" w:firstLine="501"/>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3 资格审查合格的投标人不足 3 家的，不进行评标。</w:t>
      </w:r>
    </w:p>
    <w:p w14:paraId="3E62AB33">
      <w:pPr>
        <w:spacing w:line="360" w:lineRule="auto"/>
        <w:ind w:left="549"/>
        <w:outlineLvl w:val="1"/>
        <w:rPr>
          <w:rFonts w:ascii="仿宋" w:hAnsi="仿宋" w:eastAsia="仿宋" w:cs="仿宋"/>
          <w:color w:val="auto"/>
          <w:sz w:val="24"/>
          <w:szCs w:val="24"/>
          <w:highlight w:val="none"/>
          <w:lang w:eastAsia="zh-CN"/>
        </w:rPr>
      </w:pPr>
      <w:bookmarkStart w:id="289" w:name="bookmark162"/>
      <w:bookmarkEnd w:id="289"/>
      <w:bookmarkStart w:id="290" w:name="_Toc13885"/>
      <w:r>
        <w:rPr>
          <w:rFonts w:hint="eastAsia" w:ascii="仿宋" w:hAnsi="仿宋" w:eastAsia="仿宋" w:cs="仿宋"/>
          <w:b/>
          <w:bCs/>
          <w:color w:val="auto"/>
          <w:spacing w:val="5"/>
          <w:sz w:val="24"/>
          <w:szCs w:val="24"/>
          <w:highlight w:val="none"/>
        </w:rPr>
        <w:t>二、资格审查要求</w:t>
      </w:r>
      <w:bookmarkEnd w:id="290"/>
    </w:p>
    <w:tbl>
      <w:tblPr>
        <w:tblStyle w:val="20"/>
        <w:tblW w:w="93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15"/>
        <w:gridCol w:w="1882"/>
        <w:gridCol w:w="5206"/>
        <w:gridCol w:w="1417"/>
      </w:tblGrid>
      <w:tr w14:paraId="347A1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8" w:hRule="atLeast"/>
        </w:trPr>
        <w:tc>
          <w:tcPr>
            <w:tcW w:w="815" w:type="dxa"/>
            <w:shd w:val="clear" w:color="auto" w:fill="D8D8D8"/>
            <w:vAlign w:val="center"/>
          </w:tcPr>
          <w:p w14:paraId="16C76965">
            <w:pPr>
              <w:pStyle w:val="28"/>
              <w:spacing w:line="276" w:lineRule="auto"/>
              <w:ind w:left="-2"/>
              <w:jc w:val="center"/>
              <w:rPr>
                <w:rFonts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序号</w:t>
            </w:r>
          </w:p>
        </w:tc>
        <w:tc>
          <w:tcPr>
            <w:tcW w:w="1882" w:type="dxa"/>
            <w:shd w:val="clear" w:color="auto" w:fill="D8D8D8"/>
            <w:vAlign w:val="center"/>
          </w:tcPr>
          <w:p w14:paraId="4853A37B">
            <w:pPr>
              <w:pStyle w:val="28"/>
              <w:spacing w:line="276"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审查因素</w:t>
            </w:r>
          </w:p>
        </w:tc>
        <w:tc>
          <w:tcPr>
            <w:tcW w:w="5206" w:type="dxa"/>
            <w:shd w:val="clear" w:color="auto" w:fill="D8D8D8"/>
            <w:vAlign w:val="center"/>
          </w:tcPr>
          <w:p w14:paraId="0B809E62">
            <w:pPr>
              <w:pStyle w:val="28"/>
              <w:spacing w:line="276"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审查内容</w:t>
            </w:r>
          </w:p>
        </w:tc>
        <w:tc>
          <w:tcPr>
            <w:tcW w:w="1417" w:type="dxa"/>
            <w:shd w:val="clear" w:color="auto" w:fill="D8D8D8"/>
            <w:vAlign w:val="center"/>
          </w:tcPr>
          <w:p w14:paraId="2B139D34">
            <w:pPr>
              <w:pStyle w:val="28"/>
              <w:spacing w:line="276"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6"/>
                <w:sz w:val="21"/>
                <w:szCs w:val="21"/>
                <w:highlight w:val="none"/>
              </w:rPr>
              <w:t>格式要求</w:t>
            </w:r>
          </w:p>
        </w:tc>
      </w:tr>
      <w:tr w14:paraId="1851C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1AA85802">
            <w:pPr>
              <w:pStyle w:val="28"/>
              <w:spacing w:line="276" w:lineRule="auto"/>
              <w:jc w:val="center"/>
              <w:rPr>
                <w:rFonts w:ascii="仿宋" w:hAnsi="仿宋" w:eastAsia="仿宋" w:cs="仿宋"/>
                <w:color w:val="auto"/>
                <w:sz w:val="21"/>
                <w:szCs w:val="21"/>
                <w:highlight w:val="none"/>
              </w:rPr>
            </w:pPr>
            <w:r>
              <w:rPr>
                <w:rFonts w:hint="eastAsia" w:ascii="仿宋" w:hAnsi="仿宋" w:eastAsia="仿宋" w:cs="仿宋"/>
                <w:bCs/>
                <w:color w:val="auto"/>
                <w:spacing w:val="-3"/>
                <w:sz w:val="21"/>
                <w:szCs w:val="21"/>
                <w:highlight w:val="none"/>
              </w:rPr>
              <w:t>1</w:t>
            </w:r>
          </w:p>
        </w:tc>
        <w:tc>
          <w:tcPr>
            <w:tcW w:w="1882" w:type="dxa"/>
            <w:vAlign w:val="center"/>
          </w:tcPr>
          <w:p w14:paraId="2C94ADBD">
            <w:pPr>
              <w:pStyle w:val="28"/>
              <w:spacing w:line="276" w:lineRule="auto"/>
              <w:ind w:right="-69"/>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8"/>
                <w:sz w:val="21"/>
                <w:szCs w:val="21"/>
                <w:highlight w:val="none"/>
                <w:lang w:eastAsia="zh-CN"/>
              </w:rPr>
              <w:t>满足《中华人民共和国政府采购法》第二十二条规定</w:t>
            </w:r>
          </w:p>
        </w:tc>
        <w:tc>
          <w:tcPr>
            <w:tcW w:w="5206" w:type="dxa"/>
            <w:vAlign w:val="center"/>
          </w:tcPr>
          <w:p w14:paraId="03FD8BBA">
            <w:pPr>
              <w:pStyle w:val="28"/>
              <w:spacing w:line="276" w:lineRule="auto"/>
              <w:ind w:left="-4" w:leftChars="-2"/>
              <w:rPr>
                <w:rFonts w:ascii="仿宋" w:hAnsi="仿宋" w:eastAsia="仿宋" w:cs="仿宋"/>
                <w:color w:val="auto"/>
                <w:sz w:val="21"/>
                <w:szCs w:val="21"/>
                <w:highlight w:val="none"/>
                <w:lang w:eastAsia="zh-CN"/>
              </w:rPr>
            </w:pPr>
            <w:r>
              <w:rPr>
                <w:rFonts w:hint="eastAsia" w:ascii="仿宋" w:hAnsi="仿宋" w:eastAsia="仿宋" w:cs="仿宋"/>
                <w:color w:val="auto"/>
                <w:spacing w:val="13"/>
                <w:sz w:val="21"/>
                <w:szCs w:val="21"/>
                <w:highlight w:val="none"/>
                <w:lang w:eastAsia="zh-CN"/>
              </w:rPr>
              <w:t>具体规定见“第一章 招标公告”</w:t>
            </w:r>
          </w:p>
        </w:tc>
        <w:tc>
          <w:tcPr>
            <w:tcW w:w="1417" w:type="dxa"/>
            <w:vAlign w:val="center"/>
          </w:tcPr>
          <w:p w14:paraId="18AD72FA">
            <w:pPr>
              <w:pStyle w:val="28"/>
              <w:spacing w:line="276" w:lineRule="auto"/>
              <w:ind w:left="-107" w:leftChars="-51" w:right="-21"/>
              <w:jc w:val="center"/>
              <w:rPr>
                <w:rFonts w:ascii="仿宋" w:hAnsi="仿宋" w:eastAsia="仿宋" w:cs="仿宋"/>
                <w:bCs/>
                <w:color w:val="auto"/>
                <w:spacing w:val="-4"/>
                <w:sz w:val="21"/>
                <w:szCs w:val="21"/>
                <w:highlight w:val="none"/>
                <w:lang w:eastAsia="zh-CN"/>
              </w:rPr>
            </w:pPr>
          </w:p>
        </w:tc>
      </w:tr>
      <w:tr w14:paraId="366FA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25" w:hRule="atLeast"/>
        </w:trPr>
        <w:tc>
          <w:tcPr>
            <w:tcW w:w="815" w:type="dxa"/>
            <w:vAlign w:val="center"/>
          </w:tcPr>
          <w:p w14:paraId="49D9D34E">
            <w:pPr>
              <w:pStyle w:val="28"/>
              <w:spacing w:line="276" w:lineRule="auto"/>
              <w:jc w:val="center"/>
              <w:rPr>
                <w:rFonts w:ascii="仿宋" w:hAnsi="仿宋" w:eastAsia="仿宋" w:cs="仿宋"/>
                <w:color w:val="auto"/>
                <w:sz w:val="21"/>
                <w:szCs w:val="21"/>
                <w:highlight w:val="none"/>
              </w:rPr>
            </w:pPr>
            <w:r>
              <w:rPr>
                <w:rFonts w:hint="eastAsia" w:ascii="仿宋" w:hAnsi="仿宋" w:eastAsia="仿宋" w:cs="仿宋"/>
                <w:bCs/>
                <w:color w:val="auto"/>
                <w:spacing w:val="-4"/>
                <w:sz w:val="21"/>
                <w:szCs w:val="21"/>
                <w:highlight w:val="none"/>
              </w:rPr>
              <w:t>1-1</w:t>
            </w:r>
          </w:p>
        </w:tc>
        <w:tc>
          <w:tcPr>
            <w:tcW w:w="1882" w:type="dxa"/>
            <w:vAlign w:val="center"/>
          </w:tcPr>
          <w:p w14:paraId="10A7B26B">
            <w:pPr>
              <w:pStyle w:val="28"/>
              <w:spacing w:line="276" w:lineRule="auto"/>
              <w:ind w:right="108"/>
              <w:jc w:val="center"/>
              <w:rPr>
                <w:rFonts w:ascii="仿宋" w:hAnsi="仿宋" w:eastAsia="仿宋" w:cs="仿宋"/>
                <w:color w:val="auto"/>
                <w:sz w:val="21"/>
                <w:szCs w:val="21"/>
                <w:highlight w:val="none"/>
              </w:rPr>
            </w:pPr>
            <w:r>
              <w:rPr>
                <w:rFonts w:hint="eastAsia" w:ascii="仿宋" w:hAnsi="仿宋" w:eastAsia="仿宋" w:cs="仿宋"/>
                <w:color w:val="auto"/>
                <w:spacing w:val="34"/>
                <w:sz w:val="21"/>
                <w:szCs w:val="21"/>
                <w:highlight w:val="none"/>
              </w:rPr>
              <w:t>营业执照等证明</w:t>
            </w:r>
            <w:r>
              <w:rPr>
                <w:rFonts w:hint="eastAsia" w:ascii="仿宋" w:hAnsi="仿宋" w:eastAsia="仿宋" w:cs="仿宋"/>
                <w:color w:val="auto"/>
                <w:spacing w:val="3"/>
                <w:sz w:val="21"/>
                <w:szCs w:val="21"/>
                <w:highlight w:val="none"/>
              </w:rPr>
              <w:t>文件</w:t>
            </w:r>
          </w:p>
        </w:tc>
        <w:tc>
          <w:tcPr>
            <w:tcW w:w="5206" w:type="dxa"/>
            <w:vAlign w:val="center"/>
          </w:tcPr>
          <w:p w14:paraId="71FB6390">
            <w:pPr>
              <w:pStyle w:val="28"/>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投标人为企业（包括合伙企业）的，应提供有效的“营业执照”；</w:t>
            </w:r>
          </w:p>
          <w:p w14:paraId="3EB05F29">
            <w:pPr>
              <w:pStyle w:val="28"/>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投标人为事业单位的，应提供有效的“事业单位法人证书”；</w:t>
            </w:r>
          </w:p>
          <w:p w14:paraId="75CCAE53">
            <w:pPr>
              <w:pStyle w:val="28"/>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投标人是非企业机构的，应提供有效的“执业许可证”、“登记证书”等证明文件；</w:t>
            </w:r>
          </w:p>
          <w:p w14:paraId="3D5A309C">
            <w:pPr>
              <w:pStyle w:val="28"/>
              <w:spacing w:line="276" w:lineRule="auto"/>
              <w:ind w:left="-4" w:leftChars="-2" w:right="-107" w:rightChars="-51"/>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投标人是个体工商户的，应提供有效的“个体工商户营业执照”；</w:t>
            </w:r>
          </w:p>
          <w:p w14:paraId="0762BF22">
            <w:pPr>
              <w:pStyle w:val="28"/>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投标人是自然人的，应提供有效的自然人身份证明。</w:t>
            </w:r>
          </w:p>
        </w:tc>
        <w:tc>
          <w:tcPr>
            <w:tcW w:w="1417" w:type="dxa"/>
            <w:vAlign w:val="center"/>
          </w:tcPr>
          <w:p w14:paraId="1025AA45">
            <w:pPr>
              <w:pStyle w:val="28"/>
              <w:spacing w:line="276" w:lineRule="auto"/>
              <w:ind w:left="-107" w:leftChars="-51" w:right="-21"/>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提供证明文件的电子件或电子证照</w:t>
            </w:r>
          </w:p>
        </w:tc>
      </w:tr>
      <w:tr w14:paraId="3F3D3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6F27AA2A">
            <w:pPr>
              <w:pStyle w:val="28"/>
              <w:spacing w:line="276" w:lineRule="auto"/>
              <w:jc w:val="center"/>
              <w:rPr>
                <w:rFonts w:ascii="仿宋" w:hAnsi="仿宋" w:eastAsia="仿宋" w:cs="仿宋"/>
                <w:color w:val="auto"/>
                <w:sz w:val="21"/>
                <w:szCs w:val="21"/>
                <w:highlight w:val="none"/>
              </w:rPr>
            </w:pPr>
            <w:r>
              <w:rPr>
                <w:rFonts w:hint="eastAsia" w:ascii="仿宋" w:hAnsi="仿宋" w:eastAsia="仿宋" w:cs="仿宋"/>
                <w:bCs/>
                <w:color w:val="auto"/>
                <w:spacing w:val="-4"/>
                <w:sz w:val="21"/>
                <w:szCs w:val="21"/>
                <w:highlight w:val="none"/>
              </w:rPr>
              <w:t>1-2</w:t>
            </w:r>
          </w:p>
        </w:tc>
        <w:tc>
          <w:tcPr>
            <w:tcW w:w="1882" w:type="dxa"/>
            <w:vAlign w:val="center"/>
          </w:tcPr>
          <w:p w14:paraId="1487E368">
            <w:pPr>
              <w:pStyle w:val="28"/>
              <w:spacing w:line="276" w:lineRule="auto"/>
              <w:ind w:left="125" w:right="108" w:hanging="11"/>
              <w:jc w:val="center"/>
              <w:rPr>
                <w:rFonts w:ascii="仿宋" w:hAnsi="仿宋" w:eastAsia="仿宋" w:cs="仿宋"/>
                <w:color w:val="auto"/>
                <w:sz w:val="21"/>
                <w:szCs w:val="21"/>
                <w:highlight w:val="none"/>
              </w:rPr>
            </w:pPr>
            <w:r>
              <w:rPr>
                <w:rFonts w:hint="eastAsia" w:ascii="仿宋" w:hAnsi="仿宋" w:eastAsia="仿宋" w:cs="仿宋"/>
                <w:color w:val="auto"/>
                <w:spacing w:val="34"/>
                <w:sz w:val="21"/>
                <w:szCs w:val="21"/>
                <w:highlight w:val="none"/>
              </w:rPr>
              <w:t>信用承诺</w:t>
            </w:r>
            <w:r>
              <w:rPr>
                <w:rFonts w:hint="eastAsia" w:ascii="仿宋" w:hAnsi="仿宋" w:eastAsia="仿宋" w:cs="仿宋"/>
                <w:color w:val="auto"/>
                <w:sz w:val="21"/>
                <w:szCs w:val="21"/>
                <w:highlight w:val="none"/>
              </w:rPr>
              <w:t>函</w:t>
            </w:r>
          </w:p>
        </w:tc>
        <w:tc>
          <w:tcPr>
            <w:tcW w:w="5206" w:type="dxa"/>
            <w:vAlign w:val="center"/>
          </w:tcPr>
          <w:p w14:paraId="48683F3C">
            <w:pPr>
              <w:pStyle w:val="28"/>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提供了符合招标文件要求的《政府采购供应商信用承诺函》。</w:t>
            </w:r>
          </w:p>
        </w:tc>
        <w:tc>
          <w:tcPr>
            <w:tcW w:w="1417" w:type="dxa"/>
            <w:vAlign w:val="center"/>
          </w:tcPr>
          <w:p w14:paraId="3F3A6FB6">
            <w:pPr>
              <w:pStyle w:val="28"/>
              <w:spacing w:line="276" w:lineRule="auto"/>
              <w:ind w:left="-107" w:leftChars="-51" w:right="-21"/>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格式见招标文件《第七章投标文件格式》</w:t>
            </w:r>
          </w:p>
        </w:tc>
      </w:tr>
      <w:tr w14:paraId="7BCD3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20" w:hRule="atLeast"/>
        </w:trPr>
        <w:tc>
          <w:tcPr>
            <w:tcW w:w="815" w:type="dxa"/>
            <w:vAlign w:val="center"/>
          </w:tcPr>
          <w:p w14:paraId="4E247976">
            <w:pPr>
              <w:pStyle w:val="28"/>
              <w:spacing w:line="276" w:lineRule="auto"/>
              <w:ind w:right="108"/>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rPr>
              <w:t>1-</w:t>
            </w:r>
            <w:r>
              <w:rPr>
                <w:rFonts w:hint="eastAsia" w:ascii="仿宋" w:hAnsi="仿宋" w:eastAsia="仿宋" w:cs="仿宋"/>
                <w:bCs/>
                <w:color w:val="auto"/>
                <w:spacing w:val="-4"/>
                <w:sz w:val="21"/>
                <w:szCs w:val="21"/>
                <w:highlight w:val="none"/>
                <w:lang w:eastAsia="zh-CN"/>
              </w:rPr>
              <w:t>3</w:t>
            </w:r>
          </w:p>
        </w:tc>
        <w:tc>
          <w:tcPr>
            <w:tcW w:w="1882" w:type="dxa"/>
            <w:vAlign w:val="center"/>
          </w:tcPr>
          <w:p w14:paraId="5059249F">
            <w:pPr>
              <w:pStyle w:val="28"/>
              <w:spacing w:line="276" w:lineRule="auto"/>
              <w:ind w:right="108"/>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法律、行政法规规定的其他条件</w:t>
            </w:r>
          </w:p>
        </w:tc>
        <w:tc>
          <w:tcPr>
            <w:tcW w:w="5206" w:type="dxa"/>
            <w:vAlign w:val="center"/>
          </w:tcPr>
          <w:p w14:paraId="4FA6A15A">
            <w:pPr>
              <w:pStyle w:val="28"/>
              <w:spacing w:line="276" w:lineRule="auto"/>
              <w:rPr>
                <w:rFonts w:ascii="仿宋" w:hAnsi="仿宋" w:eastAsia="仿宋" w:cs="仿宋"/>
                <w:color w:val="auto"/>
                <w:spacing w:val="8"/>
                <w:sz w:val="21"/>
                <w:szCs w:val="21"/>
                <w:highlight w:val="none"/>
                <w:lang w:eastAsia="zh-CN"/>
              </w:rPr>
            </w:pPr>
            <w:r>
              <w:rPr>
                <w:rFonts w:hint="eastAsia" w:ascii="仿宋" w:hAnsi="仿宋" w:eastAsia="仿宋" w:cs="仿宋"/>
                <w:color w:val="auto"/>
                <w:spacing w:val="8"/>
                <w:sz w:val="21"/>
                <w:szCs w:val="21"/>
                <w:highlight w:val="none"/>
                <w:lang w:eastAsia="zh-CN"/>
              </w:rPr>
              <w:t>投标人信用记录：</w:t>
            </w:r>
          </w:p>
          <w:p w14:paraId="0AF8ECF4">
            <w:pPr>
              <w:pStyle w:val="28"/>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查询渠道：信用中国网站和中国政府采购网 (www.creditchina.gov.cn 、www.ccgp.gov.cn）；</w:t>
            </w:r>
          </w:p>
          <w:p w14:paraId="79CF2A53">
            <w:pPr>
              <w:pStyle w:val="28"/>
              <w:spacing w:line="276" w:lineRule="auto"/>
              <w:ind w:left="-4" w:leftChars="-2" w:right="105"/>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截止时间：投标截止时间以后、资格审查阶段采购人或采购代理机构的实际查询时间；</w:t>
            </w:r>
          </w:p>
          <w:p w14:paraId="0DEFDB49">
            <w:pPr>
              <w:pStyle w:val="28"/>
              <w:spacing w:line="276" w:lineRule="auto"/>
              <w:ind w:left="-4" w:leftChars="-2" w:right="103"/>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信用信息查询记录和证据留存具体方式：查询结果网页打印页作为查询记录和证据，与其他采购文件一并保存；</w:t>
            </w:r>
          </w:p>
          <w:p w14:paraId="7169C224">
            <w:pPr>
              <w:pStyle w:val="28"/>
              <w:spacing w:line="276" w:lineRule="auto"/>
              <w:rPr>
                <w:rFonts w:ascii="仿宋" w:hAnsi="仿宋" w:eastAsia="仿宋" w:cs="仿宋"/>
                <w:color w:val="auto"/>
                <w:spacing w:val="8"/>
                <w:sz w:val="21"/>
                <w:szCs w:val="21"/>
                <w:highlight w:val="none"/>
                <w:lang w:eastAsia="zh-CN"/>
              </w:rPr>
            </w:pPr>
            <w:r>
              <w:rPr>
                <w:rFonts w:hint="eastAsia" w:ascii="仿宋" w:hAnsi="仿宋" w:eastAsia="仿宋" w:cs="仿宋"/>
                <w:color w:val="auto"/>
                <w:spacing w:val="13"/>
                <w:sz w:val="21"/>
                <w:szCs w:val="21"/>
                <w:highlight w:val="none"/>
                <w:lang w:eastAsia="zh-CN"/>
              </w:rPr>
              <w:t>信用信息的使用原则：经认定的被列入失信被执行人、重大税收违法失信主体、政府采购严重违法失信行为记录名单的投标人，其投标无效。</w:t>
            </w:r>
          </w:p>
        </w:tc>
        <w:tc>
          <w:tcPr>
            <w:tcW w:w="1417" w:type="dxa"/>
            <w:vAlign w:val="center"/>
          </w:tcPr>
          <w:p w14:paraId="65E67569">
            <w:pPr>
              <w:pStyle w:val="28"/>
              <w:spacing w:line="276" w:lineRule="auto"/>
              <w:ind w:left="-107" w:leftChars="-51" w:right="-21"/>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无须投标人提供，由采购人或采购代理机构查询。</w:t>
            </w:r>
          </w:p>
        </w:tc>
      </w:tr>
      <w:tr w14:paraId="08C38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86" w:hRule="atLeast"/>
        </w:trPr>
        <w:tc>
          <w:tcPr>
            <w:tcW w:w="815" w:type="dxa"/>
            <w:vAlign w:val="center"/>
          </w:tcPr>
          <w:p w14:paraId="66257BB4">
            <w:pPr>
              <w:pStyle w:val="28"/>
              <w:spacing w:line="276" w:lineRule="auto"/>
              <w:ind w:right="108"/>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2</w:t>
            </w:r>
          </w:p>
        </w:tc>
        <w:tc>
          <w:tcPr>
            <w:tcW w:w="1882" w:type="dxa"/>
            <w:vAlign w:val="center"/>
          </w:tcPr>
          <w:p w14:paraId="2F8B0728">
            <w:pPr>
              <w:pStyle w:val="28"/>
              <w:spacing w:line="276" w:lineRule="auto"/>
              <w:ind w:right="108"/>
              <w:jc w:val="center"/>
              <w:rPr>
                <w:rFonts w:ascii="仿宋" w:hAnsi="仿宋" w:eastAsia="仿宋" w:cs="仿宋"/>
                <w:bCs/>
                <w:color w:val="auto"/>
                <w:spacing w:val="-4"/>
                <w:sz w:val="21"/>
                <w:szCs w:val="21"/>
                <w:highlight w:val="none"/>
                <w:lang w:eastAsia="zh-CN"/>
              </w:rPr>
            </w:pPr>
            <w:r>
              <w:rPr>
                <w:rFonts w:hint="eastAsia" w:ascii="仿宋" w:hAnsi="仿宋" w:eastAsia="仿宋" w:cs="仿宋"/>
                <w:color w:val="auto"/>
                <w:spacing w:val="-5"/>
                <w:sz w:val="21"/>
                <w:szCs w:val="21"/>
                <w:highlight w:val="none"/>
                <w:lang w:eastAsia="zh-CN"/>
              </w:rPr>
              <w:t>落实政府采购政策需满足的资格要求</w:t>
            </w:r>
          </w:p>
        </w:tc>
        <w:tc>
          <w:tcPr>
            <w:tcW w:w="5206" w:type="dxa"/>
            <w:vAlign w:val="center"/>
          </w:tcPr>
          <w:p w14:paraId="57516257">
            <w:pPr>
              <w:pStyle w:val="28"/>
              <w:spacing w:line="276" w:lineRule="auto"/>
              <w:jc w:val="both"/>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本项目专门面向中小企业采购。</w:t>
            </w:r>
          </w:p>
        </w:tc>
        <w:tc>
          <w:tcPr>
            <w:tcW w:w="1417" w:type="dxa"/>
            <w:vAlign w:val="center"/>
          </w:tcPr>
          <w:p w14:paraId="671F3CEF">
            <w:pPr>
              <w:pStyle w:val="28"/>
              <w:spacing w:line="276" w:lineRule="auto"/>
              <w:ind w:left="-107" w:leftChars="-51" w:right="-21"/>
              <w:jc w:val="center"/>
              <w:rPr>
                <w:rFonts w:ascii="仿宋" w:hAnsi="仿宋" w:eastAsia="仿宋" w:cs="仿宋"/>
                <w:bCs/>
                <w:color w:val="auto"/>
                <w:spacing w:val="-4"/>
                <w:sz w:val="21"/>
                <w:szCs w:val="21"/>
                <w:highlight w:val="none"/>
                <w:lang w:eastAsia="zh-CN"/>
              </w:rPr>
            </w:pPr>
          </w:p>
        </w:tc>
      </w:tr>
      <w:tr w14:paraId="12008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09" w:hRule="atLeast"/>
        </w:trPr>
        <w:tc>
          <w:tcPr>
            <w:tcW w:w="815" w:type="dxa"/>
            <w:vAlign w:val="center"/>
          </w:tcPr>
          <w:p w14:paraId="7F5ACF45">
            <w:pPr>
              <w:pStyle w:val="28"/>
              <w:spacing w:line="276" w:lineRule="auto"/>
              <w:ind w:right="108"/>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2-1</w:t>
            </w:r>
          </w:p>
        </w:tc>
        <w:tc>
          <w:tcPr>
            <w:tcW w:w="1882" w:type="dxa"/>
            <w:vAlign w:val="center"/>
          </w:tcPr>
          <w:p w14:paraId="691D078C">
            <w:pPr>
              <w:pStyle w:val="28"/>
              <w:spacing w:line="276" w:lineRule="auto"/>
              <w:ind w:right="108"/>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采购政策</w:t>
            </w:r>
          </w:p>
        </w:tc>
        <w:tc>
          <w:tcPr>
            <w:tcW w:w="5206" w:type="dxa"/>
            <w:vAlign w:val="center"/>
          </w:tcPr>
          <w:p w14:paraId="72DB85ED">
            <w:pPr>
              <w:pStyle w:val="28"/>
              <w:spacing w:line="276" w:lineRule="auto"/>
              <w:jc w:val="both"/>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本项目专门面向中小企业采购。</w:t>
            </w:r>
          </w:p>
        </w:tc>
        <w:tc>
          <w:tcPr>
            <w:tcW w:w="1417" w:type="dxa"/>
            <w:vAlign w:val="center"/>
          </w:tcPr>
          <w:p w14:paraId="7F88BC42">
            <w:pPr>
              <w:pStyle w:val="28"/>
              <w:spacing w:line="276" w:lineRule="auto"/>
              <w:ind w:left="-107" w:leftChars="-51" w:right="-21"/>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投标人需提供《中小企业声明函》（货物），格式以招标文件要求为准。</w:t>
            </w:r>
          </w:p>
        </w:tc>
      </w:tr>
      <w:tr w14:paraId="4F85B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86" w:hRule="atLeast"/>
        </w:trPr>
        <w:tc>
          <w:tcPr>
            <w:tcW w:w="815" w:type="dxa"/>
            <w:vAlign w:val="center"/>
          </w:tcPr>
          <w:p w14:paraId="301C7526">
            <w:pPr>
              <w:pStyle w:val="28"/>
              <w:spacing w:line="276" w:lineRule="auto"/>
              <w:ind w:right="108"/>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3</w:t>
            </w:r>
          </w:p>
        </w:tc>
        <w:tc>
          <w:tcPr>
            <w:tcW w:w="1882" w:type="dxa"/>
            <w:vAlign w:val="center"/>
          </w:tcPr>
          <w:p w14:paraId="46983767">
            <w:pPr>
              <w:pStyle w:val="28"/>
              <w:spacing w:line="276" w:lineRule="auto"/>
              <w:ind w:right="108"/>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本项目的特定资格要求</w:t>
            </w:r>
          </w:p>
        </w:tc>
        <w:tc>
          <w:tcPr>
            <w:tcW w:w="5206" w:type="dxa"/>
            <w:vAlign w:val="center"/>
          </w:tcPr>
          <w:p w14:paraId="6F6576DA">
            <w:pPr>
              <w:pStyle w:val="28"/>
              <w:spacing w:line="276" w:lineRule="auto"/>
              <w:jc w:val="both"/>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如有，见“第一章 招标公告”</w:t>
            </w:r>
          </w:p>
        </w:tc>
        <w:tc>
          <w:tcPr>
            <w:tcW w:w="1417" w:type="dxa"/>
            <w:vAlign w:val="center"/>
          </w:tcPr>
          <w:p w14:paraId="46679BE2">
            <w:pPr>
              <w:pStyle w:val="28"/>
              <w:spacing w:line="276" w:lineRule="auto"/>
              <w:ind w:left="-107" w:leftChars="-51" w:right="-21"/>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无</w:t>
            </w:r>
          </w:p>
        </w:tc>
      </w:tr>
      <w:tr w14:paraId="6FFDC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86" w:hRule="atLeast"/>
        </w:trPr>
        <w:tc>
          <w:tcPr>
            <w:tcW w:w="815" w:type="dxa"/>
            <w:vAlign w:val="center"/>
          </w:tcPr>
          <w:p w14:paraId="723CA975">
            <w:pPr>
              <w:pStyle w:val="28"/>
              <w:spacing w:line="276" w:lineRule="auto"/>
              <w:ind w:right="108"/>
              <w:jc w:val="center"/>
              <w:rPr>
                <w:rFonts w:ascii="仿宋" w:hAnsi="仿宋" w:eastAsia="仿宋" w:cs="仿宋"/>
                <w:bCs/>
                <w:color w:val="auto"/>
                <w:spacing w:val="-4"/>
                <w:sz w:val="21"/>
                <w:szCs w:val="21"/>
                <w:highlight w:val="none"/>
                <w:lang w:eastAsia="zh-CN"/>
              </w:rPr>
            </w:pPr>
            <w:bookmarkStart w:id="291" w:name="_Toc30458"/>
            <w:r>
              <w:rPr>
                <w:rFonts w:hint="eastAsia" w:ascii="仿宋" w:hAnsi="仿宋" w:eastAsia="仿宋" w:cs="仿宋"/>
                <w:bCs/>
                <w:color w:val="auto"/>
                <w:spacing w:val="-4"/>
                <w:sz w:val="21"/>
                <w:szCs w:val="21"/>
                <w:highlight w:val="none"/>
                <w:lang w:eastAsia="zh-CN"/>
              </w:rPr>
              <w:t>3</w:t>
            </w:r>
            <w:r>
              <w:rPr>
                <w:rFonts w:hint="eastAsia" w:ascii="仿宋" w:hAnsi="仿宋" w:eastAsia="仿宋" w:cs="仿宋"/>
                <w:bCs/>
                <w:color w:val="auto"/>
                <w:spacing w:val="-4"/>
                <w:sz w:val="21"/>
                <w:szCs w:val="21"/>
                <w:highlight w:val="none"/>
              </w:rPr>
              <w:t>-1</w:t>
            </w:r>
          </w:p>
        </w:tc>
        <w:tc>
          <w:tcPr>
            <w:tcW w:w="1882" w:type="dxa"/>
            <w:vAlign w:val="center"/>
          </w:tcPr>
          <w:p w14:paraId="10A87345">
            <w:pPr>
              <w:pStyle w:val="28"/>
              <w:spacing w:line="276" w:lineRule="auto"/>
              <w:ind w:right="108"/>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特定资格要求</w:t>
            </w:r>
          </w:p>
        </w:tc>
        <w:tc>
          <w:tcPr>
            <w:tcW w:w="5206" w:type="dxa"/>
            <w:vAlign w:val="center"/>
          </w:tcPr>
          <w:p w14:paraId="7218287D">
            <w:pPr>
              <w:pStyle w:val="28"/>
              <w:spacing w:line="276" w:lineRule="auto"/>
              <w:ind w:right="108"/>
              <w:jc w:val="both"/>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无</w:t>
            </w:r>
          </w:p>
        </w:tc>
        <w:tc>
          <w:tcPr>
            <w:tcW w:w="1417" w:type="dxa"/>
            <w:vAlign w:val="center"/>
          </w:tcPr>
          <w:p w14:paraId="40E57C08">
            <w:pPr>
              <w:pStyle w:val="28"/>
              <w:spacing w:line="276" w:lineRule="auto"/>
              <w:ind w:left="-107" w:leftChars="-51" w:right="-21"/>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提供证明文件的电子件或电子证照</w:t>
            </w:r>
          </w:p>
        </w:tc>
      </w:tr>
    </w:tbl>
    <w:p w14:paraId="7074762F">
      <w:pPr>
        <w:pStyle w:val="9"/>
        <w:pageBreakBefore/>
        <w:spacing w:before="313" w:line="360" w:lineRule="auto"/>
        <w:jc w:val="center"/>
        <w:outlineLvl w:val="0"/>
        <w:rPr>
          <w:rFonts w:ascii="仿宋" w:hAnsi="仿宋" w:eastAsia="仿宋" w:cs="仿宋"/>
          <w:color w:val="auto"/>
          <w:sz w:val="30"/>
          <w:szCs w:val="30"/>
          <w:highlight w:val="none"/>
          <w:lang w:eastAsia="zh-CN"/>
        </w:rPr>
      </w:pPr>
      <w:bookmarkStart w:id="292" w:name="bookmark163"/>
      <w:bookmarkEnd w:id="292"/>
      <w:bookmarkStart w:id="293" w:name="bookmark166"/>
      <w:bookmarkEnd w:id="293"/>
      <w:bookmarkStart w:id="294" w:name="bookmark196"/>
      <w:bookmarkEnd w:id="294"/>
      <w:bookmarkStart w:id="295" w:name="bookmark194"/>
      <w:bookmarkEnd w:id="295"/>
      <w:bookmarkStart w:id="296" w:name="bookmark164"/>
      <w:bookmarkEnd w:id="296"/>
      <w:r>
        <w:rPr>
          <w:rFonts w:hint="eastAsia" w:ascii="仿宋" w:hAnsi="仿宋" w:eastAsia="仿宋" w:cs="仿宋"/>
          <w:b/>
          <w:bCs/>
          <w:color w:val="auto"/>
          <w:spacing w:val="5"/>
          <w:sz w:val="30"/>
          <w:szCs w:val="30"/>
          <w:highlight w:val="none"/>
          <w:lang w:eastAsia="zh-CN"/>
        </w:rPr>
        <w:t>第五章评标方法及标准(综合评分法)</w:t>
      </w:r>
      <w:bookmarkEnd w:id="291"/>
    </w:p>
    <w:p w14:paraId="41A18A54">
      <w:pPr>
        <w:spacing w:line="360" w:lineRule="auto"/>
        <w:ind w:left="24" w:right="13" w:firstLine="479"/>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根据《中华人民共和国政府采购法》及其实施条例、《政府采购</w:t>
      </w:r>
      <w:r>
        <w:rPr>
          <w:rFonts w:hint="eastAsia" w:ascii="仿宋" w:hAnsi="仿宋" w:eastAsia="仿宋" w:cs="仿宋"/>
          <w:color w:val="auto"/>
          <w:spacing w:val="-4"/>
          <w:sz w:val="24"/>
          <w:szCs w:val="24"/>
          <w:highlight w:val="none"/>
          <w:lang w:eastAsia="zh-CN"/>
        </w:rPr>
        <w:t>货物和服务</w:t>
      </w:r>
      <w:r>
        <w:rPr>
          <w:rFonts w:hint="eastAsia" w:ascii="仿宋" w:hAnsi="仿宋" w:eastAsia="仿宋" w:cs="仿宋"/>
          <w:color w:val="auto"/>
          <w:spacing w:val="-1"/>
          <w:sz w:val="24"/>
          <w:szCs w:val="24"/>
          <w:highlight w:val="none"/>
          <w:lang w:eastAsia="zh-CN"/>
        </w:rPr>
        <w:t>招标投标管理办法》及相关法律法规确定以下评标方法及标准。</w:t>
      </w:r>
    </w:p>
    <w:p w14:paraId="6A791626">
      <w:pPr>
        <w:spacing w:line="360" w:lineRule="auto"/>
        <w:ind w:left="31"/>
        <w:outlineLvl w:val="1"/>
        <w:rPr>
          <w:rFonts w:ascii="仿宋" w:hAnsi="仿宋" w:eastAsia="仿宋" w:cs="仿宋"/>
          <w:color w:val="auto"/>
          <w:sz w:val="24"/>
          <w:szCs w:val="24"/>
          <w:highlight w:val="none"/>
          <w:lang w:eastAsia="zh-CN"/>
        </w:rPr>
      </w:pPr>
      <w:bookmarkStart w:id="297" w:name="bookmark165"/>
      <w:bookmarkEnd w:id="297"/>
      <w:bookmarkStart w:id="298" w:name="_Toc18135"/>
      <w:r>
        <w:rPr>
          <w:rFonts w:hint="eastAsia" w:ascii="仿宋" w:hAnsi="仿宋" w:eastAsia="仿宋" w:cs="仿宋"/>
          <w:b/>
          <w:bCs/>
          <w:color w:val="auto"/>
          <w:spacing w:val="4"/>
          <w:sz w:val="24"/>
          <w:szCs w:val="24"/>
          <w:highlight w:val="none"/>
          <w:lang w:eastAsia="zh-CN"/>
        </w:rPr>
        <w:t>一、评标方法</w:t>
      </w:r>
      <w:bookmarkEnd w:id="298"/>
    </w:p>
    <w:p w14:paraId="3C916F76">
      <w:pPr>
        <w:spacing w:line="360" w:lineRule="auto"/>
        <w:ind w:left="24" w:right="13" w:firstLine="496"/>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w:t>
      </w:r>
      <w:r>
        <w:rPr>
          <w:rFonts w:hint="eastAsia" w:ascii="仿宋" w:hAnsi="仿宋" w:eastAsia="仿宋" w:cs="仿宋"/>
          <w:b/>
          <w:bCs/>
          <w:color w:val="auto"/>
          <w:spacing w:val="-4"/>
          <w:sz w:val="24"/>
          <w:szCs w:val="24"/>
          <w:highlight w:val="none"/>
          <w:lang w:eastAsia="zh-CN"/>
        </w:rPr>
        <w:t>本项目采用综合评分法</w:t>
      </w:r>
      <w:r>
        <w:rPr>
          <w:rFonts w:hint="eastAsia" w:ascii="仿宋" w:hAnsi="仿宋" w:eastAsia="仿宋" w:cs="仿宋"/>
          <w:color w:val="auto"/>
          <w:spacing w:val="-4"/>
          <w:sz w:val="24"/>
          <w:szCs w:val="24"/>
          <w:highlight w:val="none"/>
          <w:lang w:eastAsia="zh-CN"/>
        </w:rPr>
        <w:t>。综合评分法，是指投标</w:t>
      </w:r>
      <w:r>
        <w:rPr>
          <w:rFonts w:hint="eastAsia" w:ascii="仿宋" w:hAnsi="仿宋" w:eastAsia="仿宋" w:cs="仿宋"/>
          <w:color w:val="auto"/>
          <w:spacing w:val="-5"/>
          <w:sz w:val="24"/>
          <w:szCs w:val="24"/>
          <w:highlight w:val="none"/>
          <w:lang w:eastAsia="zh-CN"/>
        </w:rPr>
        <w:t>文件满足招标文件全部实</w:t>
      </w:r>
      <w:r>
        <w:rPr>
          <w:rFonts w:hint="eastAsia" w:ascii="仿宋" w:hAnsi="仿宋" w:eastAsia="仿宋" w:cs="仿宋"/>
          <w:color w:val="auto"/>
          <w:spacing w:val="-3"/>
          <w:sz w:val="24"/>
          <w:szCs w:val="24"/>
          <w:highlight w:val="none"/>
          <w:lang w:eastAsia="zh-CN"/>
        </w:rPr>
        <w:t>质性要求，且按照评审因素的量化指标评审得分最高的投标人为中标候选人的评标方法。</w:t>
      </w:r>
    </w:p>
    <w:p w14:paraId="01E70D06">
      <w:pPr>
        <w:spacing w:line="360" w:lineRule="auto"/>
        <w:ind w:left="31"/>
        <w:outlineLvl w:val="1"/>
        <w:rPr>
          <w:rFonts w:ascii="仿宋" w:hAnsi="仿宋" w:eastAsia="仿宋" w:cs="仿宋"/>
          <w:color w:val="auto"/>
          <w:sz w:val="24"/>
          <w:szCs w:val="24"/>
          <w:highlight w:val="none"/>
          <w:lang w:eastAsia="zh-CN"/>
        </w:rPr>
      </w:pPr>
      <w:bookmarkStart w:id="299" w:name="bookmark167"/>
      <w:bookmarkEnd w:id="299"/>
      <w:bookmarkStart w:id="300" w:name="_Toc25589"/>
      <w:r>
        <w:rPr>
          <w:rFonts w:hint="eastAsia" w:ascii="仿宋" w:hAnsi="仿宋" w:eastAsia="仿宋" w:cs="仿宋"/>
          <w:b/>
          <w:bCs/>
          <w:color w:val="auto"/>
          <w:spacing w:val="4"/>
          <w:sz w:val="24"/>
          <w:szCs w:val="24"/>
          <w:highlight w:val="none"/>
          <w:lang w:eastAsia="zh-CN"/>
        </w:rPr>
        <w:t>二、评标程序</w:t>
      </w:r>
      <w:bookmarkEnd w:id="300"/>
    </w:p>
    <w:p w14:paraId="34F100C6">
      <w:pPr>
        <w:spacing w:line="360" w:lineRule="auto"/>
        <w:ind w:left="38"/>
        <w:outlineLvl w:val="2"/>
        <w:rPr>
          <w:rFonts w:ascii="仿宋" w:hAnsi="仿宋" w:eastAsia="仿宋" w:cs="仿宋"/>
          <w:color w:val="auto"/>
          <w:sz w:val="24"/>
          <w:szCs w:val="24"/>
          <w:highlight w:val="none"/>
          <w:lang w:eastAsia="zh-CN"/>
        </w:rPr>
      </w:pPr>
      <w:bookmarkStart w:id="301" w:name="bookmark168"/>
      <w:bookmarkEnd w:id="301"/>
      <w:bookmarkStart w:id="302" w:name="_Toc186477754"/>
      <w:bookmarkStart w:id="303" w:name="_Toc23982"/>
      <w:r>
        <w:rPr>
          <w:rFonts w:hint="eastAsia" w:ascii="仿宋" w:hAnsi="仿宋" w:eastAsia="仿宋" w:cs="仿宋"/>
          <w:b/>
          <w:bCs/>
          <w:color w:val="auto"/>
          <w:spacing w:val="-6"/>
          <w:sz w:val="24"/>
          <w:szCs w:val="24"/>
          <w:highlight w:val="none"/>
          <w:lang w:eastAsia="zh-CN"/>
        </w:rPr>
        <w:t>（一）符合性审查</w:t>
      </w:r>
      <w:bookmarkEnd w:id="302"/>
      <w:bookmarkEnd w:id="303"/>
    </w:p>
    <w:p w14:paraId="5CBFB7D5">
      <w:pPr>
        <w:spacing w:line="360" w:lineRule="auto"/>
        <w:ind w:left="23" w:right="13" w:firstLine="482"/>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2.评标委员会应当对通过资格审查的投标人的投标文件进行符合</w:t>
      </w:r>
      <w:r>
        <w:rPr>
          <w:rFonts w:hint="eastAsia" w:ascii="仿宋" w:hAnsi="仿宋" w:eastAsia="仿宋" w:cs="仿宋"/>
          <w:color w:val="auto"/>
          <w:spacing w:val="-4"/>
          <w:sz w:val="24"/>
          <w:szCs w:val="24"/>
          <w:highlight w:val="none"/>
          <w:lang w:eastAsia="zh-CN"/>
        </w:rPr>
        <w:t>性审查，以</w:t>
      </w:r>
      <w:r>
        <w:rPr>
          <w:rFonts w:hint="eastAsia" w:ascii="仿宋" w:hAnsi="仿宋" w:eastAsia="仿宋" w:cs="仿宋"/>
          <w:color w:val="auto"/>
          <w:spacing w:val="-3"/>
          <w:sz w:val="24"/>
          <w:szCs w:val="24"/>
          <w:highlight w:val="none"/>
          <w:lang w:eastAsia="zh-CN"/>
        </w:rPr>
        <w:t>确定其是否满足招标文件的实质性要求。投标人必须通过符合性审查的全部评审</w:t>
      </w:r>
      <w:r>
        <w:rPr>
          <w:rFonts w:hint="eastAsia" w:ascii="仿宋" w:hAnsi="仿宋" w:eastAsia="仿宋" w:cs="仿宋"/>
          <w:color w:val="auto"/>
          <w:spacing w:val="-4"/>
          <w:sz w:val="24"/>
          <w:szCs w:val="24"/>
          <w:highlight w:val="none"/>
          <w:lang w:eastAsia="zh-CN"/>
        </w:rPr>
        <w:t>指标，不满足招标文件的实质性要求的，其</w:t>
      </w:r>
      <w:r>
        <w:rPr>
          <w:rFonts w:hint="eastAsia" w:ascii="仿宋" w:hAnsi="仿宋" w:eastAsia="仿宋" w:cs="仿宋"/>
          <w:b/>
          <w:bCs/>
          <w:color w:val="auto"/>
          <w:spacing w:val="-4"/>
          <w:sz w:val="24"/>
          <w:szCs w:val="24"/>
          <w:highlight w:val="none"/>
          <w:lang w:eastAsia="zh-CN"/>
        </w:rPr>
        <w:t>投标无效</w:t>
      </w:r>
      <w:r>
        <w:rPr>
          <w:rFonts w:hint="eastAsia" w:ascii="仿宋" w:hAnsi="仿宋" w:eastAsia="仿宋" w:cs="仿宋"/>
          <w:color w:val="auto"/>
          <w:spacing w:val="-4"/>
          <w:sz w:val="24"/>
          <w:szCs w:val="24"/>
          <w:highlight w:val="none"/>
          <w:lang w:eastAsia="zh-CN"/>
        </w:rPr>
        <w:t>。具体内容详</w:t>
      </w:r>
      <w:r>
        <w:rPr>
          <w:rFonts w:hint="eastAsia" w:ascii="仿宋" w:hAnsi="仿宋" w:eastAsia="仿宋" w:cs="仿宋"/>
          <w:color w:val="auto"/>
          <w:spacing w:val="-5"/>
          <w:sz w:val="24"/>
          <w:szCs w:val="24"/>
          <w:highlight w:val="none"/>
          <w:lang w:eastAsia="zh-CN"/>
        </w:rPr>
        <w:t>本章“四、评</w:t>
      </w:r>
      <w:r>
        <w:rPr>
          <w:rFonts w:hint="eastAsia" w:ascii="仿宋" w:hAnsi="仿宋" w:eastAsia="仿宋" w:cs="仿宋"/>
          <w:color w:val="auto"/>
          <w:spacing w:val="-3"/>
          <w:sz w:val="24"/>
          <w:szCs w:val="24"/>
          <w:highlight w:val="none"/>
          <w:lang w:eastAsia="zh-CN"/>
        </w:rPr>
        <w:t>标标准”中的“（一）符合性审查”。</w:t>
      </w:r>
    </w:p>
    <w:p w14:paraId="6EEF4914">
      <w:pPr>
        <w:spacing w:line="360" w:lineRule="auto"/>
        <w:ind w:left="38"/>
        <w:outlineLvl w:val="2"/>
        <w:rPr>
          <w:rFonts w:ascii="仿宋" w:hAnsi="仿宋" w:eastAsia="仿宋" w:cs="仿宋"/>
          <w:color w:val="auto"/>
          <w:sz w:val="24"/>
          <w:szCs w:val="24"/>
          <w:highlight w:val="none"/>
          <w:lang w:eastAsia="zh-CN"/>
        </w:rPr>
      </w:pPr>
      <w:bookmarkStart w:id="304" w:name="bookmark170"/>
      <w:bookmarkEnd w:id="304"/>
      <w:bookmarkStart w:id="305" w:name="bookmark169"/>
      <w:bookmarkEnd w:id="305"/>
      <w:bookmarkStart w:id="306" w:name="bookmark199"/>
      <w:bookmarkEnd w:id="306"/>
      <w:bookmarkStart w:id="307" w:name="bookmark200"/>
      <w:bookmarkEnd w:id="307"/>
      <w:bookmarkStart w:id="308" w:name="_Toc186477755"/>
      <w:bookmarkStart w:id="309" w:name="_Toc22454"/>
      <w:r>
        <w:rPr>
          <w:rFonts w:hint="eastAsia" w:ascii="仿宋" w:hAnsi="仿宋" w:eastAsia="仿宋" w:cs="仿宋"/>
          <w:b/>
          <w:bCs/>
          <w:color w:val="auto"/>
          <w:spacing w:val="-5"/>
          <w:sz w:val="24"/>
          <w:szCs w:val="24"/>
          <w:highlight w:val="none"/>
          <w:lang w:eastAsia="zh-CN"/>
        </w:rPr>
        <w:t>（二）投标文件澄清及修正</w:t>
      </w:r>
      <w:bookmarkEnd w:id="308"/>
      <w:bookmarkEnd w:id="309"/>
    </w:p>
    <w:p w14:paraId="1DCDAEC0">
      <w:pPr>
        <w:spacing w:line="360" w:lineRule="auto"/>
        <w:ind w:left="22" w:right="13" w:firstLine="48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3.评标期间，对于投标文件中含义不明确、同类问题表述不</w:t>
      </w:r>
      <w:r>
        <w:rPr>
          <w:rFonts w:hint="eastAsia" w:ascii="仿宋" w:hAnsi="仿宋" w:eastAsia="仿宋" w:cs="仿宋"/>
          <w:color w:val="auto"/>
          <w:spacing w:val="-4"/>
          <w:sz w:val="24"/>
          <w:szCs w:val="24"/>
          <w:highlight w:val="none"/>
          <w:lang w:eastAsia="zh-CN"/>
        </w:rPr>
        <w:t>一致或者有明显</w:t>
      </w:r>
      <w:r>
        <w:rPr>
          <w:rFonts w:hint="eastAsia" w:ascii="仿宋" w:hAnsi="仿宋" w:eastAsia="仿宋" w:cs="仿宋"/>
          <w:color w:val="auto"/>
          <w:spacing w:val="-3"/>
          <w:sz w:val="24"/>
          <w:szCs w:val="24"/>
          <w:highlight w:val="none"/>
          <w:lang w:eastAsia="zh-CN"/>
        </w:rPr>
        <w:t>文字和计算错误的内容需要投标人作出必要的澄清、说明或者补正的，评标委员会应当在政采云平台评标系统中以书面形式要求投标人作出必要的澄清、说明或者补正。</w:t>
      </w:r>
    </w:p>
    <w:p w14:paraId="487D28F1">
      <w:pPr>
        <w:spacing w:line="360" w:lineRule="auto"/>
        <w:ind w:left="23" w:right="13" w:firstLine="479"/>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4.投标人应按照评标委员会要求在规定时间内作出澄清、说明或者补正</w:t>
      </w:r>
      <w:r>
        <w:rPr>
          <w:rFonts w:hint="eastAsia" w:ascii="仿宋" w:hAnsi="仿宋" w:eastAsia="仿宋" w:cs="仿宋"/>
          <w:color w:val="auto"/>
          <w:spacing w:val="-4"/>
          <w:sz w:val="24"/>
          <w:szCs w:val="24"/>
          <w:highlight w:val="none"/>
          <w:lang w:eastAsia="zh-CN"/>
        </w:rPr>
        <w:t>，澄</w:t>
      </w:r>
      <w:r>
        <w:rPr>
          <w:rFonts w:hint="eastAsia" w:ascii="仿宋" w:hAnsi="仿宋" w:eastAsia="仿宋" w:cs="仿宋"/>
          <w:color w:val="auto"/>
          <w:sz w:val="24"/>
          <w:szCs w:val="24"/>
          <w:highlight w:val="none"/>
          <w:lang w:eastAsia="zh-CN"/>
        </w:rPr>
        <w:t>清、说明或者补正不得超出投标文件的范围或者改变</w:t>
      </w:r>
      <w:r>
        <w:rPr>
          <w:rFonts w:hint="eastAsia" w:ascii="仿宋" w:hAnsi="仿宋" w:eastAsia="仿宋" w:cs="仿宋"/>
          <w:color w:val="auto"/>
          <w:spacing w:val="-1"/>
          <w:sz w:val="24"/>
          <w:szCs w:val="24"/>
          <w:highlight w:val="none"/>
          <w:lang w:eastAsia="zh-CN"/>
        </w:rPr>
        <w:t>投标文件的实质性内容。</w:t>
      </w:r>
    </w:p>
    <w:p w14:paraId="34638FB5">
      <w:pPr>
        <w:spacing w:line="360" w:lineRule="auto"/>
        <w:ind w:left="26" w:right="13"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5.投标人的澄清、说明或者补正是其投标文件的有效组成部</w:t>
      </w:r>
      <w:r>
        <w:rPr>
          <w:rFonts w:hint="eastAsia" w:ascii="仿宋" w:hAnsi="仿宋" w:eastAsia="仿宋" w:cs="仿宋"/>
          <w:color w:val="auto"/>
          <w:spacing w:val="-4"/>
          <w:sz w:val="24"/>
          <w:szCs w:val="24"/>
          <w:highlight w:val="none"/>
          <w:lang w:eastAsia="zh-CN"/>
        </w:rPr>
        <w:t>分，澄清、说明</w:t>
      </w:r>
      <w:r>
        <w:rPr>
          <w:rFonts w:hint="eastAsia" w:ascii="仿宋" w:hAnsi="仿宋" w:eastAsia="仿宋" w:cs="仿宋"/>
          <w:color w:val="auto"/>
          <w:spacing w:val="-1"/>
          <w:sz w:val="24"/>
          <w:szCs w:val="24"/>
          <w:highlight w:val="none"/>
          <w:lang w:eastAsia="zh-CN"/>
        </w:rPr>
        <w:t>或者补正应当在政采云平台评标系统中加盖电子印章后提交。</w:t>
      </w:r>
    </w:p>
    <w:p w14:paraId="528F918B">
      <w:pPr>
        <w:spacing w:line="360" w:lineRule="auto"/>
        <w:ind w:left="24" w:right="13"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6.报价合理性说明：评标委员会认为投标人的报价明显低于其他通</w:t>
      </w:r>
      <w:r>
        <w:rPr>
          <w:rFonts w:hint="eastAsia" w:ascii="仿宋" w:hAnsi="仿宋" w:eastAsia="仿宋" w:cs="仿宋"/>
          <w:color w:val="auto"/>
          <w:spacing w:val="-4"/>
          <w:sz w:val="24"/>
          <w:szCs w:val="24"/>
          <w:highlight w:val="none"/>
          <w:lang w:eastAsia="zh-CN"/>
        </w:rPr>
        <w:t>过符合性</w:t>
      </w:r>
      <w:r>
        <w:rPr>
          <w:rFonts w:hint="eastAsia" w:ascii="仿宋" w:hAnsi="仿宋" w:eastAsia="仿宋" w:cs="仿宋"/>
          <w:color w:val="auto"/>
          <w:spacing w:val="-3"/>
          <w:sz w:val="24"/>
          <w:szCs w:val="24"/>
          <w:highlight w:val="none"/>
          <w:lang w:eastAsia="zh-CN"/>
        </w:rPr>
        <w:t>审查投标人的报价，有可能影响货物质量或者不能诚信履约的，应当要求该投标人在合理的时间内提供说明，必要时提交相关证明材料；若投标人不能证明其报</w:t>
      </w:r>
      <w:r>
        <w:rPr>
          <w:rFonts w:hint="eastAsia" w:ascii="仿宋" w:hAnsi="仿宋" w:eastAsia="仿宋" w:cs="仿宋"/>
          <w:color w:val="auto"/>
          <w:spacing w:val="-1"/>
          <w:sz w:val="24"/>
          <w:szCs w:val="24"/>
          <w:highlight w:val="none"/>
          <w:lang w:eastAsia="zh-CN"/>
        </w:rPr>
        <w:t>价合理性的，评标委员会应当将其作为</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处理。</w:t>
      </w:r>
    </w:p>
    <w:p w14:paraId="6F6D03EF">
      <w:pPr>
        <w:spacing w:line="360" w:lineRule="auto"/>
        <w:ind w:left="23" w:right="208" w:firstLine="485"/>
        <w:jc w:val="both"/>
        <w:rPr>
          <w:rFonts w:ascii="仿宋" w:hAnsi="仿宋" w:eastAsia="仿宋" w:cs="仿宋"/>
          <w:color w:val="auto"/>
          <w:sz w:val="24"/>
          <w:szCs w:val="24"/>
          <w:highlight w:val="none"/>
          <w:lang w:eastAsia="zh-CN"/>
        </w:rPr>
      </w:pPr>
      <w:bookmarkStart w:id="310" w:name="bookmark281"/>
      <w:bookmarkEnd w:id="310"/>
      <w:r>
        <w:rPr>
          <w:rFonts w:hint="eastAsia" w:ascii="仿宋" w:hAnsi="仿宋" w:eastAsia="仿宋" w:cs="仿宋"/>
          <w:color w:val="auto"/>
          <w:spacing w:val="-3"/>
          <w:sz w:val="24"/>
          <w:szCs w:val="24"/>
          <w:highlight w:val="none"/>
          <w:lang w:eastAsia="zh-CN"/>
        </w:rPr>
        <w:t>7.投标报价须包含招标文件全部内容，如分项报价表有缺</w:t>
      </w:r>
      <w:r>
        <w:rPr>
          <w:rFonts w:hint="eastAsia" w:ascii="仿宋" w:hAnsi="仿宋" w:eastAsia="仿宋" w:cs="仿宋"/>
          <w:color w:val="auto"/>
          <w:spacing w:val="-4"/>
          <w:sz w:val="24"/>
          <w:szCs w:val="24"/>
          <w:highlight w:val="none"/>
          <w:lang w:eastAsia="zh-CN"/>
        </w:rPr>
        <w:t>漏视为已含在其他</w:t>
      </w:r>
      <w:r>
        <w:rPr>
          <w:rFonts w:hint="eastAsia" w:ascii="仿宋" w:hAnsi="仿宋" w:eastAsia="仿宋" w:cs="仿宋"/>
          <w:color w:val="auto"/>
          <w:spacing w:val="-3"/>
          <w:sz w:val="24"/>
          <w:szCs w:val="24"/>
          <w:highlight w:val="none"/>
          <w:lang w:eastAsia="zh-CN"/>
        </w:rPr>
        <w:t>各项报价中，将不对投标总价进行调整。评标委员会有权要求投标人在评标现场合理的时间内对此进行书面确认，投标人不确认的，视为将一个采购包中的内容</w:t>
      </w:r>
      <w:r>
        <w:rPr>
          <w:rFonts w:hint="eastAsia" w:ascii="仿宋" w:hAnsi="仿宋" w:eastAsia="仿宋" w:cs="仿宋"/>
          <w:color w:val="auto"/>
          <w:spacing w:val="-2"/>
          <w:sz w:val="24"/>
          <w:szCs w:val="24"/>
          <w:highlight w:val="none"/>
          <w:lang w:eastAsia="zh-CN"/>
        </w:rPr>
        <w:t>拆分投标，其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7CA29BA7">
      <w:pPr>
        <w:spacing w:line="360" w:lineRule="auto"/>
        <w:ind w:left="23" w:right="208"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8.投标文件报价出现前后不一致的，除招标文件另有规定外，按照下</w:t>
      </w:r>
      <w:r>
        <w:rPr>
          <w:rFonts w:hint="eastAsia" w:ascii="仿宋" w:hAnsi="仿宋" w:eastAsia="仿宋" w:cs="仿宋"/>
          <w:color w:val="auto"/>
          <w:spacing w:val="-4"/>
          <w:sz w:val="24"/>
          <w:szCs w:val="24"/>
          <w:highlight w:val="none"/>
          <w:lang w:eastAsia="zh-CN"/>
        </w:rPr>
        <w:t>列规定修正：</w:t>
      </w:r>
    </w:p>
    <w:p w14:paraId="281DE892">
      <w:pPr>
        <w:spacing w:line="360" w:lineRule="auto"/>
        <w:ind w:left="50" w:right="147" w:firstLine="453"/>
        <w:rPr>
          <w:rFonts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8.1投标文件中开标一览表（报价表）内容与投标文件中相应内容不一致的，</w:t>
      </w:r>
      <w:r>
        <w:rPr>
          <w:rFonts w:hint="eastAsia" w:ascii="仿宋" w:hAnsi="仿宋" w:eastAsia="仿宋" w:cs="仿宋"/>
          <w:color w:val="auto"/>
          <w:spacing w:val="-3"/>
          <w:sz w:val="24"/>
          <w:szCs w:val="24"/>
          <w:highlight w:val="none"/>
          <w:lang w:eastAsia="zh-CN"/>
        </w:rPr>
        <w:t>以开标一览表（报价表）为准；</w:t>
      </w:r>
    </w:p>
    <w:p w14:paraId="331D9425">
      <w:pPr>
        <w:spacing w:line="360" w:lineRule="auto"/>
        <w:ind w:left="504"/>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8.2大写金额和小写金额不一致的，以大写金额为准；</w:t>
      </w:r>
    </w:p>
    <w:p w14:paraId="2A10EEFA">
      <w:pPr>
        <w:spacing w:line="360" w:lineRule="auto"/>
        <w:ind w:left="29" w:right="233" w:firstLine="475"/>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8.3单价金额小数点或者百分比有明显错位</w:t>
      </w:r>
      <w:r>
        <w:rPr>
          <w:rFonts w:hint="eastAsia" w:ascii="仿宋" w:hAnsi="仿宋" w:eastAsia="仿宋" w:cs="仿宋"/>
          <w:color w:val="auto"/>
          <w:spacing w:val="-3"/>
          <w:sz w:val="24"/>
          <w:szCs w:val="24"/>
          <w:highlight w:val="none"/>
          <w:lang w:eastAsia="zh-CN"/>
        </w:rPr>
        <w:t>的，以开标一览表的总价为准，并修改单价；</w:t>
      </w:r>
    </w:p>
    <w:p w14:paraId="6B8426B8">
      <w:pPr>
        <w:spacing w:line="360" w:lineRule="auto"/>
        <w:ind w:left="504"/>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8.4总价金额与按单价汇总金额不一致的，以单价金额计算结果为准。</w:t>
      </w:r>
    </w:p>
    <w:p w14:paraId="41436E3E">
      <w:pPr>
        <w:spacing w:line="360" w:lineRule="auto"/>
        <w:ind w:left="23" w:right="208" w:firstLine="50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同时出现两种以上不一致的，按照8.1—8.4的顺序修正。修正后</w:t>
      </w:r>
      <w:r>
        <w:rPr>
          <w:rFonts w:hint="eastAsia" w:ascii="仿宋" w:hAnsi="仿宋" w:eastAsia="仿宋" w:cs="仿宋"/>
          <w:color w:val="auto"/>
          <w:spacing w:val="-3"/>
          <w:sz w:val="24"/>
          <w:szCs w:val="24"/>
          <w:highlight w:val="none"/>
          <w:lang w:eastAsia="zh-CN"/>
        </w:rPr>
        <w:t>的报价采用书面形式，并加盖公章，或者由法定代表人或其授权的代表签字，经投标人确</w:t>
      </w:r>
      <w:r>
        <w:rPr>
          <w:rFonts w:hint="eastAsia" w:ascii="仿宋" w:hAnsi="仿宋" w:eastAsia="仿宋" w:cs="仿宋"/>
          <w:color w:val="auto"/>
          <w:spacing w:val="-1"/>
          <w:sz w:val="24"/>
          <w:szCs w:val="24"/>
          <w:highlight w:val="none"/>
          <w:lang w:eastAsia="zh-CN"/>
        </w:rPr>
        <w:t>认后产生约束力，投标人不确认的，其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0CCE3166">
      <w:pPr>
        <w:spacing w:line="360" w:lineRule="auto"/>
        <w:ind w:left="38"/>
        <w:outlineLvl w:val="2"/>
        <w:rPr>
          <w:rFonts w:ascii="仿宋" w:hAnsi="仿宋" w:eastAsia="仿宋" w:cs="仿宋"/>
          <w:color w:val="auto"/>
          <w:sz w:val="24"/>
          <w:szCs w:val="24"/>
          <w:highlight w:val="none"/>
          <w:lang w:eastAsia="zh-CN"/>
        </w:rPr>
      </w:pPr>
      <w:bookmarkStart w:id="311" w:name="bookmark171"/>
      <w:bookmarkEnd w:id="311"/>
      <w:bookmarkStart w:id="312" w:name="_Toc186477756"/>
      <w:bookmarkStart w:id="313" w:name="_Toc25777"/>
      <w:r>
        <w:rPr>
          <w:rFonts w:hint="eastAsia" w:ascii="仿宋" w:hAnsi="仿宋" w:eastAsia="仿宋" w:cs="仿宋"/>
          <w:b/>
          <w:bCs/>
          <w:color w:val="auto"/>
          <w:spacing w:val="-6"/>
          <w:sz w:val="24"/>
          <w:szCs w:val="24"/>
          <w:highlight w:val="none"/>
          <w:lang w:eastAsia="zh-CN"/>
        </w:rPr>
        <w:t>（三）比较与评价</w:t>
      </w:r>
      <w:bookmarkEnd w:id="312"/>
      <w:bookmarkEnd w:id="313"/>
    </w:p>
    <w:p w14:paraId="50B47D58">
      <w:pPr>
        <w:spacing w:line="360" w:lineRule="auto"/>
        <w:ind w:left="22" w:right="208" w:firstLine="481"/>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9.评标委员会应当按照招标文件中规定的评标方法和标准，对符合性</w:t>
      </w:r>
      <w:r>
        <w:rPr>
          <w:rFonts w:hint="eastAsia" w:ascii="仿宋" w:hAnsi="仿宋" w:eastAsia="仿宋" w:cs="仿宋"/>
          <w:color w:val="auto"/>
          <w:spacing w:val="-4"/>
          <w:sz w:val="24"/>
          <w:szCs w:val="24"/>
          <w:highlight w:val="none"/>
          <w:lang w:eastAsia="zh-CN"/>
        </w:rPr>
        <w:t>审查合</w:t>
      </w:r>
      <w:r>
        <w:rPr>
          <w:rFonts w:hint="eastAsia" w:ascii="仿宋" w:hAnsi="仿宋" w:eastAsia="仿宋" w:cs="仿宋"/>
          <w:color w:val="auto"/>
          <w:spacing w:val="-3"/>
          <w:sz w:val="24"/>
          <w:szCs w:val="24"/>
          <w:highlight w:val="none"/>
          <w:lang w:eastAsia="zh-CN"/>
        </w:rPr>
        <w:t>格的投标文件进行商务和技术评估，综合比较与评价；未通过符合性审查的投标文件不得进入比较与评价。评审因素包括投标报价、商务技术以及落实政府采购</w:t>
      </w:r>
      <w:r>
        <w:rPr>
          <w:rFonts w:hint="eastAsia" w:ascii="仿宋" w:hAnsi="仿宋" w:eastAsia="仿宋" w:cs="仿宋"/>
          <w:color w:val="auto"/>
          <w:spacing w:val="-2"/>
          <w:sz w:val="24"/>
          <w:szCs w:val="24"/>
          <w:highlight w:val="none"/>
          <w:lang w:eastAsia="zh-CN"/>
        </w:rPr>
        <w:t>政策。评审因素及标准见本章“四、评标标准”。</w:t>
      </w:r>
    </w:p>
    <w:p w14:paraId="4B3AB3B1">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10.相同品牌处理原则</w:t>
      </w:r>
    </w:p>
    <w:p w14:paraId="5533ED64">
      <w:pPr>
        <w:spacing w:line="360" w:lineRule="auto"/>
        <w:ind w:left="26" w:right="208" w:firstLine="494"/>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10.1单一产品采购（或非单一产品采购中的核心产品</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2"/>
          <w:sz w:val="24"/>
          <w:szCs w:val="24"/>
          <w:highlight w:val="none"/>
          <w:lang w:eastAsia="zh-CN"/>
        </w:rPr>
        <w:t>提供相同品牌产</w:t>
      </w:r>
      <w:r>
        <w:rPr>
          <w:rFonts w:hint="eastAsia" w:ascii="仿宋" w:hAnsi="仿宋" w:eastAsia="仿宋" w:cs="仿宋"/>
          <w:color w:val="auto"/>
          <w:spacing w:val="-3"/>
          <w:sz w:val="24"/>
          <w:szCs w:val="24"/>
          <w:highlight w:val="none"/>
          <w:lang w:eastAsia="zh-CN"/>
        </w:rPr>
        <w:t>品且通过资格审查、符合性审查的不同投标人参加同一合同项下投标的，按</w:t>
      </w:r>
      <w:r>
        <w:rPr>
          <w:rFonts w:hint="eastAsia" w:ascii="仿宋" w:hAnsi="仿宋" w:eastAsia="仿宋" w:cs="仿宋"/>
          <w:color w:val="auto"/>
          <w:spacing w:val="-4"/>
          <w:sz w:val="24"/>
          <w:szCs w:val="24"/>
          <w:highlight w:val="none"/>
          <w:lang w:eastAsia="zh-CN"/>
        </w:rPr>
        <w:t>一家</w:t>
      </w:r>
      <w:r>
        <w:rPr>
          <w:rFonts w:hint="eastAsia" w:ascii="仿宋" w:hAnsi="仿宋" w:eastAsia="仿宋" w:cs="仿宋"/>
          <w:color w:val="auto"/>
          <w:spacing w:val="-3"/>
          <w:sz w:val="24"/>
          <w:szCs w:val="24"/>
          <w:highlight w:val="none"/>
          <w:lang w:eastAsia="zh-CN"/>
        </w:rPr>
        <w:t>投标人计算。</w:t>
      </w:r>
    </w:p>
    <w:p w14:paraId="71727D62">
      <w:pPr>
        <w:spacing w:line="360" w:lineRule="auto"/>
        <w:ind w:left="24" w:firstLine="49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10.2非单一产品采购项目，采购人应当</w:t>
      </w:r>
      <w:bookmarkStart w:id="314" w:name="OLE_LINK3"/>
      <w:r>
        <w:rPr>
          <w:rFonts w:hint="eastAsia" w:ascii="仿宋" w:hAnsi="仿宋" w:eastAsia="仿宋" w:cs="仿宋"/>
          <w:color w:val="auto"/>
          <w:spacing w:val="-1"/>
          <w:sz w:val="24"/>
          <w:szCs w:val="24"/>
          <w:highlight w:val="none"/>
          <w:lang w:eastAsia="zh-CN"/>
        </w:rPr>
        <w:t>根据采购项目技</w:t>
      </w:r>
      <w:r>
        <w:rPr>
          <w:rFonts w:hint="eastAsia" w:ascii="仿宋" w:hAnsi="仿宋" w:eastAsia="仿宋" w:cs="仿宋"/>
          <w:color w:val="auto"/>
          <w:spacing w:val="-2"/>
          <w:sz w:val="24"/>
          <w:szCs w:val="24"/>
          <w:highlight w:val="none"/>
          <w:lang w:eastAsia="zh-CN"/>
        </w:rPr>
        <w:t>术构成、产品价格</w:t>
      </w:r>
      <w:r>
        <w:rPr>
          <w:rFonts w:hint="eastAsia" w:ascii="仿宋" w:hAnsi="仿宋" w:eastAsia="仿宋" w:cs="仿宋"/>
          <w:color w:val="auto"/>
          <w:spacing w:val="-4"/>
          <w:sz w:val="24"/>
          <w:szCs w:val="24"/>
          <w:highlight w:val="none"/>
          <w:lang w:eastAsia="zh-CN"/>
        </w:rPr>
        <w:t>比重等合理确定核心产品（采购清单中作“与核心产品相同〈或同一〉品牌”实</w:t>
      </w:r>
      <w:r>
        <w:rPr>
          <w:rFonts w:hint="eastAsia" w:ascii="仿宋" w:hAnsi="仿宋" w:eastAsia="仿宋" w:cs="仿宋"/>
          <w:color w:val="auto"/>
          <w:spacing w:val="1"/>
          <w:sz w:val="24"/>
          <w:szCs w:val="24"/>
          <w:highlight w:val="none"/>
          <w:lang w:eastAsia="zh-CN"/>
        </w:rPr>
        <w:t>质性要求的产品，视为核心产品</w:t>
      </w:r>
      <w:r>
        <w:rPr>
          <w:rFonts w:hint="eastAsia" w:ascii="仿宋" w:hAnsi="仿宋" w:eastAsia="仿宋" w:cs="仿宋"/>
          <w:color w:val="auto"/>
          <w:spacing w:val="7"/>
          <w:sz w:val="24"/>
          <w:szCs w:val="24"/>
          <w:highlight w:val="none"/>
          <w:lang w:eastAsia="zh-CN"/>
        </w:rPr>
        <w:t>）</w:t>
      </w:r>
      <w:bookmarkEnd w:id="314"/>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1"/>
          <w:sz w:val="24"/>
          <w:szCs w:val="24"/>
          <w:highlight w:val="none"/>
          <w:lang w:eastAsia="zh-CN"/>
        </w:rPr>
        <w:t>并以“核心产品”在“</w:t>
      </w:r>
      <w:r>
        <w:rPr>
          <w:rFonts w:hint="eastAsia" w:ascii="仿宋" w:hAnsi="仿宋" w:eastAsia="仿宋" w:cs="仿宋"/>
          <w:color w:val="auto"/>
          <w:sz w:val="24"/>
          <w:szCs w:val="24"/>
          <w:highlight w:val="none"/>
          <w:lang w:eastAsia="zh-CN"/>
        </w:rPr>
        <w:t xml:space="preserve">投标人须知前附表” </w:t>
      </w:r>
      <w:r>
        <w:rPr>
          <w:rFonts w:hint="eastAsia" w:ascii="仿宋" w:hAnsi="仿宋" w:eastAsia="仿宋" w:cs="仿宋"/>
          <w:color w:val="auto"/>
          <w:spacing w:val="-1"/>
          <w:sz w:val="24"/>
          <w:szCs w:val="24"/>
          <w:highlight w:val="none"/>
          <w:lang w:eastAsia="zh-CN"/>
        </w:rPr>
        <w:t>中载明，评审时按前款规定处理。</w:t>
      </w:r>
    </w:p>
    <w:p w14:paraId="12BD3607">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10.3有效投标品牌不足3家的应按</w:t>
      </w:r>
      <w:r>
        <w:rPr>
          <w:rFonts w:hint="eastAsia" w:ascii="仿宋" w:hAnsi="仿宋" w:eastAsia="仿宋" w:cs="仿宋"/>
          <w:b/>
          <w:bCs/>
          <w:color w:val="auto"/>
          <w:spacing w:val="-3"/>
          <w:sz w:val="24"/>
          <w:szCs w:val="24"/>
          <w:highlight w:val="none"/>
          <w:lang w:eastAsia="zh-CN"/>
        </w:rPr>
        <w:t>废标</w:t>
      </w:r>
      <w:r>
        <w:rPr>
          <w:rFonts w:hint="eastAsia" w:ascii="仿宋" w:hAnsi="仿宋" w:eastAsia="仿宋" w:cs="仿宋"/>
          <w:color w:val="auto"/>
          <w:spacing w:val="-4"/>
          <w:sz w:val="24"/>
          <w:szCs w:val="24"/>
          <w:highlight w:val="none"/>
          <w:lang w:eastAsia="zh-CN"/>
        </w:rPr>
        <w:t>处理。</w:t>
      </w:r>
    </w:p>
    <w:p w14:paraId="238FC52F">
      <w:pPr>
        <w:spacing w:line="360" w:lineRule="auto"/>
        <w:ind w:left="38"/>
        <w:outlineLvl w:val="2"/>
        <w:rPr>
          <w:rFonts w:ascii="仿宋" w:hAnsi="仿宋" w:eastAsia="仿宋" w:cs="仿宋"/>
          <w:color w:val="auto"/>
          <w:sz w:val="24"/>
          <w:szCs w:val="24"/>
          <w:highlight w:val="none"/>
          <w:lang w:eastAsia="zh-CN"/>
        </w:rPr>
      </w:pPr>
      <w:bookmarkStart w:id="315" w:name="bookmark172"/>
      <w:bookmarkEnd w:id="315"/>
      <w:bookmarkStart w:id="316" w:name="bookmark282"/>
      <w:bookmarkEnd w:id="316"/>
      <w:bookmarkStart w:id="317" w:name="_Toc186477757"/>
      <w:bookmarkStart w:id="318" w:name="_Toc31351"/>
      <w:r>
        <w:rPr>
          <w:rFonts w:hint="eastAsia" w:ascii="仿宋" w:hAnsi="仿宋" w:eastAsia="仿宋" w:cs="仿宋"/>
          <w:b/>
          <w:bCs/>
          <w:color w:val="auto"/>
          <w:spacing w:val="-6"/>
          <w:sz w:val="24"/>
          <w:szCs w:val="24"/>
          <w:highlight w:val="none"/>
          <w:lang w:eastAsia="zh-CN"/>
        </w:rPr>
        <w:t>（四）报价评审</w:t>
      </w:r>
      <w:bookmarkEnd w:id="317"/>
      <w:bookmarkEnd w:id="318"/>
    </w:p>
    <w:p w14:paraId="06D05157">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11.投标报价评审</w:t>
      </w:r>
    </w:p>
    <w:p w14:paraId="343996FB">
      <w:pPr>
        <w:spacing w:line="360" w:lineRule="auto"/>
        <w:ind w:left="22" w:right="53" w:firstLine="498"/>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11.1货物项目的价格分值占总分值的比重不得低于30%。</w:t>
      </w:r>
      <w:r>
        <w:rPr>
          <w:rFonts w:hint="eastAsia" w:ascii="仿宋" w:hAnsi="仿宋" w:eastAsia="仿宋" w:cs="仿宋"/>
          <w:color w:val="auto"/>
          <w:spacing w:val="-5"/>
          <w:sz w:val="24"/>
          <w:szCs w:val="24"/>
          <w:highlight w:val="none"/>
          <w:lang w:eastAsia="zh-CN"/>
        </w:rPr>
        <w:t>执行国家统一定价</w:t>
      </w:r>
      <w:r>
        <w:rPr>
          <w:rFonts w:hint="eastAsia" w:ascii="仿宋" w:hAnsi="仿宋" w:eastAsia="仿宋" w:cs="仿宋"/>
          <w:color w:val="auto"/>
          <w:spacing w:val="-3"/>
          <w:sz w:val="24"/>
          <w:szCs w:val="24"/>
          <w:highlight w:val="none"/>
          <w:lang w:eastAsia="zh-CN"/>
        </w:rPr>
        <w:t>标准和采用固定价格采购的项目，其价格不列为评审因素。价格分应当采用低价优先法计算，即满足招标文件要求且投标价格最低的投标报价为评标基准价，其</w:t>
      </w:r>
      <w:r>
        <w:rPr>
          <w:rFonts w:hint="eastAsia" w:ascii="仿宋" w:hAnsi="仿宋" w:eastAsia="仿宋" w:cs="仿宋"/>
          <w:color w:val="auto"/>
          <w:spacing w:val="-1"/>
          <w:sz w:val="24"/>
          <w:szCs w:val="24"/>
          <w:highlight w:val="none"/>
          <w:lang w:eastAsia="zh-CN"/>
        </w:rPr>
        <w:t>价格分为满分。其他投标人的价格分统一按照下列公式计算：</w:t>
      </w:r>
    </w:p>
    <w:p w14:paraId="66878302">
      <w:pPr>
        <w:spacing w:line="360" w:lineRule="auto"/>
        <w:ind w:left="502" w:right="2160" w:firstLine="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投标报价得分=(评标基准价／投标报价)×价格分值</w:t>
      </w:r>
    </w:p>
    <w:p w14:paraId="78262E5D">
      <w:pPr>
        <w:spacing w:line="360" w:lineRule="auto"/>
        <w:ind w:left="502" w:right="2160" w:firstLine="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评标过程中，不得去掉报价中的最高报价和最低报</w:t>
      </w:r>
      <w:r>
        <w:rPr>
          <w:rFonts w:hint="eastAsia" w:ascii="仿宋" w:hAnsi="仿宋" w:eastAsia="仿宋" w:cs="仿宋"/>
          <w:color w:val="auto"/>
          <w:spacing w:val="-3"/>
          <w:sz w:val="24"/>
          <w:szCs w:val="24"/>
          <w:highlight w:val="none"/>
          <w:lang w:eastAsia="zh-CN"/>
        </w:rPr>
        <w:t>价。</w:t>
      </w:r>
    </w:p>
    <w:p w14:paraId="03B1696B">
      <w:pPr>
        <w:spacing w:line="360" w:lineRule="auto"/>
        <w:ind w:left="22" w:right="53" w:firstLine="498"/>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11.2除算术修正和落实政府采购政策的价格扣除外，不对投标报价进行调整；</w:t>
      </w:r>
    </w:p>
    <w:p w14:paraId="1D5FE9B8">
      <w:pPr>
        <w:spacing w:line="360" w:lineRule="auto"/>
        <w:ind w:left="22" w:right="53" w:firstLine="498"/>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11.3价格分值见本章“四、评标标准”。</w:t>
      </w:r>
    </w:p>
    <w:p w14:paraId="09EEDDE9">
      <w:pPr>
        <w:spacing w:line="360" w:lineRule="auto"/>
        <w:ind w:left="521" w:right="354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12.政府采购政策评审</w:t>
      </w:r>
    </w:p>
    <w:p w14:paraId="3ABCCD4D">
      <w:pPr>
        <w:spacing w:line="360" w:lineRule="auto"/>
        <w:ind w:left="22" w:right="53" w:firstLine="498"/>
        <w:rPr>
          <w:rFonts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12.1非专门面向中小企业的采购项目或采购包，对符合规定的小微企业（含</w:t>
      </w:r>
      <w:r>
        <w:rPr>
          <w:rFonts w:hint="eastAsia" w:ascii="仿宋" w:hAnsi="仿宋" w:eastAsia="仿宋" w:cs="仿宋"/>
          <w:color w:val="auto"/>
          <w:spacing w:val="-3"/>
          <w:sz w:val="24"/>
          <w:szCs w:val="24"/>
          <w:highlight w:val="none"/>
          <w:lang w:eastAsia="zh-CN"/>
        </w:rPr>
        <w:t>监狱企业、残疾人福利性单位、联合体各方均为小微企业的联合体、符合小微企业划分标准的个体工商户视同小微企业）报价按照本招标文件“投标人须知前附</w:t>
      </w:r>
      <w:r>
        <w:rPr>
          <w:rFonts w:hint="eastAsia" w:ascii="仿宋" w:hAnsi="仿宋" w:eastAsia="仿宋" w:cs="仿宋"/>
          <w:color w:val="auto"/>
          <w:spacing w:val="-4"/>
          <w:sz w:val="24"/>
          <w:szCs w:val="24"/>
          <w:highlight w:val="none"/>
          <w:lang w:eastAsia="zh-CN"/>
        </w:rPr>
        <w:t>表”中的规定扣除，对小微企业中的监狱企业、残疾人福利性单位、</w:t>
      </w:r>
      <w:r>
        <w:rPr>
          <w:rFonts w:hint="eastAsia" w:ascii="仿宋" w:hAnsi="仿宋" w:eastAsia="仿宋" w:cs="仿宋"/>
          <w:color w:val="auto"/>
          <w:spacing w:val="-3"/>
          <w:sz w:val="24"/>
          <w:szCs w:val="24"/>
          <w:highlight w:val="none"/>
          <w:lang w:eastAsia="zh-CN"/>
        </w:rPr>
        <w:t>采购产品获得节能产品或环境标志产品认</w:t>
      </w:r>
      <w:r>
        <w:rPr>
          <w:rFonts w:hint="eastAsia" w:ascii="仿宋" w:hAnsi="仿宋" w:eastAsia="仿宋" w:cs="仿宋"/>
          <w:color w:val="auto"/>
          <w:spacing w:val="-4"/>
          <w:sz w:val="24"/>
          <w:szCs w:val="24"/>
          <w:highlight w:val="none"/>
          <w:lang w:eastAsia="zh-CN"/>
        </w:rPr>
        <w:t>证证书的企业报价按照本招标文件“投标人须知前附表”中的规定扣除，用扣除</w:t>
      </w:r>
      <w:r>
        <w:rPr>
          <w:rFonts w:hint="eastAsia" w:ascii="仿宋" w:hAnsi="仿宋" w:eastAsia="仿宋" w:cs="仿宋"/>
          <w:color w:val="auto"/>
          <w:spacing w:val="-1"/>
          <w:sz w:val="24"/>
          <w:szCs w:val="24"/>
          <w:highlight w:val="none"/>
          <w:lang w:eastAsia="zh-CN"/>
        </w:rPr>
        <w:t>后的价格计算评审基准价。</w:t>
      </w:r>
    </w:p>
    <w:p w14:paraId="20076564">
      <w:pPr>
        <w:spacing w:line="360" w:lineRule="auto"/>
        <w:ind w:left="22" w:right="53" w:firstLine="498"/>
        <w:rPr>
          <w:rFonts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12.2参加政府采购活动的小微企业（含节能环保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若供应商同时属于小型或微型企业、监狱企业、残疾人福利性单位中的两种及以上，将不重复享受小微企业价格扣减的优惠政策。</w:t>
      </w:r>
    </w:p>
    <w:p w14:paraId="63219E62">
      <w:pPr>
        <w:spacing w:line="360" w:lineRule="auto"/>
        <w:ind w:left="22" w:right="53" w:firstLine="498"/>
        <w:rPr>
          <w:rFonts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组成联合体或者接受分包的小微企业与联合体内其他企业、分包企业之间存在直接控股、管理关系的，不享受价格扣除优惠政策。</w:t>
      </w:r>
    </w:p>
    <w:p w14:paraId="58ECEEF8">
      <w:pPr>
        <w:spacing w:line="360" w:lineRule="auto"/>
        <w:ind w:left="22" w:right="53" w:firstLine="498"/>
        <w:rPr>
          <w:rFonts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价格扣除比例对小型企业和微型企业同等对待，不作区分。</w:t>
      </w:r>
    </w:p>
    <w:p w14:paraId="7A3318ED">
      <w:pPr>
        <w:spacing w:line="360" w:lineRule="auto"/>
        <w:ind w:left="22" w:right="53" w:firstLine="498"/>
        <w:rPr>
          <w:rFonts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12.3专门面向中小企业、预留部分采购份额面向中小企业采购的项目或采购包，评审时不再进行价格扣除。</w:t>
      </w:r>
    </w:p>
    <w:p w14:paraId="678C4A3D">
      <w:pPr>
        <w:spacing w:line="360" w:lineRule="auto"/>
        <w:ind w:left="22" w:right="13" w:firstLine="498"/>
        <w:jc w:val="both"/>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12.4对于未预留份额专门面向中小企业的政府采购项目，以及预留</w:t>
      </w:r>
      <w:r>
        <w:rPr>
          <w:rFonts w:hint="eastAsia" w:ascii="仿宋" w:hAnsi="仿宋" w:eastAsia="仿宋" w:cs="仿宋"/>
          <w:color w:val="auto"/>
          <w:spacing w:val="-2"/>
          <w:sz w:val="24"/>
          <w:szCs w:val="24"/>
          <w:highlight w:val="none"/>
          <w:lang w:eastAsia="zh-CN"/>
        </w:rPr>
        <w:t>份额政府采购项目中的非预留部分标项，对小型和微型企业的投标报价给予10%-20%的</w:t>
      </w:r>
      <w:r>
        <w:rPr>
          <w:rFonts w:hint="eastAsia" w:ascii="仿宋" w:hAnsi="仿宋" w:eastAsia="仿宋" w:cs="仿宋"/>
          <w:color w:val="auto"/>
          <w:spacing w:val="-3"/>
          <w:sz w:val="24"/>
          <w:szCs w:val="24"/>
          <w:highlight w:val="none"/>
          <w:lang w:eastAsia="zh-CN"/>
        </w:rPr>
        <w:t>扣除，用扣除后的价格参与评审。接受大中型企业与小微企业组成联合体或者允许大中型企业向一家或者多家小微企业分包的政府采购项目，对于联合体协议书</w:t>
      </w:r>
      <w:r>
        <w:rPr>
          <w:rFonts w:hint="eastAsia" w:ascii="仿宋" w:hAnsi="仿宋" w:eastAsia="仿宋" w:cs="仿宋"/>
          <w:color w:val="auto"/>
          <w:spacing w:val="-2"/>
          <w:sz w:val="24"/>
          <w:szCs w:val="24"/>
          <w:highlight w:val="none"/>
          <w:lang w:eastAsia="zh-CN"/>
        </w:rPr>
        <w:t>或者分包意向协议书约定小微企业的合同份额占到合同总金额30%以上的，对联</w:t>
      </w:r>
      <w:r>
        <w:rPr>
          <w:rFonts w:hint="eastAsia" w:ascii="仿宋" w:hAnsi="仿宋" w:eastAsia="仿宋" w:cs="仿宋"/>
          <w:color w:val="auto"/>
          <w:spacing w:val="-1"/>
          <w:sz w:val="24"/>
          <w:szCs w:val="24"/>
          <w:highlight w:val="none"/>
          <w:lang w:eastAsia="zh-CN"/>
        </w:rPr>
        <w:t>合体或者大中型企业的报价给予4%-6%的扣除</w:t>
      </w:r>
      <w:r>
        <w:rPr>
          <w:rFonts w:hint="eastAsia" w:ascii="仿宋" w:hAnsi="仿宋" w:eastAsia="仿宋" w:cs="仿宋"/>
          <w:color w:val="auto"/>
          <w:spacing w:val="-2"/>
          <w:sz w:val="24"/>
          <w:szCs w:val="24"/>
          <w:highlight w:val="none"/>
          <w:lang w:eastAsia="zh-CN"/>
        </w:rPr>
        <w:t>，用扣除后的价格参加评审。组成</w:t>
      </w:r>
      <w:r>
        <w:rPr>
          <w:rFonts w:hint="eastAsia" w:ascii="仿宋" w:hAnsi="仿宋" w:eastAsia="仿宋" w:cs="仿宋"/>
          <w:color w:val="auto"/>
          <w:spacing w:val="-3"/>
          <w:sz w:val="24"/>
          <w:szCs w:val="24"/>
          <w:highlight w:val="none"/>
          <w:lang w:eastAsia="zh-CN"/>
        </w:rPr>
        <w:t>联合体或者接受分包的小微企业与联合体内其他企业、分包企业之间存在直接控</w:t>
      </w:r>
      <w:r>
        <w:rPr>
          <w:rFonts w:hint="eastAsia" w:ascii="仿宋" w:hAnsi="仿宋" w:eastAsia="仿宋" w:cs="仿宋"/>
          <w:color w:val="auto"/>
          <w:spacing w:val="-1"/>
          <w:sz w:val="24"/>
          <w:szCs w:val="24"/>
          <w:highlight w:val="none"/>
          <w:lang w:eastAsia="zh-CN"/>
        </w:rPr>
        <w:t>股、管理关系的，不享受价格扣除优惠政策。</w:t>
      </w:r>
    </w:p>
    <w:p w14:paraId="2C70A8B3">
      <w:pPr>
        <w:spacing w:line="360" w:lineRule="auto"/>
        <w:ind w:left="22" w:right="13" w:firstLine="498"/>
        <w:jc w:val="both"/>
        <w:rPr>
          <w:rFonts w:ascii="仿宋" w:hAnsi="仿宋" w:eastAsia="仿宋" w:cs="仿宋"/>
          <w:color w:val="auto"/>
          <w:sz w:val="24"/>
          <w:szCs w:val="24"/>
          <w:highlight w:val="none"/>
          <w:lang w:eastAsia="zh-CN"/>
        </w:rPr>
      </w:pPr>
      <w:bookmarkStart w:id="319" w:name="OLE_LINK34"/>
      <w:bookmarkStart w:id="320" w:name="OLE_LINK33"/>
      <w:bookmarkStart w:id="321" w:name="OLE_LINK35"/>
      <w:bookmarkStart w:id="322" w:name="OLE_LINK40"/>
      <w:r>
        <w:rPr>
          <w:rFonts w:hint="eastAsia" w:ascii="仿宋" w:hAnsi="仿宋" w:eastAsia="仿宋" w:cs="仿宋"/>
          <w:color w:val="auto"/>
          <w:sz w:val="24"/>
          <w:szCs w:val="24"/>
          <w:highlight w:val="none"/>
          <w:lang w:eastAsia="zh-CN"/>
        </w:rPr>
        <w:t>12.5 投标人所投产品如属于节能产品政府采购品目</w:t>
      </w:r>
      <w:r>
        <w:rPr>
          <w:rFonts w:hint="eastAsia" w:ascii="仿宋" w:hAnsi="仿宋" w:eastAsia="仿宋" w:cs="仿宋"/>
          <w:color w:val="auto"/>
          <w:spacing w:val="-1"/>
          <w:sz w:val="24"/>
          <w:szCs w:val="24"/>
          <w:highlight w:val="none"/>
          <w:lang w:eastAsia="zh-CN"/>
        </w:rPr>
        <w:t>清单、环境标志产品政</w:t>
      </w:r>
      <w:r>
        <w:rPr>
          <w:rFonts w:hint="eastAsia" w:ascii="仿宋" w:hAnsi="仿宋" w:eastAsia="仿宋" w:cs="仿宋"/>
          <w:color w:val="auto"/>
          <w:spacing w:val="-3"/>
          <w:sz w:val="24"/>
          <w:szCs w:val="24"/>
          <w:highlight w:val="none"/>
          <w:lang w:eastAsia="zh-CN"/>
        </w:rPr>
        <w:t>府采购品目清单范围的，须提供国家确定的认证机构出具的、处于有效期内的产品认证证书，认证证书的产品型号与所投产品不一致的，视为未提供。属于政府强制采购产品的，已作为投标时强制性要求不再给予价格评审优惠，未提供认证证书的视为</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。属于优先采购节能产品政府采购品目</w:t>
      </w:r>
      <w:r>
        <w:rPr>
          <w:rFonts w:hint="eastAsia" w:ascii="仿宋" w:hAnsi="仿宋" w:eastAsia="仿宋" w:cs="仿宋"/>
          <w:color w:val="auto"/>
          <w:spacing w:val="-4"/>
          <w:sz w:val="24"/>
          <w:szCs w:val="24"/>
          <w:highlight w:val="none"/>
          <w:lang w:eastAsia="zh-CN"/>
        </w:rPr>
        <w:t>清单、环境标志产品</w:t>
      </w:r>
      <w:r>
        <w:rPr>
          <w:rFonts w:hint="eastAsia" w:ascii="仿宋" w:hAnsi="仿宋" w:eastAsia="仿宋" w:cs="仿宋"/>
          <w:color w:val="auto"/>
          <w:spacing w:val="-1"/>
          <w:sz w:val="24"/>
          <w:szCs w:val="24"/>
          <w:highlight w:val="none"/>
          <w:lang w:eastAsia="zh-CN"/>
        </w:rPr>
        <w:t>政府采购品目清单范围的，在参加评审时，可获得该产品报价1%的价格扣除。</w:t>
      </w:r>
      <w:bookmarkEnd w:id="319"/>
      <w:bookmarkEnd w:id="320"/>
      <w:bookmarkEnd w:id="321"/>
      <w:bookmarkEnd w:id="322"/>
    </w:p>
    <w:p w14:paraId="36938758">
      <w:pPr>
        <w:spacing w:line="360" w:lineRule="auto"/>
        <w:ind w:left="38"/>
        <w:outlineLvl w:val="2"/>
        <w:rPr>
          <w:rFonts w:ascii="仿宋" w:hAnsi="仿宋" w:eastAsia="仿宋" w:cs="仿宋"/>
          <w:color w:val="auto"/>
          <w:sz w:val="24"/>
          <w:szCs w:val="24"/>
          <w:highlight w:val="none"/>
          <w:lang w:eastAsia="zh-CN"/>
        </w:rPr>
      </w:pPr>
      <w:bookmarkStart w:id="323" w:name="_Toc14638"/>
      <w:bookmarkStart w:id="324" w:name="_Toc186477758"/>
      <w:r>
        <w:rPr>
          <w:rFonts w:hint="eastAsia" w:ascii="仿宋" w:hAnsi="仿宋" w:eastAsia="仿宋" w:cs="仿宋"/>
          <w:b/>
          <w:bCs/>
          <w:color w:val="auto"/>
          <w:spacing w:val="-5"/>
          <w:sz w:val="24"/>
          <w:szCs w:val="24"/>
          <w:highlight w:val="none"/>
          <w:lang w:eastAsia="zh-CN"/>
        </w:rPr>
        <w:t>（五）评标得分及复核</w:t>
      </w:r>
      <w:bookmarkEnd w:id="323"/>
      <w:bookmarkEnd w:id="324"/>
    </w:p>
    <w:p w14:paraId="0AAA521C">
      <w:pPr>
        <w:spacing w:line="360" w:lineRule="auto"/>
        <w:ind w:left="26" w:right="40" w:firstLine="494"/>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13.评标过程中，各项分值一般精确到小数点后两位，评标得分应为商务评</w:t>
      </w:r>
      <w:r>
        <w:rPr>
          <w:rFonts w:hint="eastAsia" w:ascii="仿宋" w:hAnsi="仿宋" w:eastAsia="仿宋" w:cs="仿宋"/>
          <w:color w:val="auto"/>
          <w:sz w:val="24"/>
          <w:szCs w:val="24"/>
          <w:highlight w:val="none"/>
          <w:lang w:eastAsia="zh-CN"/>
        </w:rPr>
        <w:t>分、技术评分、报价评分之和。评标委员会各</w:t>
      </w:r>
      <w:r>
        <w:rPr>
          <w:rFonts w:hint="eastAsia" w:ascii="仿宋" w:hAnsi="仿宋" w:eastAsia="仿宋" w:cs="仿宋"/>
          <w:color w:val="auto"/>
          <w:spacing w:val="-1"/>
          <w:sz w:val="24"/>
          <w:szCs w:val="24"/>
          <w:highlight w:val="none"/>
          <w:lang w:eastAsia="zh-CN"/>
        </w:rPr>
        <w:t>成员应汇总每个投标人的得分。</w:t>
      </w:r>
    </w:p>
    <w:p w14:paraId="47205AED">
      <w:pPr>
        <w:widowControl w:val="0"/>
        <w:spacing w:line="360" w:lineRule="auto"/>
        <w:ind w:left="23" w:firstLine="499"/>
        <w:rPr>
          <w:rFonts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1</w:t>
      </w:r>
      <w:r>
        <w:rPr>
          <w:rFonts w:hint="eastAsia" w:ascii="仿宋" w:hAnsi="仿宋" w:eastAsia="仿宋" w:cs="仿宋"/>
          <w:color w:val="auto"/>
          <w:spacing w:val="-13"/>
          <w:sz w:val="24"/>
          <w:szCs w:val="24"/>
          <w:highlight w:val="none"/>
          <w:lang w:eastAsia="zh-CN"/>
        </w:rPr>
        <w:t>4.评标结果汇总完成后，采购代理机构应对评标结果进行复核。经复核发</w:t>
      </w:r>
      <w:r>
        <w:rPr>
          <w:rFonts w:hint="eastAsia" w:ascii="仿宋" w:hAnsi="仿宋" w:eastAsia="仿宋" w:cs="仿宋"/>
          <w:color w:val="auto"/>
          <w:spacing w:val="-14"/>
          <w:sz w:val="24"/>
          <w:szCs w:val="24"/>
          <w:highlight w:val="none"/>
          <w:lang w:eastAsia="zh-CN"/>
        </w:rPr>
        <w:t>现</w:t>
      </w:r>
      <w:r>
        <w:rPr>
          <w:rFonts w:hint="eastAsia" w:ascii="仿宋" w:hAnsi="仿宋" w:eastAsia="仿宋" w:cs="仿宋"/>
          <w:color w:val="auto"/>
          <w:spacing w:val="-13"/>
          <w:sz w:val="24"/>
          <w:szCs w:val="24"/>
          <w:highlight w:val="none"/>
          <w:lang w:eastAsia="zh-CN"/>
        </w:rPr>
        <w:t>存</w:t>
      </w:r>
      <w:r>
        <w:rPr>
          <w:rFonts w:hint="eastAsia" w:ascii="仿宋" w:hAnsi="仿宋" w:eastAsia="仿宋" w:cs="仿宋"/>
          <w:color w:val="auto"/>
          <w:spacing w:val="-12"/>
          <w:sz w:val="24"/>
          <w:szCs w:val="24"/>
          <w:highlight w:val="none"/>
          <w:lang w:eastAsia="zh-CN"/>
        </w:rPr>
        <w:t>在以下情形之一的，评标委员会应当当场修改评标结果，并在评标报告中记载：</w:t>
      </w:r>
    </w:p>
    <w:p w14:paraId="027EF7DE">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14.1分值汇总计算错误的；</w:t>
      </w:r>
    </w:p>
    <w:p w14:paraId="6E4D1271">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14.2分项评分超出评分标准范围的；</w:t>
      </w:r>
    </w:p>
    <w:p w14:paraId="2FDDB2FA">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14.3评标委员会成员对客观评审因素评分不一致的；</w:t>
      </w:r>
    </w:p>
    <w:p w14:paraId="04AC1529">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14.4经评标委员会认定评分畸高、畸低的。</w:t>
      </w:r>
    </w:p>
    <w:p w14:paraId="0511BB5B">
      <w:pPr>
        <w:spacing w:line="360" w:lineRule="auto"/>
        <w:ind w:left="43" w:right="40" w:firstLine="478"/>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15.各投标人的最终得分为评标委员会所有成员对各投标人评标得分汇总后</w:t>
      </w:r>
      <w:r>
        <w:rPr>
          <w:rFonts w:hint="eastAsia" w:ascii="仿宋" w:hAnsi="仿宋" w:eastAsia="仿宋" w:cs="仿宋"/>
          <w:color w:val="auto"/>
          <w:spacing w:val="-5"/>
          <w:sz w:val="24"/>
          <w:szCs w:val="24"/>
          <w:highlight w:val="none"/>
          <w:lang w:eastAsia="zh-CN"/>
        </w:rPr>
        <w:t>的算术平均值。</w:t>
      </w:r>
    </w:p>
    <w:p w14:paraId="7D4216DF">
      <w:pPr>
        <w:spacing w:line="360" w:lineRule="auto"/>
        <w:ind w:left="21" w:right="13" w:firstLine="499"/>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15.1除资格性检查认定错误、分值汇总计算错误、分项评分超出评分标准</w:t>
      </w:r>
      <w:r>
        <w:rPr>
          <w:rFonts w:hint="eastAsia" w:ascii="仿宋" w:hAnsi="仿宋" w:eastAsia="仿宋" w:cs="仿宋"/>
          <w:color w:val="auto"/>
          <w:spacing w:val="-3"/>
          <w:sz w:val="24"/>
          <w:szCs w:val="24"/>
          <w:highlight w:val="none"/>
          <w:lang w:eastAsia="zh-CN"/>
        </w:rPr>
        <w:t>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w:t>
      </w:r>
      <w:r>
        <w:rPr>
          <w:rFonts w:hint="eastAsia" w:ascii="仿宋" w:hAnsi="仿宋" w:eastAsia="仿宋" w:cs="仿宋"/>
          <w:color w:val="auto"/>
          <w:spacing w:val="-1"/>
          <w:sz w:val="24"/>
          <w:szCs w:val="24"/>
          <w:highlight w:val="none"/>
          <w:lang w:eastAsia="zh-CN"/>
        </w:rPr>
        <w:t>动，并同时书面报告本级财政部门。</w:t>
      </w:r>
    </w:p>
    <w:p w14:paraId="31C66EDD">
      <w:pPr>
        <w:spacing w:line="360" w:lineRule="auto"/>
        <w:ind w:left="26" w:right="100" w:firstLine="494"/>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15.2采购人或者采购代理机构不得通过对样品进行检测、对投标人</w:t>
      </w:r>
      <w:r>
        <w:rPr>
          <w:rFonts w:hint="eastAsia" w:ascii="仿宋" w:hAnsi="仿宋" w:eastAsia="仿宋" w:cs="仿宋"/>
          <w:color w:val="auto"/>
          <w:spacing w:val="-2"/>
          <w:sz w:val="24"/>
          <w:szCs w:val="24"/>
          <w:highlight w:val="none"/>
          <w:lang w:eastAsia="zh-CN"/>
        </w:rPr>
        <w:t>进行考察等方式改变评审结果。</w:t>
      </w:r>
    </w:p>
    <w:p w14:paraId="62139266">
      <w:pPr>
        <w:spacing w:line="360" w:lineRule="auto"/>
        <w:ind w:left="38"/>
        <w:outlineLvl w:val="2"/>
        <w:rPr>
          <w:rFonts w:ascii="仿宋" w:hAnsi="仿宋" w:eastAsia="仿宋" w:cs="仿宋"/>
          <w:color w:val="auto"/>
          <w:sz w:val="24"/>
          <w:szCs w:val="24"/>
          <w:highlight w:val="none"/>
          <w:lang w:eastAsia="zh-CN"/>
        </w:rPr>
      </w:pPr>
      <w:bookmarkStart w:id="325" w:name="_Toc6751"/>
      <w:bookmarkStart w:id="326" w:name="_Toc186477759"/>
      <w:r>
        <w:rPr>
          <w:rFonts w:hint="eastAsia" w:ascii="仿宋" w:hAnsi="仿宋" w:eastAsia="仿宋" w:cs="仿宋"/>
          <w:b/>
          <w:bCs/>
          <w:color w:val="auto"/>
          <w:spacing w:val="-6"/>
          <w:sz w:val="24"/>
          <w:szCs w:val="24"/>
          <w:highlight w:val="none"/>
          <w:lang w:eastAsia="zh-CN"/>
        </w:rPr>
        <w:t>（六）排序与推荐</w:t>
      </w:r>
      <w:bookmarkEnd w:id="325"/>
      <w:bookmarkEnd w:id="326"/>
    </w:p>
    <w:p w14:paraId="0CCBF230">
      <w:pPr>
        <w:spacing w:line="360" w:lineRule="auto"/>
        <w:ind w:left="24" w:firstLine="496"/>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16.评标结果按评审后得分由高到低顺序排列。投标文件满足招标文件全部</w:t>
      </w:r>
      <w:r>
        <w:rPr>
          <w:rFonts w:hint="eastAsia" w:ascii="仿宋" w:hAnsi="仿宋" w:eastAsia="仿宋" w:cs="仿宋"/>
          <w:color w:val="auto"/>
          <w:spacing w:val="-3"/>
          <w:sz w:val="24"/>
          <w:szCs w:val="24"/>
          <w:highlight w:val="none"/>
          <w:lang w:eastAsia="zh-CN"/>
        </w:rPr>
        <w:t>实质性要求，且按照评审因素的量化指标评审得分最高的投标人为排名第一的中</w:t>
      </w:r>
      <w:r>
        <w:rPr>
          <w:rFonts w:hint="eastAsia" w:ascii="仿宋" w:hAnsi="仿宋" w:eastAsia="仿宋" w:cs="仿宋"/>
          <w:color w:val="auto"/>
          <w:spacing w:val="-8"/>
          <w:sz w:val="24"/>
          <w:szCs w:val="24"/>
          <w:highlight w:val="none"/>
          <w:lang w:eastAsia="zh-CN"/>
        </w:rPr>
        <w:t>标候选人。得分相同的，按投标报价由低到高顺序排列。得分且投标报价相同的，</w:t>
      </w:r>
      <w:r>
        <w:rPr>
          <w:rFonts w:hint="eastAsia" w:ascii="仿宋" w:hAnsi="仿宋" w:eastAsia="仿宋" w:cs="仿宋"/>
          <w:color w:val="auto"/>
          <w:spacing w:val="-1"/>
          <w:sz w:val="24"/>
          <w:szCs w:val="24"/>
          <w:highlight w:val="none"/>
          <w:lang w:eastAsia="zh-CN"/>
        </w:rPr>
        <w:t>按技术指标优劣顺序排列。</w:t>
      </w:r>
    </w:p>
    <w:p w14:paraId="16EDF546">
      <w:pPr>
        <w:spacing w:line="360" w:lineRule="auto"/>
        <w:ind w:left="23" w:right="61" w:firstLine="497"/>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17.提供相同品牌产品（单一产品采购项目中的该产品或者非单一产品采购</w:t>
      </w:r>
      <w:r>
        <w:rPr>
          <w:rFonts w:hint="eastAsia" w:ascii="仿宋" w:hAnsi="仿宋" w:eastAsia="仿宋" w:cs="仿宋"/>
          <w:color w:val="auto"/>
          <w:spacing w:val="-3"/>
          <w:sz w:val="24"/>
          <w:szCs w:val="24"/>
          <w:highlight w:val="none"/>
          <w:lang w:eastAsia="zh-CN"/>
        </w:rPr>
        <w:t>项目的核心产品）且通过资格审查、符合性审查的不同投标人参加同一合同项下投标的，按一家投标人计算，评审后得分最高的同品牌投标人获得中标人推荐资格；评审得分相同的，由采购人或者采购人委托评标委员会按照“投标人须知前</w:t>
      </w:r>
      <w:r>
        <w:rPr>
          <w:rFonts w:hint="eastAsia" w:ascii="仿宋" w:hAnsi="仿宋" w:eastAsia="仿宋" w:cs="仿宋"/>
          <w:color w:val="auto"/>
          <w:spacing w:val="-4"/>
          <w:sz w:val="24"/>
          <w:szCs w:val="24"/>
          <w:highlight w:val="none"/>
          <w:lang w:eastAsia="zh-CN"/>
        </w:rPr>
        <w:t>附表”规定的方式确定一个投标人获得中标人推荐资格，招标文件未规定的采取</w:t>
      </w:r>
      <w:r>
        <w:rPr>
          <w:rFonts w:hint="eastAsia" w:ascii="仿宋" w:hAnsi="仿宋" w:eastAsia="仿宋" w:cs="仿宋"/>
          <w:color w:val="auto"/>
          <w:spacing w:val="-1"/>
          <w:sz w:val="24"/>
          <w:szCs w:val="24"/>
          <w:highlight w:val="none"/>
          <w:lang w:eastAsia="zh-CN"/>
        </w:rPr>
        <w:t>随机抽取方式确定，其他同品牌投标人不作为中标候选人。</w:t>
      </w:r>
    </w:p>
    <w:p w14:paraId="4AEE0603">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18.中标候选人推荐家数详见“投标人须知前附</w:t>
      </w:r>
      <w:r>
        <w:rPr>
          <w:rFonts w:hint="eastAsia" w:ascii="仿宋" w:hAnsi="仿宋" w:eastAsia="仿宋" w:cs="仿宋"/>
          <w:color w:val="auto"/>
          <w:spacing w:val="-2"/>
          <w:sz w:val="24"/>
          <w:szCs w:val="24"/>
          <w:highlight w:val="none"/>
          <w:lang w:eastAsia="zh-CN"/>
        </w:rPr>
        <w:t>表”。</w:t>
      </w:r>
    </w:p>
    <w:p w14:paraId="758F8A12">
      <w:pPr>
        <w:spacing w:line="360" w:lineRule="auto"/>
        <w:ind w:left="38"/>
        <w:outlineLvl w:val="2"/>
        <w:rPr>
          <w:rFonts w:ascii="仿宋" w:hAnsi="仿宋" w:eastAsia="仿宋" w:cs="仿宋"/>
          <w:color w:val="auto"/>
          <w:sz w:val="24"/>
          <w:szCs w:val="24"/>
          <w:highlight w:val="none"/>
          <w:lang w:eastAsia="zh-CN"/>
        </w:rPr>
      </w:pPr>
      <w:bookmarkStart w:id="327" w:name="bookmark177"/>
      <w:bookmarkEnd w:id="327"/>
      <w:bookmarkStart w:id="328" w:name="_Toc186477760"/>
      <w:bookmarkStart w:id="329" w:name="_Toc1659"/>
      <w:r>
        <w:rPr>
          <w:rFonts w:hint="eastAsia" w:ascii="仿宋" w:hAnsi="仿宋" w:eastAsia="仿宋" w:cs="仿宋"/>
          <w:b/>
          <w:bCs/>
          <w:color w:val="auto"/>
          <w:spacing w:val="-5"/>
          <w:sz w:val="24"/>
          <w:szCs w:val="24"/>
          <w:highlight w:val="none"/>
          <w:lang w:eastAsia="zh-CN"/>
        </w:rPr>
        <w:t>（七）编写评标报告</w:t>
      </w:r>
      <w:bookmarkEnd w:id="328"/>
      <w:bookmarkEnd w:id="329"/>
    </w:p>
    <w:p w14:paraId="67906C19">
      <w:pPr>
        <w:spacing w:line="360" w:lineRule="auto"/>
        <w:ind w:left="21" w:right="61" w:firstLine="499"/>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19.评标委员会根据全体评标成员签字的原始评标记录和评标结果编写评标</w:t>
      </w:r>
      <w:r>
        <w:rPr>
          <w:rFonts w:hint="eastAsia" w:ascii="仿宋" w:hAnsi="仿宋" w:eastAsia="仿宋" w:cs="仿宋"/>
          <w:color w:val="auto"/>
          <w:spacing w:val="-3"/>
          <w:sz w:val="24"/>
          <w:szCs w:val="24"/>
          <w:highlight w:val="none"/>
          <w:lang w:eastAsia="zh-CN"/>
        </w:rPr>
        <w:t>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w:t>
      </w:r>
      <w:r>
        <w:rPr>
          <w:rFonts w:hint="eastAsia" w:ascii="仿宋" w:hAnsi="仿宋" w:eastAsia="仿宋" w:cs="仿宋"/>
          <w:color w:val="auto"/>
          <w:spacing w:val="-1"/>
          <w:sz w:val="24"/>
          <w:szCs w:val="24"/>
          <w:highlight w:val="none"/>
          <w:lang w:eastAsia="zh-CN"/>
        </w:rPr>
        <w:t>明理由，否则视为同意评标报告。</w:t>
      </w:r>
    </w:p>
    <w:p w14:paraId="0C66215C">
      <w:pPr>
        <w:spacing w:line="360" w:lineRule="auto"/>
        <w:ind w:left="38"/>
        <w:outlineLvl w:val="2"/>
        <w:rPr>
          <w:rFonts w:ascii="仿宋" w:hAnsi="仿宋" w:eastAsia="仿宋" w:cs="仿宋"/>
          <w:color w:val="auto"/>
          <w:sz w:val="24"/>
          <w:szCs w:val="24"/>
          <w:highlight w:val="none"/>
          <w:lang w:eastAsia="zh-CN"/>
        </w:rPr>
      </w:pPr>
      <w:bookmarkStart w:id="330" w:name="bookmark178"/>
      <w:bookmarkEnd w:id="330"/>
      <w:bookmarkStart w:id="331" w:name="bookmark174"/>
      <w:bookmarkEnd w:id="331"/>
      <w:bookmarkStart w:id="332" w:name="bookmark180"/>
      <w:bookmarkEnd w:id="332"/>
      <w:bookmarkStart w:id="333" w:name="bookmark204"/>
      <w:bookmarkEnd w:id="333"/>
      <w:bookmarkStart w:id="334" w:name="bookmark208"/>
      <w:bookmarkEnd w:id="334"/>
      <w:bookmarkStart w:id="335" w:name="bookmark206"/>
      <w:bookmarkEnd w:id="335"/>
      <w:bookmarkStart w:id="336" w:name="bookmark176"/>
      <w:bookmarkEnd w:id="336"/>
      <w:bookmarkStart w:id="337" w:name="bookmark179"/>
      <w:bookmarkEnd w:id="337"/>
      <w:bookmarkStart w:id="338" w:name="_Toc7184"/>
      <w:bookmarkStart w:id="339" w:name="_Toc186477761"/>
      <w:r>
        <w:rPr>
          <w:rFonts w:hint="eastAsia" w:ascii="仿宋" w:hAnsi="仿宋" w:eastAsia="仿宋" w:cs="仿宋"/>
          <w:b/>
          <w:bCs/>
          <w:color w:val="auto"/>
          <w:spacing w:val="-4"/>
          <w:sz w:val="24"/>
          <w:szCs w:val="24"/>
          <w:highlight w:val="none"/>
          <w:lang w:eastAsia="zh-CN"/>
        </w:rPr>
        <w:t>（八）投标无效及应予废标的情形</w:t>
      </w:r>
      <w:bookmarkEnd w:id="338"/>
      <w:bookmarkEnd w:id="339"/>
    </w:p>
    <w:p w14:paraId="37DCF98D">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20.投标人存在下列情形之一的，</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23BFDA74">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20.1投标人不具备《中华人民共和国政府采购法》第二十二条规定条件；</w:t>
      </w:r>
    </w:p>
    <w:p w14:paraId="5C13B1BC">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20.2投标文件未按招标文件要求签署、盖</w:t>
      </w:r>
      <w:r>
        <w:rPr>
          <w:rFonts w:hint="eastAsia" w:ascii="仿宋" w:hAnsi="仿宋" w:eastAsia="仿宋" w:cs="仿宋"/>
          <w:color w:val="auto"/>
          <w:spacing w:val="-2"/>
          <w:sz w:val="24"/>
          <w:szCs w:val="24"/>
          <w:highlight w:val="none"/>
          <w:lang w:eastAsia="zh-CN"/>
        </w:rPr>
        <w:t>章的；</w:t>
      </w:r>
    </w:p>
    <w:p w14:paraId="3F5C729F">
      <w:pPr>
        <w:spacing w:line="360" w:lineRule="auto"/>
        <w:ind w:left="22" w:firstLine="48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20.3不具备招标文件中规定的资格要求的（</w:t>
      </w:r>
      <w:r>
        <w:rPr>
          <w:rFonts w:hint="eastAsia" w:ascii="仿宋" w:hAnsi="仿宋" w:eastAsia="仿宋" w:cs="仿宋"/>
          <w:color w:val="auto"/>
          <w:spacing w:val="-4"/>
          <w:sz w:val="24"/>
          <w:szCs w:val="24"/>
          <w:highlight w:val="none"/>
          <w:lang w:eastAsia="zh-CN"/>
        </w:rPr>
        <w:t>投标人未提供有效资格文件的，</w:t>
      </w:r>
      <w:r>
        <w:rPr>
          <w:rFonts w:hint="eastAsia" w:ascii="仿宋" w:hAnsi="仿宋" w:eastAsia="仿宋" w:cs="仿宋"/>
          <w:color w:val="auto"/>
          <w:spacing w:val="-1"/>
          <w:sz w:val="24"/>
          <w:szCs w:val="24"/>
          <w:highlight w:val="none"/>
          <w:lang w:eastAsia="zh-CN"/>
        </w:rPr>
        <w:t>视为投标人不具备招标文件中规定的资格要求</w:t>
      </w:r>
      <w:r>
        <w:rPr>
          <w:rFonts w:hint="eastAsia" w:ascii="仿宋" w:hAnsi="仿宋" w:eastAsia="仿宋" w:cs="仿宋"/>
          <w:color w:val="auto"/>
          <w:spacing w:val="5"/>
          <w:sz w:val="24"/>
          <w:szCs w:val="24"/>
          <w:highlight w:val="none"/>
          <w:lang w:eastAsia="zh-CN"/>
        </w:rPr>
        <w:t>）；</w:t>
      </w:r>
    </w:p>
    <w:p w14:paraId="2813FFFF">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20.4投标文件提供虚假材料的；</w:t>
      </w:r>
    </w:p>
    <w:p w14:paraId="575F9D07">
      <w:pPr>
        <w:spacing w:line="360" w:lineRule="auto"/>
        <w:ind w:left="25" w:right="147"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20.5投标文件不满足招标文件中标注“★”号的实质性条款（或指标）要</w:t>
      </w:r>
      <w:r>
        <w:rPr>
          <w:rFonts w:hint="eastAsia" w:ascii="仿宋" w:hAnsi="仿宋" w:eastAsia="仿宋" w:cs="仿宋"/>
          <w:color w:val="auto"/>
          <w:spacing w:val="-4"/>
          <w:sz w:val="24"/>
          <w:szCs w:val="24"/>
          <w:highlight w:val="none"/>
          <w:lang w:eastAsia="zh-CN"/>
        </w:rPr>
        <w:t>求的；</w:t>
      </w:r>
    </w:p>
    <w:p w14:paraId="522B2C8E">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20.6投标人报价超过招标文件中规定的最高限价或者预算金额的；</w:t>
      </w:r>
    </w:p>
    <w:p w14:paraId="77526D21">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20.7联合体的供应商未提交各方共同签署的联合体协议的；</w:t>
      </w:r>
    </w:p>
    <w:p w14:paraId="5B30442B">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20.8投标人未按招标文件的规定交纳投标保证金的；</w:t>
      </w:r>
    </w:p>
    <w:p w14:paraId="3992CA5D">
      <w:pPr>
        <w:spacing w:line="360" w:lineRule="auto"/>
        <w:ind w:left="23" w:right="220" w:firstLine="482"/>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20.9评审期间,投标人没有按评标委员会的要求提交经授权代表签字的澄清、说明、补正或改变了投标文件的实质性内容的；</w:t>
      </w:r>
    </w:p>
    <w:p w14:paraId="66A55814">
      <w:pPr>
        <w:spacing w:line="360" w:lineRule="auto"/>
        <w:ind w:left="24" w:right="13"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20.10投标人对采购人、采购代理机构、评标委员会及其工作人员施加影响,</w:t>
      </w:r>
      <w:r>
        <w:rPr>
          <w:rFonts w:hint="eastAsia" w:ascii="仿宋" w:hAnsi="仿宋" w:eastAsia="仿宋" w:cs="仿宋"/>
          <w:color w:val="auto"/>
          <w:spacing w:val="-2"/>
          <w:sz w:val="24"/>
          <w:szCs w:val="24"/>
          <w:highlight w:val="none"/>
          <w:lang w:eastAsia="zh-CN"/>
        </w:rPr>
        <w:t>有碍公平、公正的；</w:t>
      </w:r>
    </w:p>
    <w:p w14:paraId="215210E4">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20.11投标文件含有采购人不能接受的附加条件的；</w:t>
      </w:r>
    </w:p>
    <w:p w14:paraId="2E9B9470">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20.12法律、法规、规章规定属于投标无效的其他情形。</w:t>
      </w:r>
    </w:p>
    <w:p w14:paraId="6C1C4AC6">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21.有下列情形之一的，视为投标人串通投标，其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71858758">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21.1不同投标人的投标文件由同一单位或者个人编制；</w:t>
      </w:r>
    </w:p>
    <w:p w14:paraId="159BA773">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21.2不同投标人委托同一单位或者个人办理投标事宜；</w:t>
      </w:r>
    </w:p>
    <w:p w14:paraId="3D48CD6A">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21.3不同投标人的投标文件载明的项目管理成员或者联系人员为同一人；</w:t>
      </w:r>
    </w:p>
    <w:p w14:paraId="77D700DC">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21.4不同投标人的投标文件异常一致或者投标报价呈规律性差异；</w:t>
      </w:r>
    </w:p>
    <w:p w14:paraId="108A9D7E">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21.5不同投标人的投标文件相互混装；</w:t>
      </w:r>
    </w:p>
    <w:p w14:paraId="2C7D0877">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21.6不同投标人的投标保证金从同一单位或者个人的账户转出；</w:t>
      </w:r>
    </w:p>
    <w:p w14:paraId="7879D012">
      <w:pPr>
        <w:spacing w:line="360" w:lineRule="auto"/>
        <w:ind w:left="46" w:right="100" w:firstLine="459"/>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21.7不同投标人使用同一电脑（机器特征值一致：如MAC地址等）</w:t>
      </w:r>
      <w:r>
        <w:rPr>
          <w:rFonts w:hint="eastAsia" w:ascii="仿宋" w:hAnsi="仿宋" w:eastAsia="仿宋" w:cs="仿宋"/>
          <w:color w:val="auto"/>
          <w:spacing w:val="-2"/>
          <w:sz w:val="24"/>
          <w:szCs w:val="24"/>
          <w:highlight w:val="none"/>
          <w:lang w:eastAsia="zh-CN"/>
        </w:rPr>
        <w:t>或使用同一电子密钥，编制或上传电子投标文件；</w:t>
      </w:r>
    </w:p>
    <w:p w14:paraId="6902D6A8">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21.8法律、法规、规章规定属于投标人串通投标的其他情形。</w:t>
      </w:r>
    </w:p>
    <w:p w14:paraId="4F9786AD">
      <w:pPr>
        <w:widowControl w:val="0"/>
        <w:spacing w:line="360" w:lineRule="auto"/>
        <w:ind w:left="23" w:right="40" w:firstLine="482"/>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22.根据《中华人民共和国政府采购法》第</w:t>
      </w:r>
      <w:r>
        <w:rPr>
          <w:rFonts w:hint="eastAsia" w:ascii="仿宋" w:hAnsi="仿宋" w:eastAsia="仿宋" w:cs="仿宋"/>
          <w:color w:val="auto"/>
          <w:spacing w:val="-1"/>
          <w:sz w:val="24"/>
          <w:szCs w:val="24"/>
          <w:highlight w:val="none"/>
          <w:lang w:eastAsia="zh-CN"/>
        </w:rPr>
        <w:t>三十六条之规定，在招标采购过程中，出现下列情形之一的，应予</w:t>
      </w:r>
      <w:r>
        <w:rPr>
          <w:rFonts w:hint="eastAsia" w:ascii="仿宋" w:hAnsi="仿宋" w:eastAsia="仿宋" w:cs="仿宋"/>
          <w:b/>
          <w:bCs/>
          <w:color w:val="auto"/>
          <w:spacing w:val="-1"/>
          <w:sz w:val="24"/>
          <w:szCs w:val="24"/>
          <w:highlight w:val="none"/>
          <w:lang w:eastAsia="zh-CN"/>
        </w:rPr>
        <w:t>废标</w:t>
      </w:r>
      <w:r>
        <w:rPr>
          <w:rFonts w:hint="eastAsia" w:ascii="仿宋" w:hAnsi="仿宋" w:eastAsia="仿宋" w:cs="仿宋"/>
          <w:color w:val="auto"/>
          <w:spacing w:val="-1"/>
          <w:sz w:val="24"/>
          <w:szCs w:val="24"/>
          <w:highlight w:val="none"/>
          <w:lang w:eastAsia="zh-CN"/>
        </w:rPr>
        <w:t>：</w:t>
      </w:r>
    </w:p>
    <w:p w14:paraId="3618DA9A">
      <w:pPr>
        <w:spacing w:line="360" w:lineRule="auto"/>
        <w:ind w:left="43" w:right="100" w:firstLine="46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22.1符合专业条件的供应商或者对招标文件作实质响应的供应商不足3家</w:t>
      </w:r>
      <w:r>
        <w:rPr>
          <w:rFonts w:hint="eastAsia" w:ascii="仿宋" w:hAnsi="仿宋" w:eastAsia="仿宋" w:cs="仿宋"/>
          <w:color w:val="auto"/>
          <w:spacing w:val="-15"/>
          <w:sz w:val="24"/>
          <w:szCs w:val="24"/>
          <w:highlight w:val="none"/>
          <w:lang w:eastAsia="zh-CN"/>
        </w:rPr>
        <w:t>的；</w:t>
      </w:r>
    </w:p>
    <w:p w14:paraId="18426D74">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22.2出现影响采购公正的违法、违规行为的；</w:t>
      </w:r>
    </w:p>
    <w:p w14:paraId="3E9EAA5C">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22.3投标人的报价均超过了采购预算，采购人不能支付的；</w:t>
      </w:r>
    </w:p>
    <w:p w14:paraId="013DBFE1">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22.4因重大变故，采购任务取消的；</w:t>
      </w:r>
    </w:p>
    <w:p w14:paraId="48BD22DD">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22.5 法律、法规、规章规定属于废标的其他情形。</w:t>
      </w:r>
    </w:p>
    <w:p w14:paraId="0AE22452">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23.废标后，采购人应当将废标理由通知所有投标人。</w:t>
      </w:r>
    </w:p>
    <w:p w14:paraId="7FF67DD9">
      <w:pPr>
        <w:spacing w:line="360" w:lineRule="auto"/>
        <w:ind w:left="38"/>
        <w:outlineLvl w:val="2"/>
        <w:rPr>
          <w:rFonts w:ascii="仿宋" w:hAnsi="仿宋" w:eastAsia="仿宋" w:cs="仿宋"/>
          <w:color w:val="auto"/>
          <w:sz w:val="24"/>
          <w:szCs w:val="24"/>
          <w:highlight w:val="none"/>
          <w:lang w:eastAsia="zh-CN"/>
        </w:rPr>
      </w:pPr>
      <w:bookmarkStart w:id="340" w:name="bookmark182"/>
      <w:bookmarkEnd w:id="340"/>
      <w:bookmarkStart w:id="341" w:name="bookmark212"/>
      <w:bookmarkEnd w:id="341"/>
      <w:bookmarkStart w:id="342" w:name="bookmark210"/>
      <w:bookmarkEnd w:id="342"/>
      <w:bookmarkStart w:id="343" w:name="bookmark184"/>
      <w:bookmarkEnd w:id="343"/>
      <w:bookmarkStart w:id="344" w:name="bookmark181"/>
      <w:bookmarkEnd w:id="344"/>
      <w:bookmarkStart w:id="345" w:name="_Toc29385"/>
      <w:bookmarkStart w:id="346" w:name="_Toc186477762"/>
      <w:r>
        <w:rPr>
          <w:rFonts w:hint="eastAsia" w:ascii="仿宋" w:hAnsi="仿宋" w:eastAsia="仿宋" w:cs="仿宋"/>
          <w:b/>
          <w:bCs/>
          <w:color w:val="auto"/>
          <w:spacing w:val="-5"/>
          <w:sz w:val="24"/>
          <w:szCs w:val="24"/>
          <w:highlight w:val="none"/>
          <w:lang w:eastAsia="zh-CN"/>
        </w:rPr>
        <w:t>（九）停止评标的情形</w:t>
      </w:r>
      <w:bookmarkEnd w:id="345"/>
      <w:bookmarkEnd w:id="346"/>
    </w:p>
    <w:p w14:paraId="14796F74">
      <w:pPr>
        <w:spacing w:line="360" w:lineRule="auto"/>
        <w:ind w:left="26" w:right="13" w:firstLine="48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24.评标委员会发现招标文件存在歧义、重大缺陷导致评标工作无法进行，</w:t>
      </w:r>
      <w:r>
        <w:rPr>
          <w:rFonts w:hint="eastAsia" w:ascii="仿宋" w:hAnsi="仿宋" w:eastAsia="仿宋" w:cs="仿宋"/>
          <w:color w:val="auto"/>
          <w:spacing w:val="-3"/>
          <w:sz w:val="24"/>
          <w:szCs w:val="24"/>
          <w:highlight w:val="none"/>
          <w:lang w:eastAsia="zh-CN"/>
        </w:rPr>
        <w:t>或者招标文件内容违反国家有关强制性规定的，应当停止评标工作，与采购</w:t>
      </w:r>
      <w:r>
        <w:rPr>
          <w:rFonts w:hint="eastAsia" w:ascii="仿宋" w:hAnsi="仿宋" w:eastAsia="仿宋" w:cs="仿宋"/>
          <w:color w:val="auto"/>
          <w:spacing w:val="-4"/>
          <w:sz w:val="24"/>
          <w:szCs w:val="24"/>
          <w:highlight w:val="none"/>
          <w:lang w:eastAsia="zh-CN"/>
        </w:rPr>
        <w:t>人或</w:t>
      </w:r>
      <w:r>
        <w:rPr>
          <w:rFonts w:hint="eastAsia" w:ascii="仿宋" w:hAnsi="仿宋" w:eastAsia="仿宋" w:cs="仿宋"/>
          <w:color w:val="auto"/>
          <w:spacing w:val="-3"/>
          <w:sz w:val="24"/>
          <w:szCs w:val="24"/>
          <w:highlight w:val="none"/>
          <w:lang w:eastAsia="zh-CN"/>
        </w:rPr>
        <w:t>者采购代理机构沟通并作书面记录。采购人或者采购代理机构确认后，应当修改</w:t>
      </w:r>
      <w:r>
        <w:rPr>
          <w:rFonts w:hint="eastAsia" w:ascii="仿宋" w:hAnsi="仿宋" w:eastAsia="仿宋" w:cs="仿宋"/>
          <w:color w:val="auto"/>
          <w:spacing w:val="-1"/>
          <w:sz w:val="24"/>
          <w:szCs w:val="24"/>
          <w:highlight w:val="none"/>
          <w:lang w:eastAsia="zh-CN"/>
        </w:rPr>
        <w:t>招标文件，重新组织采购活动。</w:t>
      </w:r>
    </w:p>
    <w:p w14:paraId="66AEF003">
      <w:pPr>
        <w:spacing w:line="360" w:lineRule="auto"/>
        <w:ind w:left="38"/>
        <w:outlineLvl w:val="2"/>
        <w:rPr>
          <w:rFonts w:ascii="仿宋" w:hAnsi="仿宋" w:eastAsia="仿宋" w:cs="仿宋"/>
          <w:color w:val="auto"/>
          <w:sz w:val="24"/>
          <w:szCs w:val="24"/>
          <w:highlight w:val="none"/>
          <w:lang w:eastAsia="zh-CN"/>
        </w:rPr>
      </w:pPr>
      <w:bookmarkStart w:id="347" w:name="_Toc186477763"/>
      <w:bookmarkStart w:id="348" w:name="_Toc30882"/>
      <w:r>
        <w:rPr>
          <w:rFonts w:hint="eastAsia" w:ascii="仿宋" w:hAnsi="仿宋" w:eastAsia="仿宋" w:cs="仿宋"/>
          <w:b/>
          <w:bCs/>
          <w:color w:val="auto"/>
          <w:spacing w:val="-5"/>
          <w:sz w:val="24"/>
          <w:szCs w:val="24"/>
          <w:highlight w:val="none"/>
          <w:lang w:eastAsia="zh-CN"/>
        </w:rPr>
        <w:t>（十）重新开展采购</w:t>
      </w:r>
      <w:bookmarkEnd w:id="347"/>
      <w:bookmarkEnd w:id="348"/>
    </w:p>
    <w:p w14:paraId="227E337B">
      <w:pPr>
        <w:spacing w:line="360" w:lineRule="auto"/>
        <w:ind w:left="27" w:right="40" w:firstLine="479"/>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25.有《中华人民共和国政府采购法》第七</w:t>
      </w:r>
      <w:r>
        <w:rPr>
          <w:rFonts w:hint="eastAsia" w:ascii="仿宋" w:hAnsi="仿宋" w:eastAsia="仿宋" w:cs="仿宋"/>
          <w:color w:val="auto"/>
          <w:spacing w:val="-1"/>
          <w:sz w:val="24"/>
          <w:szCs w:val="24"/>
          <w:highlight w:val="none"/>
          <w:lang w:eastAsia="zh-CN"/>
        </w:rPr>
        <w:t>十一条、第七十二条规定的违法行为之一，影响或者可能影响中标结果的，依照下列规定处理：</w:t>
      </w:r>
    </w:p>
    <w:p w14:paraId="31B8C484">
      <w:pPr>
        <w:spacing w:line="360" w:lineRule="auto"/>
        <w:ind w:left="24" w:right="100"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25.1未确定中标供应商的，终止本次政府采购活动，重新开展政府采购活</w:t>
      </w:r>
      <w:r>
        <w:rPr>
          <w:rFonts w:hint="eastAsia" w:ascii="仿宋" w:hAnsi="仿宋" w:eastAsia="仿宋" w:cs="仿宋"/>
          <w:color w:val="auto"/>
          <w:spacing w:val="-6"/>
          <w:sz w:val="24"/>
          <w:szCs w:val="24"/>
          <w:highlight w:val="none"/>
          <w:lang w:eastAsia="zh-CN"/>
        </w:rPr>
        <w:t>动。</w:t>
      </w:r>
    </w:p>
    <w:p w14:paraId="64AA673B">
      <w:pPr>
        <w:spacing w:line="360" w:lineRule="auto"/>
        <w:ind w:left="22" w:right="13" w:firstLine="48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25.2已确定中标供应商但尚未签订政府</w:t>
      </w:r>
      <w:r>
        <w:rPr>
          <w:rFonts w:hint="eastAsia" w:ascii="仿宋" w:hAnsi="仿宋" w:eastAsia="仿宋" w:cs="仿宋"/>
          <w:color w:val="auto"/>
          <w:spacing w:val="-2"/>
          <w:sz w:val="24"/>
          <w:szCs w:val="24"/>
          <w:highlight w:val="none"/>
          <w:lang w:eastAsia="zh-CN"/>
        </w:rPr>
        <w:t>采购合同的，中标结果无效，从合</w:t>
      </w:r>
      <w:r>
        <w:rPr>
          <w:rFonts w:hint="eastAsia" w:ascii="仿宋" w:hAnsi="仿宋" w:eastAsia="仿宋" w:cs="仿宋"/>
          <w:color w:val="auto"/>
          <w:spacing w:val="-3"/>
          <w:sz w:val="24"/>
          <w:szCs w:val="24"/>
          <w:highlight w:val="none"/>
          <w:lang w:eastAsia="zh-CN"/>
        </w:rPr>
        <w:t>格的中标候选人中另行确定中标供应商；没有合格的中标候选人的，重新开展政</w:t>
      </w:r>
      <w:r>
        <w:rPr>
          <w:rFonts w:hint="eastAsia" w:ascii="仿宋" w:hAnsi="仿宋" w:eastAsia="仿宋" w:cs="仿宋"/>
          <w:color w:val="auto"/>
          <w:spacing w:val="-2"/>
          <w:sz w:val="24"/>
          <w:szCs w:val="24"/>
          <w:highlight w:val="none"/>
          <w:lang w:eastAsia="zh-CN"/>
        </w:rPr>
        <w:t>府采购活动。</w:t>
      </w:r>
    </w:p>
    <w:p w14:paraId="1FEF18B2">
      <w:pPr>
        <w:spacing w:line="360" w:lineRule="auto"/>
        <w:ind w:left="46" w:right="100" w:firstLine="460"/>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25.3政府采购合同已签订但尚未履行的，撤销合同，从合格的中标候选人中另行确定中标供应商；没有合格的中标候选人的，重新开展政府采购活动。</w:t>
      </w:r>
    </w:p>
    <w:p w14:paraId="0A4BC6E9">
      <w:pPr>
        <w:spacing w:line="360" w:lineRule="auto"/>
        <w:ind w:left="24" w:right="100"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25.4政府采购合同已经履行，给采购人、供应商造成损失的，由责任人承</w:t>
      </w:r>
      <w:r>
        <w:rPr>
          <w:rFonts w:hint="eastAsia" w:ascii="仿宋" w:hAnsi="仿宋" w:eastAsia="仿宋" w:cs="仿宋"/>
          <w:color w:val="auto"/>
          <w:spacing w:val="-2"/>
          <w:sz w:val="24"/>
          <w:szCs w:val="24"/>
          <w:highlight w:val="none"/>
          <w:lang w:eastAsia="zh-CN"/>
        </w:rPr>
        <w:t>担赔偿责任。</w:t>
      </w:r>
    </w:p>
    <w:p w14:paraId="456C4A16">
      <w:pPr>
        <w:spacing w:line="360" w:lineRule="auto"/>
        <w:ind w:left="24" w:right="13"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25.5政府采购当事人有其他违反《中华人民共和国政府采购法》或者《中</w:t>
      </w:r>
      <w:r>
        <w:rPr>
          <w:rFonts w:hint="eastAsia" w:ascii="仿宋" w:hAnsi="仿宋" w:eastAsia="仿宋" w:cs="仿宋"/>
          <w:color w:val="auto"/>
          <w:spacing w:val="-3"/>
          <w:sz w:val="24"/>
          <w:szCs w:val="24"/>
          <w:highlight w:val="none"/>
          <w:lang w:eastAsia="zh-CN"/>
        </w:rPr>
        <w:t>华人民共和国政府采购法实施条例》等法律法规规定的行为，经改正后仍然影响</w:t>
      </w:r>
      <w:r>
        <w:rPr>
          <w:rFonts w:hint="eastAsia" w:ascii="仿宋" w:hAnsi="仿宋" w:eastAsia="仿宋" w:cs="仿宋"/>
          <w:color w:val="auto"/>
          <w:spacing w:val="-1"/>
          <w:sz w:val="24"/>
          <w:szCs w:val="24"/>
          <w:highlight w:val="none"/>
          <w:lang w:eastAsia="zh-CN"/>
        </w:rPr>
        <w:t>或者可能影响中标结果或者依法被认定为中标无效的，依照24.1—24.4规定处</w:t>
      </w:r>
      <w:r>
        <w:rPr>
          <w:rFonts w:hint="eastAsia" w:ascii="仿宋" w:hAnsi="仿宋" w:eastAsia="仿宋" w:cs="仿宋"/>
          <w:color w:val="auto"/>
          <w:spacing w:val="-6"/>
          <w:sz w:val="24"/>
          <w:szCs w:val="24"/>
          <w:highlight w:val="none"/>
          <w:lang w:eastAsia="zh-CN"/>
        </w:rPr>
        <w:t>理。</w:t>
      </w:r>
    </w:p>
    <w:p w14:paraId="26A011DA">
      <w:pPr>
        <w:spacing w:line="360" w:lineRule="auto"/>
        <w:ind w:left="26"/>
        <w:outlineLvl w:val="1"/>
        <w:rPr>
          <w:rFonts w:ascii="仿宋" w:hAnsi="仿宋" w:eastAsia="仿宋" w:cs="仿宋"/>
          <w:color w:val="auto"/>
          <w:sz w:val="24"/>
          <w:szCs w:val="24"/>
          <w:highlight w:val="none"/>
          <w:lang w:eastAsia="zh-CN"/>
        </w:rPr>
      </w:pPr>
      <w:bookmarkStart w:id="349" w:name="bookmark213"/>
      <w:bookmarkEnd w:id="349"/>
      <w:bookmarkStart w:id="350" w:name="bookmark185"/>
      <w:bookmarkEnd w:id="350"/>
      <w:bookmarkStart w:id="351" w:name="_Toc6075"/>
      <w:r>
        <w:rPr>
          <w:rFonts w:hint="eastAsia" w:ascii="仿宋" w:hAnsi="仿宋" w:eastAsia="仿宋" w:cs="仿宋"/>
          <w:b/>
          <w:bCs/>
          <w:color w:val="auto"/>
          <w:spacing w:val="6"/>
          <w:sz w:val="24"/>
          <w:szCs w:val="24"/>
          <w:highlight w:val="none"/>
          <w:lang w:eastAsia="zh-CN"/>
        </w:rPr>
        <w:t>三、评标其他要求：/</w:t>
      </w:r>
      <w:bookmarkEnd w:id="351"/>
    </w:p>
    <w:p w14:paraId="4932772F">
      <w:pPr>
        <w:widowControl w:val="0"/>
        <w:spacing w:line="360" w:lineRule="auto"/>
        <w:ind w:left="57"/>
        <w:outlineLvl w:val="1"/>
        <w:rPr>
          <w:rFonts w:ascii="仿宋" w:hAnsi="仿宋" w:eastAsia="仿宋" w:cs="仿宋"/>
          <w:color w:val="auto"/>
          <w:sz w:val="24"/>
          <w:szCs w:val="24"/>
          <w:highlight w:val="none"/>
          <w:lang w:eastAsia="zh-CN"/>
        </w:rPr>
      </w:pPr>
      <w:bookmarkStart w:id="352" w:name="bookmark218"/>
      <w:bookmarkEnd w:id="352"/>
      <w:bookmarkStart w:id="353" w:name="bookmark186"/>
      <w:bookmarkEnd w:id="353"/>
      <w:bookmarkStart w:id="354" w:name="bookmark187"/>
      <w:bookmarkEnd w:id="354"/>
      <w:bookmarkStart w:id="355" w:name="bookmark190"/>
      <w:bookmarkEnd w:id="355"/>
      <w:bookmarkStart w:id="356" w:name="bookmark215"/>
      <w:bookmarkEnd w:id="356"/>
      <w:bookmarkStart w:id="357" w:name="bookmark188"/>
      <w:bookmarkEnd w:id="357"/>
      <w:bookmarkStart w:id="358" w:name="bookmark216"/>
      <w:bookmarkEnd w:id="358"/>
      <w:bookmarkStart w:id="359" w:name="bookmark214"/>
      <w:bookmarkEnd w:id="359"/>
      <w:bookmarkStart w:id="360" w:name="_Toc31859"/>
      <w:r>
        <w:rPr>
          <w:rFonts w:hint="eastAsia" w:ascii="仿宋" w:hAnsi="仿宋" w:eastAsia="仿宋" w:cs="仿宋"/>
          <w:b/>
          <w:bCs/>
          <w:color w:val="auto"/>
          <w:sz w:val="24"/>
          <w:szCs w:val="24"/>
          <w:highlight w:val="none"/>
          <w:lang w:eastAsia="zh-CN"/>
        </w:rPr>
        <w:t>四、评标标准</w:t>
      </w:r>
      <w:bookmarkEnd w:id="360"/>
    </w:p>
    <w:p w14:paraId="36579FB8">
      <w:pPr>
        <w:widowControl w:val="0"/>
        <w:spacing w:line="360" w:lineRule="auto"/>
        <w:ind w:left="488"/>
        <w:outlineLvl w:val="2"/>
        <w:rPr>
          <w:rFonts w:ascii="仿宋" w:hAnsi="仿宋" w:eastAsia="仿宋" w:cs="仿宋"/>
          <w:color w:val="auto"/>
          <w:sz w:val="24"/>
          <w:szCs w:val="24"/>
          <w:highlight w:val="none"/>
          <w:lang w:eastAsia="zh-CN"/>
        </w:rPr>
      </w:pPr>
      <w:bookmarkStart w:id="361" w:name="bookmark217"/>
      <w:bookmarkEnd w:id="361"/>
      <w:bookmarkStart w:id="362" w:name="bookmark189"/>
      <w:bookmarkEnd w:id="362"/>
      <w:bookmarkStart w:id="363" w:name="_Toc19570"/>
      <w:bookmarkStart w:id="364" w:name="_Toc186477766"/>
      <w:r>
        <w:rPr>
          <w:rFonts w:hint="eastAsia" w:ascii="仿宋" w:hAnsi="仿宋" w:eastAsia="仿宋" w:cs="仿宋"/>
          <w:b/>
          <w:bCs/>
          <w:color w:val="auto"/>
          <w:spacing w:val="-5"/>
          <w:sz w:val="24"/>
          <w:szCs w:val="24"/>
          <w:highlight w:val="none"/>
          <w:lang w:eastAsia="zh-CN"/>
        </w:rPr>
        <w:t>（一）符合性审查表</w:t>
      </w:r>
      <w:bookmarkEnd w:id="363"/>
      <w:bookmarkEnd w:id="364"/>
    </w:p>
    <w:tbl>
      <w:tblPr>
        <w:tblStyle w:val="20"/>
        <w:tblW w:w="9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16"/>
        <w:gridCol w:w="1643"/>
        <w:gridCol w:w="5717"/>
        <w:gridCol w:w="669"/>
        <w:gridCol w:w="825"/>
      </w:tblGrid>
      <w:tr w14:paraId="0A7B0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6" w:hRule="atLeast"/>
        </w:trPr>
        <w:tc>
          <w:tcPr>
            <w:tcW w:w="516" w:type="dxa"/>
            <w:vMerge w:val="restart"/>
            <w:tcBorders>
              <w:bottom w:val="nil"/>
            </w:tcBorders>
            <w:shd w:val="clear" w:color="auto" w:fill="D8D8D8"/>
            <w:textDirection w:val="tbRlV"/>
          </w:tcPr>
          <w:p w14:paraId="13BB72B5">
            <w:pPr>
              <w:pStyle w:val="28"/>
              <w:spacing w:line="218" w:lineRule="auto"/>
              <w:ind w:left="233"/>
              <w:jc w:val="center"/>
              <w:rPr>
                <w:rFonts w:ascii="仿宋" w:hAnsi="仿宋" w:eastAsia="仿宋" w:cs="仿宋"/>
                <w:color w:val="auto"/>
                <w:sz w:val="21"/>
                <w:szCs w:val="21"/>
                <w:highlight w:val="none"/>
              </w:rPr>
            </w:pPr>
            <w:r>
              <w:rPr>
                <w:rFonts w:hint="eastAsia" w:ascii="仿宋" w:hAnsi="仿宋" w:eastAsia="仿宋" w:cs="仿宋"/>
                <w:b/>
                <w:bCs/>
                <w:color w:val="auto"/>
                <w:spacing w:val="5"/>
                <w:sz w:val="21"/>
                <w:szCs w:val="21"/>
                <w:highlight w:val="none"/>
              </w:rPr>
              <w:t>序号</w:t>
            </w:r>
          </w:p>
        </w:tc>
        <w:tc>
          <w:tcPr>
            <w:tcW w:w="1643" w:type="dxa"/>
            <w:vMerge w:val="restart"/>
            <w:tcBorders>
              <w:bottom w:val="nil"/>
            </w:tcBorders>
            <w:shd w:val="clear" w:color="auto" w:fill="D8D8D8"/>
            <w:vAlign w:val="center"/>
          </w:tcPr>
          <w:p w14:paraId="37C497DD">
            <w:pPr>
              <w:pStyle w:val="28"/>
              <w:spacing w:before="65" w:line="228"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审查项名称</w:t>
            </w:r>
          </w:p>
        </w:tc>
        <w:tc>
          <w:tcPr>
            <w:tcW w:w="5717" w:type="dxa"/>
            <w:vMerge w:val="restart"/>
            <w:tcBorders>
              <w:bottom w:val="nil"/>
            </w:tcBorders>
            <w:shd w:val="clear" w:color="auto" w:fill="D8D8D8"/>
            <w:vAlign w:val="center"/>
          </w:tcPr>
          <w:p w14:paraId="30DD2B29">
            <w:pPr>
              <w:pStyle w:val="28"/>
              <w:spacing w:before="65" w:line="228"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审查内容</w:t>
            </w:r>
          </w:p>
        </w:tc>
        <w:tc>
          <w:tcPr>
            <w:tcW w:w="1494" w:type="dxa"/>
            <w:gridSpan w:val="2"/>
            <w:shd w:val="clear" w:color="auto" w:fill="D8D8D8"/>
            <w:vAlign w:val="center"/>
          </w:tcPr>
          <w:p w14:paraId="7FFEABCB">
            <w:pPr>
              <w:pStyle w:val="28"/>
              <w:spacing w:before="142" w:line="228" w:lineRule="auto"/>
              <w:ind w:left="-63"/>
              <w:jc w:val="center"/>
              <w:rPr>
                <w:rFonts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审查结果</w:t>
            </w:r>
          </w:p>
        </w:tc>
      </w:tr>
      <w:tr w14:paraId="12709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516" w:type="dxa"/>
            <w:vMerge w:val="continue"/>
            <w:tcBorders>
              <w:top w:val="nil"/>
            </w:tcBorders>
            <w:textDirection w:val="tbRlV"/>
          </w:tcPr>
          <w:p w14:paraId="0A003A30">
            <w:pPr>
              <w:rPr>
                <w:rFonts w:ascii="仿宋" w:hAnsi="仿宋" w:eastAsia="仿宋" w:cs="仿宋"/>
                <w:color w:val="auto"/>
                <w:highlight w:val="none"/>
              </w:rPr>
            </w:pPr>
          </w:p>
        </w:tc>
        <w:tc>
          <w:tcPr>
            <w:tcW w:w="1643" w:type="dxa"/>
            <w:vMerge w:val="continue"/>
            <w:tcBorders>
              <w:top w:val="nil"/>
            </w:tcBorders>
            <w:vAlign w:val="center"/>
          </w:tcPr>
          <w:p w14:paraId="28DA4846">
            <w:pPr>
              <w:jc w:val="center"/>
              <w:rPr>
                <w:rFonts w:ascii="仿宋" w:hAnsi="仿宋" w:eastAsia="仿宋" w:cs="仿宋"/>
                <w:color w:val="auto"/>
                <w:highlight w:val="none"/>
              </w:rPr>
            </w:pPr>
          </w:p>
        </w:tc>
        <w:tc>
          <w:tcPr>
            <w:tcW w:w="5717" w:type="dxa"/>
            <w:vMerge w:val="continue"/>
            <w:tcBorders>
              <w:top w:val="nil"/>
            </w:tcBorders>
            <w:vAlign w:val="center"/>
          </w:tcPr>
          <w:p w14:paraId="165E661F">
            <w:pPr>
              <w:jc w:val="center"/>
              <w:rPr>
                <w:rFonts w:ascii="仿宋" w:hAnsi="仿宋" w:eastAsia="仿宋" w:cs="仿宋"/>
                <w:color w:val="auto"/>
                <w:highlight w:val="none"/>
              </w:rPr>
            </w:pPr>
          </w:p>
        </w:tc>
        <w:tc>
          <w:tcPr>
            <w:tcW w:w="669" w:type="dxa"/>
            <w:shd w:val="clear" w:color="auto" w:fill="D8D8D8"/>
            <w:vAlign w:val="center"/>
          </w:tcPr>
          <w:p w14:paraId="5B5DCB0F">
            <w:pPr>
              <w:pStyle w:val="28"/>
              <w:spacing w:before="136" w:line="228" w:lineRule="auto"/>
              <w:ind w:left="-63"/>
              <w:jc w:val="center"/>
              <w:rPr>
                <w:rFonts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符合</w:t>
            </w:r>
          </w:p>
        </w:tc>
        <w:tc>
          <w:tcPr>
            <w:tcW w:w="825" w:type="dxa"/>
            <w:shd w:val="clear" w:color="auto" w:fill="D8D8D8"/>
            <w:vAlign w:val="center"/>
          </w:tcPr>
          <w:p w14:paraId="59FB3E4F">
            <w:pPr>
              <w:pStyle w:val="28"/>
              <w:spacing w:before="136" w:line="228" w:lineRule="auto"/>
              <w:ind w:left="-108" w:right="-36" w:rightChars="-17"/>
              <w:jc w:val="center"/>
              <w:rPr>
                <w:rFonts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不符合</w:t>
            </w:r>
          </w:p>
        </w:tc>
      </w:tr>
      <w:tr w14:paraId="028F4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trPr>
        <w:tc>
          <w:tcPr>
            <w:tcW w:w="516" w:type="dxa"/>
            <w:vAlign w:val="center"/>
          </w:tcPr>
          <w:p w14:paraId="71EE2B42">
            <w:pPr>
              <w:pStyle w:val="28"/>
              <w:numPr>
                <w:ilvl w:val="0"/>
                <w:numId w:val="18"/>
              </w:numPr>
              <w:spacing w:line="189" w:lineRule="auto"/>
              <w:ind w:right="-124" w:rightChars="-59"/>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643" w:type="dxa"/>
            <w:vAlign w:val="center"/>
          </w:tcPr>
          <w:p w14:paraId="7D35374C">
            <w:pPr>
              <w:pStyle w:val="28"/>
              <w:spacing w:line="262" w:lineRule="auto"/>
              <w:ind w:left="-92" w:right="-98" w:firstLine="2"/>
              <w:jc w:val="center"/>
              <w:rPr>
                <w:rFonts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投标文件签</w:t>
            </w:r>
            <w:r>
              <w:rPr>
                <w:rFonts w:hint="eastAsia" w:ascii="仿宋" w:hAnsi="仿宋" w:eastAsia="仿宋" w:cs="仿宋"/>
                <w:color w:val="auto"/>
                <w:sz w:val="21"/>
                <w:szCs w:val="21"/>
                <w:highlight w:val="none"/>
              </w:rPr>
              <w:t>署</w:t>
            </w:r>
          </w:p>
        </w:tc>
        <w:tc>
          <w:tcPr>
            <w:tcW w:w="5717" w:type="dxa"/>
            <w:vAlign w:val="center"/>
          </w:tcPr>
          <w:p w14:paraId="51058777">
            <w:pPr>
              <w:pStyle w:val="28"/>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投标文件按招标文件要求签署、盖章。</w:t>
            </w:r>
          </w:p>
        </w:tc>
        <w:tc>
          <w:tcPr>
            <w:tcW w:w="669" w:type="dxa"/>
            <w:vAlign w:val="center"/>
          </w:tcPr>
          <w:p w14:paraId="3C1DD06B">
            <w:pPr>
              <w:jc w:val="center"/>
              <w:rPr>
                <w:rFonts w:ascii="仿宋" w:hAnsi="仿宋" w:eastAsia="仿宋" w:cs="仿宋"/>
                <w:color w:val="auto"/>
                <w:highlight w:val="none"/>
                <w:lang w:eastAsia="zh-CN"/>
              </w:rPr>
            </w:pPr>
          </w:p>
        </w:tc>
        <w:tc>
          <w:tcPr>
            <w:tcW w:w="825" w:type="dxa"/>
            <w:vAlign w:val="center"/>
          </w:tcPr>
          <w:p w14:paraId="534873F5">
            <w:pPr>
              <w:jc w:val="center"/>
              <w:rPr>
                <w:rFonts w:ascii="仿宋" w:hAnsi="仿宋" w:eastAsia="仿宋" w:cs="仿宋"/>
                <w:color w:val="auto"/>
                <w:highlight w:val="none"/>
                <w:lang w:eastAsia="zh-CN"/>
              </w:rPr>
            </w:pPr>
          </w:p>
        </w:tc>
      </w:tr>
      <w:tr w14:paraId="1B146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trPr>
        <w:tc>
          <w:tcPr>
            <w:tcW w:w="516" w:type="dxa"/>
            <w:vAlign w:val="center"/>
          </w:tcPr>
          <w:p w14:paraId="33FE5FF6">
            <w:pPr>
              <w:pStyle w:val="28"/>
              <w:numPr>
                <w:ilvl w:val="0"/>
                <w:numId w:val="18"/>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w:t>
            </w:r>
          </w:p>
        </w:tc>
        <w:tc>
          <w:tcPr>
            <w:tcW w:w="1643" w:type="dxa"/>
            <w:vAlign w:val="center"/>
          </w:tcPr>
          <w:p w14:paraId="1AD08104">
            <w:pPr>
              <w:pStyle w:val="28"/>
              <w:spacing w:line="262" w:lineRule="auto"/>
              <w:ind w:left="-92" w:right="-98" w:firstLine="2"/>
              <w:jc w:val="center"/>
              <w:rPr>
                <w:rFonts w:ascii="仿宋" w:hAnsi="仿宋" w:eastAsia="仿宋" w:cs="仿宋"/>
                <w:color w:val="auto"/>
                <w:spacing w:val="7"/>
                <w:sz w:val="21"/>
                <w:szCs w:val="21"/>
                <w:highlight w:val="none"/>
                <w:lang w:eastAsia="zh-CN"/>
              </w:rPr>
            </w:pPr>
            <w:r>
              <w:rPr>
                <w:rFonts w:hint="eastAsia" w:ascii="仿宋" w:hAnsi="仿宋" w:eastAsia="仿宋" w:cs="仿宋"/>
                <w:color w:val="auto"/>
                <w:spacing w:val="7"/>
                <w:sz w:val="21"/>
                <w:szCs w:val="21"/>
                <w:highlight w:val="none"/>
                <w:lang w:eastAsia="zh-CN"/>
              </w:rPr>
              <w:t>投标文件格式</w:t>
            </w:r>
          </w:p>
        </w:tc>
        <w:tc>
          <w:tcPr>
            <w:tcW w:w="5717" w:type="dxa"/>
            <w:vAlign w:val="center"/>
          </w:tcPr>
          <w:p w14:paraId="5EE96991">
            <w:pPr>
              <w:pStyle w:val="28"/>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投标文件按照招标文件要求完整提供。</w:t>
            </w:r>
          </w:p>
        </w:tc>
        <w:tc>
          <w:tcPr>
            <w:tcW w:w="669" w:type="dxa"/>
            <w:vAlign w:val="center"/>
          </w:tcPr>
          <w:p w14:paraId="5EF664D3">
            <w:pPr>
              <w:jc w:val="center"/>
              <w:rPr>
                <w:rFonts w:ascii="仿宋" w:hAnsi="仿宋" w:eastAsia="仿宋" w:cs="仿宋"/>
                <w:color w:val="auto"/>
                <w:highlight w:val="none"/>
                <w:lang w:eastAsia="zh-CN"/>
              </w:rPr>
            </w:pPr>
          </w:p>
        </w:tc>
        <w:tc>
          <w:tcPr>
            <w:tcW w:w="825" w:type="dxa"/>
            <w:vAlign w:val="center"/>
          </w:tcPr>
          <w:p w14:paraId="3C32B271">
            <w:pPr>
              <w:jc w:val="center"/>
              <w:rPr>
                <w:rFonts w:ascii="仿宋" w:hAnsi="仿宋" w:eastAsia="仿宋" w:cs="仿宋"/>
                <w:color w:val="auto"/>
                <w:highlight w:val="none"/>
                <w:lang w:eastAsia="zh-CN"/>
              </w:rPr>
            </w:pPr>
          </w:p>
        </w:tc>
      </w:tr>
      <w:tr w14:paraId="69371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7" w:hRule="atLeast"/>
        </w:trPr>
        <w:tc>
          <w:tcPr>
            <w:tcW w:w="516" w:type="dxa"/>
            <w:vAlign w:val="center"/>
          </w:tcPr>
          <w:p w14:paraId="0E7A0835">
            <w:pPr>
              <w:pStyle w:val="28"/>
              <w:numPr>
                <w:ilvl w:val="0"/>
                <w:numId w:val="18"/>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w:t>
            </w:r>
          </w:p>
        </w:tc>
        <w:tc>
          <w:tcPr>
            <w:tcW w:w="1643" w:type="dxa"/>
            <w:vAlign w:val="center"/>
          </w:tcPr>
          <w:p w14:paraId="795B5F51">
            <w:pPr>
              <w:pStyle w:val="28"/>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实质性要求</w:t>
            </w:r>
          </w:p>
        </w:tc>
        <w:tc>
          <w:tcPr>
            <w:tcW w:w="5717" w:type="dxa"/>
            <w:vAlign w:val="center"/>
          </w:tcPr>
          <w:p w14:paraId="15D2DD3E">
            <w:pPr>
              <w:pStyle w:val="28"/>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投标文件满足招标文件规定的质保期、合同履约期限（交货期）、投标有效期。</w:t>
            </w:r>
          </w:p>
        </w:tc>
        <w:tc>
          <w:tcPr>
            <w:tcW w:w="669" w:type="dxa"/>
            <w:vAlign w:val="center"/>
          </w:tcPr>
          <w:p w14:paraId="772BF4EE">
            <w:pPr>
              <w:jc w:val="center"/>
              <w:rPr>
                <w:rFonts w:ascii="仿宋" w:hAnsi="仿宋" w:eastAsia="仿宋" w:cs="仿宋"/>
                <w:color w:val="auto"/>
                <w:highlight w:val="none"/>
                <w:lang w:eastAsia="zh-CN"/>
              </w:rPr>
            </w:pPr>
          </w:p>
        </w:tc>
        <w:tc>
          <w:tcPr>
            <w:tcW w:w="825" w:type="dxa"/>
            <w:vAlign w:val="center"/>
          </w:tcPr>
          <w:p w14:paraId="71C6A8FA">
            <w:pPr>
              <w:jc w:val="center"/>
              <w:rPr>
                <w:rFonts w:ascii="仿宋" w:hAnsi="仿宋" w:eastAsia="仿宋" w:cs="仿宋"/>
                <w:color w:val="auto"/>
                <w:highlight w:val="none"/>
                <w:lang w:eastAsia="zh-CN"/>
              </w:rPr>
            </w:pPr>
          </w:p>
        </w:tc>
      </w:tr>
      <w:tr w14:paraId="3CE3B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65" w:hRule="atLeast"/>
        </w:trPr>
        <w:tc>
          <w:tcPr>
            <w:tcW w:w="516" w:type="dxa"/>
            <w:vAlign w:val="center"/>
          </w:tcPr>
          <w:p w14:paraId="2716EFB8">
            <w:pPr>
              <w:pStyle w:val="28"/>
              <w:numPr>
                <w:ilvl w:val="0"/>
                <w:numId w:val="18"/>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w:t>
            </w:r>
          </w:p>
        </w:tc>
        <w:tc>
          <w:tcPr>
            <w:tcW w:w="1643" w:type="dxa"/>
            <w:vAlign w:val="center"/>
          </w:tcPr>
          <w:p w14:paraId="465A38B0">
            <w:pPr>
              <w:pStyle w:val="28"/>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投标报价</w:t>
            </w:r>
          </w:p>
        </w:tc>
        <w:tc>
          <w:tcPr>
            <w:tcW w:w="5717" w:type="dxa"/>
            <w:vAlign w:val="center"/>
          </w:tcPr>
          <w:p w14:paraId="6D6FF9ED">
            <w:pPr>
              <w:pStyle w:val="28"/>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投标人报价未超过招标文件中规定的最高限价或者预算金额的。</w:t>
            </w:r>
          </w:p>
        </w:tc>
        <w:tc>
          <w:tcPr>
            <w:tcW w:w="669" w:type="dxa"/>
            <w:vAlign w:val="center"/>
          </w:tcPr>
          <w:p w14:paraId="0DE4393C">
            <w:pPr>
              <w:jc w:val="center"/>
              <w:rPr>
                <w:rFonts w:ascii="仿宋" w:hAnsi="仿宋" w:eastAsia="仿宋" w:cs="仿宋"/>
                <w:color w:val="auto"/>
                <w:highlight w:val="none"/>
                <w:lang w:eastAsia="zh-CN"/>
              </w:rPr>
            </w:pPr>
          </w:p>
        </w:tc>
        <w:tc>
          <w:tcPr>
            <w:tcW w:w="825" w:type="dxa"/>
            <w:vAlign w:val="center"/>
          </w:tcPr>
          <w:p w14:paraId="044C0438">
            <w:pPr>
              <w:jc w:val="center"/>
              <w:rPr>
                <w:rFonts w:ascii="仿宋" w:hAnsi="仿宋" w:eastAsia="仿宋" w:cs="仿宋"/>
                <w:color w:val="auto"/>
                <w:highlight w:val="none"/>
                <w:lang w:eastAsia="zh-CN"/>
              </w:rPr>
            </w:pPr>
          </w:p>
        </w:tc>
      </w:tr>
      <w:tr w14:paraId="057DD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1" w:hRule="atLeast"/>
        </w:trPr>
        <w:tc>
          <w:tcPr>
            <w:tcW w:w="516" w:type="dxa"/>
            <w:vAlign w:val="center"/>
          </w:tcPr>
          <w:p w14:paraId="5D99A29C">
            <w:pPr>
              <w:pStyle w:val="28"/>
              <w:numPr>
                <w:ilvl w:val="0"/>
                <w:numId w:val="18"/>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w:t>
            </w:r>
          </w:p>
        </w:tc>
        <w:tc>
          <w:tcPr>
            <w:tcW w:w="1643" w:type="dxa"/>
            <w:vAlign w:val="center"/>
          </w:tcPr>
          <w:p w14:paraId="5E7A3DB4">
            <w:pPr>
              <w:pStyle w:val="28"/>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投标保证金</w:t>
            </w:r>
          </w:p>
        </w:tc>
        <w:tc>
          <w:tcPr>
            <w:tcW w:w="5717" w:type="dxa"/>
            <w:vAlign w:val="center"/>
          </w:tcPr>
          <w:p w14:paraId="1CEACA04">
            <w:pPr>
              <w:pStyle w:val="28"/>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投标人按招标文件的规定交纳投标保证金的。</w:t>
            </w:r>
          </w:p>
        </w:tc>
        <w:tc>
          <w:tcPr>
            <w:tcW w:w="669" w:type="dxa"/>
            <w:vAlign w:val="center"/>
          </w:tcPr>
          <w:p w14:paraId="2C4A5AAB">
            <w:pPr>
              <w:jc w:val="center"/>
              <w:rPr>
                <w:rFonts w:ascii="仿宋" w:hAnsi="仿宋" w:eastAsia="仿宋" w:cs="仿宋"/>
                <w:color w:val="auto"/>
                <w:highlight w:val="none"/>
                <w:lang w:eastAsia="zh-CN"/>
              </w:rPr>
            </w:pPr>
          </w:p>
        </w:tc>
        <w:tc>
          <w:tcPr>
            <w:tcW w:w="825" w:type="dxa"/>
            <w:vAlign w:val="center"/>
          </w:tcPr>
          <w:p w14:paraId="69992E3B">
            <w:pPr>
              <w:jc w:val="center"/>
              <w:rPr>
                <w:rFonts w:ascii="仿宋" w:hAnsi="仿宋" w:eastAsia="仿宋" w:cs="仿宋"/>
                <w:color w:val="auto"/>
                <w:highlight w:val="none"/>
                <w:lang w:eastAsia="zh-CN"/>
              </w:rPr>
            </w:pPr>
          </w:p>
        </w:tc>
      </w:tr>
      <w:tr w14:paraId="6729C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8" w:hRule="atLeast"/>
        </w:trPr>
        <w:tc>
          <w:tcPr>
            <w:tcW w:w="516" w:type="dxa"/>
            <w:vAlign w:val="center"/>
          </w:tcPr>
          <w:p w14:paraId="2E6B3D5A">
            <w:pPr>
              <w:pStyle w:val="28"/>
              <w:numPr>
                <w:ilvl w:val="0"/>
                <w:numId w:val="18"/>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w:t>
            </w:r>
          </w:p>
        </w:tc>
        <w:tc>
          <w:tcPr>
            <w:tcW w:w="1643" w:type="dxa"/>
            <w:vAlign w:val="center"/>
          </w:tcPr>
          <w:p w14:paraId="16669D32">
            <w:pPr>
              <w:pStyle w:val="28"/>
              <w:spacing w:before="51" w:line="262" w:lineRule="auto"/>
              <w:ind w:left="-92" w:right="-98" w:firstLine="2"/>
              <w:jc w:val="center"/>
              <w:rPr>
                <w:rFonts w:ascii="仿宋" w:hAnsi="仿宋" w:eastAsia="仿宋" w:cs="仿宋"/>
                <w:color w:val="auto"/>
                <w:spacing w:val="7"/>
                <w:sz w:val="21"/>
                <w:szCs w:val="21"/>
                <w:highlight w:val="none"/>
                <w:lang w:eastAsia="zh-CN"/>
              </w:rPr>
            </w:pPr>
            <w:r>
              <w:rPr>
                <w:rFonts w:hint="eastAsia" w:ascii="仿宋" w:hAnsi="仿宋" w:eastAsia="仿宋" w:cs="仿宋"/>
                <w:color w:val="auto"/>
                <w:spacing w:val="7"/>
                <w:sz w:val="21"/>
                <w:szCs w:val="21"/>
                <w:highlight w:val="none"/>
                <w:lang w:eastAsia="zh-CN"/>
              </w:rPr>
              <w:t>投标文件的澄清、说明、补正</w:t>
            </w:r>
          </w:p>
        </w:tc>
        <w:tc>
          <w:tcPr>
            <w:tcW w:w="5717" w:type="dxa"/>
            <w:vAlign w:val="center"/>
          </w:tcPr>
          <w:p w14:paraId="600C7196">
            <w:pPr>
              <w:pStyle w:val="28"/>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评审期间,投标人按评标委员会的要求提交经授权代表签字的澄清、说明、补正或未改变投标文件的实质性内容。</w:t>
            </w:r>
          </w:p>
        </w:tc>
        <w:tc>
          <w:tcPr>
            <w:tcW w:w="669" w:type="dxa"/>
            <w:vAlign w:val="center"/>
          </w:tcPr>
          <w:p w14:paraId="7F36C76E">
            <w:pPr>
              <w:jc w:val="center"/>
              <w:rPr>
                <w:rFonts w:ascii="仿宋" w:hAnsi="仿宋" w:eastAsia="仿宋" w:cs="仿宋"/>
                <w:color w:val="auto"/>
                <w:highlight w:val="none"/>
                <w:lang w:eastAsia="zh-CN"/>
              </w:rPr>
            </w:pPr>
          </w:p>
        </w:tc>
        <w:tc>
          <w:tcPr>
            <w:tcW w:w="825" w:type="dxa"/>
            <w:vAlign w:val="center"/>
          </w:tcPr>
          <w:p w14:paraId="79C13D70">
            <w:pPr>
              <w:jc w:val="center"/>
              <w:rPr>
                <w:rFonts w:ascii="仿宋" w:hAnsi="仿宋" w:eastAsia="仿宋" w:cs="仿宋"/>
                <w:color w:val="auto"/>
                <w:highlight w:val="none"/>
                <w:lang w:eastAsia="zh-CN"/>
              </w:rPr>
            </w:pPr>
          </w:p>
        </w:tc>
      </w:tr>
      <w:tr w14:paraId="3EA52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0" w:hRule="atLeast"/>
        </w:trPr>
        <w:tc>
          <w:tcPr>
            <w:tcW w:w="516" w:type="dxa"/>
            <w:vAlign w:val="center"/>
          </w:tcPr>
          <w:p w14:paraId="203BC568">
            <w:pPr>
              <w:pStyle w:val="28"/>
              <w:numPr>
                <w:ilvl w:val="0"/>
                <w:numId w:val="18"/>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7</w:t>
            </w:r>
          </w:p>
        </w:tc>
        <w:tc>
          <w:tcPr>
            <w:tcW w:w="1643" w:type="dxa"/>
            <w:vAlign w:val="center"/>
          </w:tcPr>
          <w:p w14:paraId="08B0267C">
            <w:pPr>
              <w:pStyle w:val="28"/>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围标串标情形</w:t>
            </w:r>
          </w:p>
        </w:tc>
        <w:tc>
          <w:tcPr>
            <w:tcW w:w="5717" w:type="dxa"/>
            <w:vAlign w:val="center"/>
          </w:tcPr>
          <w:p w14:paraId="72DAE3D9">
            <w:pPr>
              <w:pStyle w:val="28"/>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没有“第五章 评标方法及标准”第21条情形之一的。</w:t>
            </w:r>
          </w:p>
        </w:tc>
        <w:tc>
          <w:tcPr>
            <w:tcW w:w="669" w:type="dxa"/>
            <w:vAlign w:val="center"/>
          </w:tcPr>
          <w:p w14:paraId="0C884C8B">
            <w:pPr>
              <w:jc w:val="center"/>
              <w:rPr>
                <w:rFonts w:ascii="仿宋" w:hAnsi="仿宋" w:eastAsia="仿宋" w:cs="仿宋"/>
                <w:color w:val="auto"/>
                <w:highlight w:val="none"/>
                <w:lang w:eastAsia="zh-CN"/>
              </w:rPr>
            </w:pPr>
          </w:p>
        </w:tc>
        <w:tc>
          <w:tcPr>
            <w:tcW w:w="825" w:type="dxa"/>
            <w:vAlign w:val="center"/>
          </w:tcPr>
          <w:p w14:paraId="0554ADF3">
            <w:pPr>
              <w:jc w:val="center"/>
              <w:rPr>
                <w:rFonts w:ascii="仿宋" w:hAnsi="仿宋" w:eastAsia="仿宋" w:cs="仿宋"/>
                <w:color w:val="auto"/>
                <w:highlight w:val="none"/>
                <w:lang w:eastAsia="zh-CN"/>
              </w:rPr>
            </w:pPr>
          </w:p>
        </w:tc>
      </w:tr>
      <w:tr w14:paraId="66377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8" w:hRule="atLeast"/>
        </w:trPr>
        <w:tc>
          <w:tcPr>
            <w:tcW w:w="516" w:type="dxa"/>
            <w:vAlign w:val="center"/>
          </w:tcPr>
          <w:p w14:paraId="5904E172">
            <w:pPr>
              <w:pStyle w:val="28"/>
              <w:numPr>
                <w:ilvl w:val="0"/>
                <w:numId w:val="18"/>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8</w:t>
            </w:r>
          </w:p>
        </w:tc>
        <w:tc>
          <w:tcPr>
            <w:tcW w:w="1643" w:type="dxa"/>
            <w:vAlign w:val="center"/>
          </w:tcPr>
          <w:p w14:paraId="076E84E6">
            <w:pPr>
              <w:pStyle w:val="28"/>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附加条件</w:t>
            </w:r>
          </w:p>
        </w:tc>
        <w:tc>
          <w:tcPr>
            <w:tcW w:w="5717" w:type="dxa"/>
            <w:vAlign w:val="center"/>
          </w:tcPr>
          <w:p w14:paraId="4A8D1B91">
            <w:pPr>
              <w:pStyle w:val="28"/>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投标文件没有采购人不能接受的附加条件的。</w:t>
            </w:r>
          </w:p>
        </w:tc>
        <w:tc>
          <w:tcPr>
            <w:tcW w:w="669" w:type="dxa"/>
            <w:vAlign w:val="center"/>
          </w:tcPr>
          <w:p w14:paraId="219E0594">
            <w:pPr>
              <w:jc w:val="center"/>
              <w:rPr>
                <w:rFonts w:ascii="仿宋" w:hAnsi="仿宋" w:eastAsia="仿宋" w:cs="仿宋"/>
                <w:color w:val="auto"/>
                <w:highlight w:val="none"/>
                <w:lang w:eastAsia="zh-CN"/>
              </w:rPr>
            </w:pPr>
          </w:p>
        </w:tc>
        <w:tc>
          <w:tcPr>
            <w:tcW w:w="825" w:type="dxa"/>
            <w:vAlign w:val="center"/>
          </w:tcPr>
          <w:p w14:paraId="3163511E">
            <w:pPr>
              <w:jc w:val="center"/>
              <w:rPr>
                <w:rFonts w:ascii="仿宋" w:hAnsi="仿宋" w:eastAsia="仿宋" w:cs="仿宋"/>
                <w:color w:val="auto"/>
                <w:highlight w:val="none"/>
                <w:lang w:eastAsia="zh-CN"/>
              </w:rPr>
            </w:pPr>
          </w:p>
        </w:tc>
      </w:tr>
      <w:tr w14:paraId="138BE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9" w:hRule="atLeast"/>
        </w:trPr>
        <w:tc>
          <w:tcPr>
            <w:tcW w:w="516" w:type="dxa"/>
            <w:vAlign w:val="center"/>
          </w:tcPr>
          <w:p w14:paraId="3DEE05FE">
            <w:pPr>
              <w:pStyle w:val="28"/>
              <w:numPr>
                <w:ilvl w:val="0"/>
                <w:numId w:val="18"/>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9</w:t>
            </w:r>
          </w:p>
        </w:tc>
        <w:tc>
          <w:tcPr>
            <w:tcW w:w="1643" w:type="dxa"/>
            <w:vAlign w:val="center"/>
          </w:tcPr>
          <w:p w14:paraId="60DA7711">
            <w:pPr>
              <w:pStyle w:val="28"/>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其他无效情形</w:t>
            </w:r>
          </w:p>
        </w:tc>
        <w:tc>
          <w:tcPr>
            <w:tcW w:w="5717" w:type="dxa"/>
            <w:vAlign w:val="center"/>
          </w:tcPr>
          <w:p w14:paraId="68F66488">
            <w:pPr>
              <w:pStyle w:val="28"/>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没有法律、法规、规章规定属于投标无效的其他情形。</w:t>
            </w:r>
          </w:p>
        </w:tc>
        <w:tc>
          <w:tcPr>
            <w:tcW w:w="669" w:type="dxa"/>
            <w:vAlign w:val="center"/>
          </w:tcPr>
          <w:p w14:paraId="1CDF8B90">
            <w:pPr>
              <w:jc w:val="center"/>
              <w:rPr>
                <w:rFonts w:ascii="仿宋" w:hAnsi="仿宋" w:eastAsia="仿宋" w:cs="仿宋"/>
                <w:color w:val="auto"/>
                <w:highlight w:val="none"/>
                <w:lang w:eastAsia="zh-CN"/>
              </w:rPr>
            </w:pPr>
          </w:p>
        </w:tc>
        <w:tc>
          <w:tcPr>
            <w:tcW w:w="825" w:type="dxa"/>
            <w:vAlign w:val="center"/>
          </w:tcPr>
          <w:p w14:paraId="4A122E53">
            <w:pPr>
              <w:jc w:val="center"/>
              <w:rPr>
                <w:rFonts w:ascii="仿宋" w:hAnsi="仿宋" w:eastAsia="仿宋" w:cs="仿宋"/>
                <w:color w:val="auto"/>
                <w:highlight w:val="none"/>
                <w:lang w:eastAsia="zh-CN"/>
              </w:rPr>
            </w:pPr>
          </w:p>
        </w:tc>
      </w:tr>
    </w:tbl>
    <w:p w14:paraId="58BECA11">
      <w:pPr>
        <w:rPr>
          <w:rFonts w:ascii="仿宋" w:hAnsi="仿宋" w:eastAsia="仿宋" w:cs="仿宋"/>
          <w:color w:val="auto"/>
          <w:highlight w:val="none"/>
          <w:lang w:eastAsia="zh-CN"/>
        </w:rPr>
      </w:pPr>
    </w:p>
    <w:p w14:paraId="04768CCD">
      <w:pPr>
        <w:pageBreakBefore/>
        <w:widowControl w:val="0"/>
        <w:spacing w:line="360" w:lineRule="auto"/>
        <w:outlineLvl w:val="2"/>
        <w:rPr>
          <w:rFonts w:ascii="仿宋" w:hAnsi="仿宋" w:eastAsia="仿宋" w:cs="仿宋"/>
          <w:b/>
          <w:bCs/>
          <w:color w:val="auto"/>
          <w:spacing w:val="-6"/>
          <w:sz w:val="24"/>
          <w:szCs w:val="24"/>
          <w:highlight w:val="none"/>
          <w:lang w:eastAsia="zh-CN"/>
        </w:rPr>
      </w:pPr>
      <w:bookmarkStart w:id="365" w:name="bookmark221"/>
      <w:bookmarkEnd w:id="365"/>
      <w:bookmarkStart w:id="366" w:name="bookmark191"/>
      <w:bookmarkEnd w:id="366"/>
      <w:bookmarkStart w:id="367" w:name="_Toc21875"/>
      <w:bookmarkStart w:id="368" w:name="_Toc186477768"/>
      <w:r>
        <w:rPr>
          <w:rFonts w:hint="eastAsia" w:ascii="仿宋" w:hAnsi="仿宋" w:eastAsia="仿宋" w:cs="仿宋"/>
          <w:b/>
          <w:bCs/>
          <w:color w:val="auto"/>
          <w:spacing w:val="-6"/>
          <w:sz w:val="24"/>
          <w:szCs w:val="24"/>
          <w:highlight w:val="none"/>
          <w:lang w:eastAsia="zh-CN"/>
        </w:rPr>
        <w:t>（二）评分标准</w:t>
      </w:r>
      <w:bookmarkEnd w:id="367"/>
      <w:bookmarkEnd w:id="368"/>
    </w:p>
    <w:tbl>
      <w:tblPr>
        <w:tblStyle w:val="20"/>
        <w:tblpPr w:leftFromText="180" w:rightFromText="180" w:vertAnchor="page" w:horzAnchor="margin" w:tblpXSpec="center" w:tblpY="2176"/>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1134"/>
        <w:gridCol w:w="7503"/>
      </w:tblGrid>
      <w:tr w14:paraId="7910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tcBorders>
              <w:top w:val="single" w:color="auto" w:sz="4" w:space="0"/>
              <w:left w:val="single" w:color="auto" w:sz="4" w:space="0"/>
              <w:bottom w:val="single" w:color="auto" w:sz="4" w:space="0"/>
              <w:right w:val="single" w:color="auto" w:sz="4" w:space="0"/>
            </w:tcBorders>
            <w:noWrap/>
            <w:vAlign w:val="center"/>
          </w:tcPr>
          <w:p w14:paraId="46CE1C1F">
            <w:pPr>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序号</w:t>
            </w:r>
          </w:p>
        </w:tc>
        <w:tc>
          <w:tcPr>
            <w:tcW w:w="708" w:type="dxa"/>
            <w:tcBorders>
              <w:top w:val="single" w:color="auto" w:sz="4" w:space="0"/>
              <w:left w:val="single" w:color="auto" w:sz="4" w:space="0"/>
              <w:bottom w:val="single" w:color="auto" w:sz="4" w:space="0"/>
              <w:right w:val="single" w:color="auto" w:sz="4" w:space="0"/>
            </w:tcBorders>
            <w:noWrap/>
            <w:vAlign w:val="center"/>
          </w:tcPr>
          <w:p w14:paraId="6AB1D13D">
            <w:pPr>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评标因素</w:t>
            </w:r>
          </w:p>
        </w:tc>
        <w:tc>
          <w:tcPr>
            <w:tcW w:w="1134" w:type="dxa"/>
            <w:tcBorders>
              <w:top w:val="single" w:color="auto" w:sz="4" w:space="0"/>
              <w:left w:val="single" w:color="auto" w:sz="4" w:space="0"/>
              <w:bottom w:val="single" w:color="auto" w:sz="4" w:space="0"/>
              <w:right w:val="single" w:color="auto" w:sz="4" w:space="0"/>
            </w:tcBorders>
            <w:noWrap/>
            <w:vAlign w:val="center"/>
          </w:tcPr>
          <w:p w14:paraId="2D12DEA1">
            <w:pPr>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分值</w:t>
            </w:r>
          </w:p>
        </w:tc>
        <w:tc>
          <w:tcPr>
            <w:tcW w:w="7503" w:type="dxa"/>
            <w:tcBorders>
              <w:top w:val="single" w:color="auto" w:sz="4" w:space="0"/>
              <w:left w:val="single" w:color="auto" w:sz="4" w:space="0"/>
              <w:bottom w:val="single" w:color="auto" w:sz="4" w:space="0"/>
              <w:right w:val="single" w:color="auto" w:sz="4" w:space="0"/>
            </w:tcBorders>
            <w:noWrap/>
            <w:vAlign w:val="center"/>
          </w:tcPr>
          <w:p w14:paraId="6A57DE19">
            <w:pPr>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评分说明</w:t>
            </w:r>
          </w:p>
        </w:tc>
      </w:tr>
      <w:tr w14:paraId="133E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tcBorders>
              <w:top w:val="single" w:color="auto" w:sz="4" w:space="0"/>
              <w:left w:val="single" w:color="auto" w:sz="4" w:space="0"/>
              <w:bottom w:val="nil"/>
              <w:right w:val="single" w:color="auto" w:sz="4" w:space="0"/>
            </w:tcBorders>
            <w:noWrap/>
            <w:vAlign w:val="center"/>
          </w:tcPr>
          <w:p w14:paraId="31D07D9E">
            <w:pPr>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1</w:t>
            </w:r>
          </w:p>
        </w:tc>
        <w:tc>
          <w:tcPr>
            <w:tcW w:w="708" w:type="dxa"/>
            <w:tcBorders>
              <w:top w:val="single" w:color="auto" w:sz="4" w:space="0"/>
              <w:left w:val="single" w:color="auto" w:sz="4" w:space="0"/>
              <w:bottom w:val="nil"/>
              <w:right w:val="single" w:color="auto" w:sz="4" w:space="0"/>
            </w:tcBorders>
            <w:noWrap/>
            <w:vAlign w:val="center"/>
          </w:tcPr>
          <w:p w14:paraId="218CABF3">
            <w:pPr>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价格部分</w:t>
            </w:r>
          </w:p>
        </w:tc>
        <w:tc>
          <w:tcPr>
            <w:tcW w:w="1134" w:type="dxa"/>
            <w:tcBorders>
              <w:top w:val="single" w:color="auto" w:sz="4" w:space="0"/>
              <w:left w:val="single" w:color="auto" w:sz="4" w:space="0"/>
              <w:bottom w:val="single" w:color="auto" w:sz="4" w:space="0"/>
              <w:right w:val="single" w:color="auto" w:sz="4" w:space="0"/>
            </w:tcBorders>
            <w:noWrap/>
            <w:vAlign w:val="center"/>
          </w:tcPr>
          <w:p w14:paraId="4A5822FB">
            <w:pPr>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30分</w:t>
            </w:r>
          </w:p>
        </w:tc>
        <w:tc>
          <w:tcPr>
            <w:tcW w:w="7503" w:type="dxa"/>
            <w:tcBorders>
              <w:top w:val="single" w:color="auto" w:sz="4" w:space="0"/>
              <w:left w:val="single" w:color="auto" w:sz="4" w:space="0"/>
              <w:bottom w:val="single" w:color="auto" w:sz="4" w:space="0"/>
              <w:right w:val="single" w:color="auto" w:sz="4" w:space="0"/>
            </w:tcBorders>
            <w:noWrap/>
            <w:vAlign w:val="center"/>
          </w:tcPr>
          <w:p w14:paraId="108064C4">
            <w:pPr>
              <w:spacing w:line="300" w:lineRule="auto"/>
              <w:textAlignment w:val="top"/>
              <w:rPr>
                <w:rFonts w:ascii="仿宋" w:hAnsi="仿宋" w:eastAsia="仿宋" w:cs="宋体"/>
                <w:color w:val="auto"/>
                <w:highlight w:val="none"/>
                <w:lang w:eastAsia="zh-CN"/>
              </w:rPr>
            </w:pPr>
            <w:r>
              <w:rPr>
                <w:rFonts w:hint="eastAsia" w:ascii="仿宋" w:hAnsi="仿宋" w:eastAsia="仿宋" w:cs="宋体"/>
                <w:color w:val="auto"/>
                <w:highlight w:val="none"/>
                <w:lang w:eastAsia="zh-CN"/>
              </w:rPr>
              <w:t>投标报价采用统一采用低价优先法计算，即满足招标文件要求且投标价格最低的投标报价为评标基准价，其价格分为满分。其他投标人的价格分统一按照下列公式计算：报价得分=（报价基准价／投标报价）×价格权值×100</w:t>
            </w:r>
          </w:p>
        </w:tc>
      </w:tr>
      <w:tr w14:paraId="65F7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Merge w:val="restart"/>
            <w:tcBorders>
              <w:left w:val="single" w:color="auto" w:sz="4" w:space="0"/>
              <w:right w:val="single" w:color="auto" w:sz="4" w:space="0"/>
            </w:tcBorders>
            <w:noWrap/>
            <w:vAlign w:val="center"/>
          </w:tcPr>
          <w:p w14:paraId="09FB3F26">
            <w:pPr>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2</w:t>
            </w:r>
          </w:p>
        </w:tc>
        <w:tc>
          <w:tcPr>
            <w:tcW w:w="708" w:type="dxa"/>
            <w:vMerge w:val="restart"/>
            <w:tcBorders>
              <w:left w:val="single" w:color="auto" w:sz="4" w:space="0"/>
              <w:right w:val="single" w:color="auto" w:sz="4" w:space="0"/>
            </w:tcBorders>
            <w:noWrap/>
            <w:vAlign w:val="center"/>
          </w:tcPr>
          <w:p w14:paraId="3359A653">
            <w:pPr>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商务部分</w:t>
            </w:r>
          </w:p>
        </w:tc>
        <w:tc>
          <w:tcPr>
            <w:tcW w:w="1134" w:type="dxa"/>
            <w:tcBorders>
              <w:top w:val="single" w:color="auto" w:sz="4" w:space="0"/>
              <w:left w:val="single" w:color="auto" w:sz="4" w:space="0"/>
              <w:right w:val="single" w:color="auto" w:sz="4" w:space="0"/>
            </w:tcBorders>
            <w:noWrap/>
            <w:vAlign w:val="center"/>
          </w:tcPr>
          <w:p w14:paraId="11B9C6B2">
            <w:pPr>
              <w:tabs>
                <w:tab w:val="left" w:pos="1007"/>
              </w:tabs>
              <w:spacing w:line="300" w:lineRule="auto"/>
              <w:jc w:val="center"/>
              <w:rPr>
                <w:rFonts w:ascii="仿宋" w:hAnsi="仿宋" w:eastAsia="仿宋" w:cs="宋体"/>
                <w:b/>
                <w:bCs/>
                <w:color w:val="auto"/>
                <w:highlight w:val="none"/>
              </w:rPr>
            </w:pPr>
            <w:r>
              <w:rPr>
                <w:rFonts w:hint="eastAsia" w:ascii="仿宋" w:hAnsi="仿宋" w:eastAsia="仿宋" w:cs="宋体"/>
                <w:b/>
                <w:bCs/>
                <w:color w:val="auto"/>
                <w:highlight w:val="none"/>
              </w:rPr>
              <w:t>业绩</w:t>
            </w:r>
          </w:p>
          <w:p w14:paraId="00DCE266">
            <w:pPr>
              <w:tabs>
                <w:tab w:val="left" w:pos="1007"/>
              </w:tabs>
              <w:spacing w:line="300" w:lineRule="auto"/>
              <w:jc w:val="center"/>
              <w:rPr>
                <w:rFonts w:ascii="仿宋" w:hAnsi="仿宋" w:eastAsia="仿宋" w:cs="宋体"/>
                <w:color w:val="auto"/>
                <w:highlight w:val="none"/>
              </w:rPr>
            </w:pPr>
            <w:r>
              <w:rPr>
                <w:rFonts w:hint="eastAsia" w:ascii="仿宋" w:hAnsi="仿宋" w:eastAsia="仿宋" w:cs="宋体"/>
                <w:b/>
                <w:bCs/>
                <w:color w:val="auto"/>
                <w:highlight w:val="none"/>
              </w:rPr>
              <w:t>（</w:t>
            </w:r>
            <w:r>
              <w:rPr>
                <w:rFonts w:hint="eastAsia" w:ascii="仿宋" w:hAnsi="仿宋" w:eastAsia="仿宋" w:cs="宋体"/>
                <w:b/>
                <w:bCs/>
                <w:color w:val="auto"/>
                <w:highlight w:val="none"/>
                <w:lang w:eastAsia="zh-CN"/>
              </w:rPr>
              <w:t>3</w:t>
            </w:r>
            <w:r>
              <w:rPr>
                <w:rFonts w:hint="eastAsia" w:ascii="仿宋" w:hAnsi="仿宋" w:eastAsia="仿宋" w:cs="宋体"/>
                <w:b/>
                <w:bCs/>
                <w:color w:val="auto"/>
                <w:highlight w:val="none"/>
              </w:rPr>
              <w:t>分）</w:t>
            </w:r>
          </w:p>
        </w:tc>
        <w:tc>
          <w:tcPr>
            <w:tcW w:w="7503" w:type="dxa"/>
            <w:tcBorders>
              <w:top w:val="single" w:color="auto" w:sz="4" w:space="0"/>
              <w:left w:val="single" w:color="auto" w:sz="4" w:space="0"/>
              <w:bottom w:val="single" w:color="auto" w:sz="4" w:space="0"/>
              <w:right w:val="single" w:color="auto" w:sz="4" w:space="0"/>
            </w:tcBorders>
            <w:noWrap/>
            <w:vAlign w:val="center"/>
          </w:tcPr>
          <w:p w14:paraId="5A0F7E4D">
            <w:pPr>
              <w:spacing w:line="300" w:lineRule="auto"/>
              <w:textAlignment w:val="top"/>
              <w:rPr>
                <w:rFonts w:ascii="仿宋" w:hAnsi="仿宋" w:eastAsia="仿宋" w:cs="宋体"/>
                <w:color w:val="auto"/>
                <w:highlight w:val="none"/>
                <w:lang w:eastAsia="zh-CN"/>
              </w:rPr>
            </w:pPr>
            <w:r>
              <w:rPr>
                <w:rFonts w:hint="eastAsia" w:ascii="仿宋" w:hAnsi="仿宋" w:eastAsia="仿宋" w:cs="宋体"/>
                <w:color w:val="auto"/>
                <w:highlight w:val="none"/>
                <w:lang w:eastAsia="zh-CN"/>
              </w:rPr>
              <w:t>供应商近三年完成的类似项目，每提供1个业绩得1分，满分为3分。</w:t>
            </w:r>
          </w:p>
          <w:p w14:paraId="50A76836">
            <w:pPr>
              <w:spacing w:line="300" w:lineRule="auto"/>
              <w:textAlignment w:val="top"/>
              <w:rPr>
                <w:rFonts w:ascii="仿宋" w:hAnsi="仿宋" w:eastAsia="仿宋" w:cs="宋体"/>
                <w:color w:val="auto"/>
                <w:highlight w:val="none"/>
                <w:lang w:eastAsia="zh-CN"/>
              </w:rPr>
            </w:pPr>
            <w:r>
              <w:rPr>
                <w:rFonts w:hint="eastAsia" w:ascii="仿宋" w:hAnsi="仿宋" w:eastAsia="仿宋" w:cs="宋体"/>
                <w:color w:val="auto"/>
                <w:highlight w:val="none"/>
                <w:lang w:eastAsia="zh-CN"/>
              </w:rPr>
              <w:t>类似项目业绩附合同复印件（包含合同首页、标的清单页、合同金额页、双方签字盖章页），不提供或提供不清晰导致专家无法判断的不得分。</w:t>
            </w:r>
          </w:p>
          <w:p w14:paraId="54FA34DE">
            <w:pPr>
              <w:spacing w:line="300" w:lineRule="auto"/>
              <w:textAlignment w:val="top"/>
              <w:rPr>
                <w:rFonts w:ascii="仿宋" w:hAnsi="仿宋" w:eastAsia="仿宋" w:cs="宋体"/>
                <w:color w:val="auto"/>
                <w:highlight w:val="none"/>
                <w:lang w:eastAsia="zh-CN"/>
              </w:rPr>
            </w:pPr>
            <w:r>
              <w:rPr>
                <w:rFonts w:hint="eastAsia" w:ascii="仿宋" w:hAnsi="仿宋" w:eastAsia="仿宋" w:cs="宋体"/>
                <w:color w:val="auto"/>
                <w:highlight w:val="none"/>
                <w:lang w:eastAsia="zh-CN"/>
              </w:rPr>
              <w:t>“近三年”指投标截止时间之前三年。如：递交投标文件时间为2025年0</w:t>
            </w:r>
            <w:r>
              <w:rPr>
                <w:rFonts w:hint="eastAsia" w:ascii="仿宋" w:hAnsi="仿宋" w:eastAsia="仿宋" w:cs="宋体"/>
                <w:color w:val="auto"/>
                <w:highlight w:val="none"/>
                <w:lang w:val="en-US" w:eastAsia="zh-CN"/>
              </w:rPr>
              <w:t>7</w:t>
            </w:r>
            <w:r>
              <w:rPr>
                <w:rFonts w:hint="eastAsia" w:ascii="仿宋" w:hAnsi="仿宋" w:eastAsia="仿宋" w:cs="宋体"/>
                <w:color w:val="auto"/>
                <w:highlight w:val="none"/>
                <w:lang w:eastAsia="zh-CN"/>
              </w:rPr>
              <w:t>月</w:t>
            </w:r>
            <w:r>
              <w:rPr>
                <w:rFonts w:hint="eastAsia" w:ascii="仿宋" w:hAnsi="仿宋" w:eastAsia="仿宋" w:cs="宋体"/>
                <w:color w:val="auto"/>
                <w:highlight w:val="none"/>
                <w:lang w:val="en-US" w:eastAsia="zh-CN"/>
              </w:rPr>
              <w:t>16</w:t>
            </w:r>
            <w:r>
              <w:rPr>
                <w:rFonts w:hint="eastAsia" w:ascii="仿宋" w:hAnsi="仿宋" w:eastAsia="仿宋" w:cs="宋体"/>
                <w:color w:val="auto"/>
                <w:highlight w:val="none"/>
                <w:lang w:eastAsia="zh-CN"/>
              </w:rPr>
              <w:t>日，则“近三年”是指2022年0</w:t>
            </w:r>
            <w:r>
              <w:rPr>
                <w:rFonts w:hint="eastAsia" w:ascii="仿宋" w:hAnsi="仿宋" w:eastAsia="仿宋" w:cs="宋体"/>
                <w:color w:val="auto"/>
                <w:highlight w:val="none"/>
                <w:lang w:val="en-US" w:eastAsia="zh-CN"/>
              </w:rPr>
              <w:t>7</w:t>
            </w:r>
            <w:r>
              <w:rPr>
                <w:rFonts w:hint="eastAsia" w:ascii="仿宋" w:hAnsi="仿宋" w:eastAsia="仿宋" w:cs="宋体"/>
                <w:color w:val="auto"/>
                <w:highlight w:val="none"/>
                <w:lang w:eastAsia="zh-CN"/>
              </w:rPr>
              <w:t>月</w:t>
            </w:r>
            <w:r>
              <w:rPr>
                <w:rFonts w:hint="eastAsia" w:ascii="仿宋" w:hAnsi="仿宋" w:eastAsia="仿宋" w:cs="宋体"/>
                <w:color w:val="auto"/>
                <w:highlight w:val="none"/>
                <w:lang w:val="en-US" w:eastAsia="zh-CN"/>
              </w:rPr>
              <w:t>16</w:t>
            </w:r>
            <w:r>
              <w:rPr>
                <w:rFonts w:hint="eastAsia" w:ascii="仿宋" w:hAnsi="仿宋" w:eastAsia="仿宋" w:cs="宋体"/>
                <w:color w:val="auto"/>
                <w:highlight w:val="none"/>
                <w:lang w:eastAsia="zh-CN"/>
              </w:rPr>
              <w:t>日至2025年0</w:t>
            </w:r>
            <w:r>
              <w:rPr>
                <w:rFonts w:hint="eastAsia" w:ascii="仿宋" w:hAnsi="仿宋" w:eastAsia="仿宋" w:cs="宋体"/>
                <w:color w:val="auto"/>
                <w:highlight w:val="none"/>
                <w:lang w:val="en-US" w:eastAsia="zh-CN"/>
              </w:rPr>
              <w:t>7</w:t>
            </w:r>
            <w:r>
              <w:rPr>
                <w:rFonts w:hint="eastAsia" w:ascii="仿宋" w:hAnsi="仿宋" w:eastAsia="仿宋" w:cs="宋体"/>
                <w:color w:val="auto"/>
                <w:highlight w:val="none"/>
                <w:lang w:eastAsia="zh-CN"/>
              </w:rPr>
              <w:t>月</w:t>
            </w:r>
            <w:r>
              <w:rPr>
                <w:rFonts w:hint="eastAsia" w:ascii="仿宋" w:hAnsi="仿宋" w:eastAsia="仿宋" w:cs="宋体"/>
                <w:color w:val="auto"/>
                <w:highlight w:val="none"/>
                <w:lang w:val="en-US" w:eastAsia="zh-CN"/>
              </w:rPr>
              <w:t>16</w:t>
            </w:r>
            <w:r>
              <w:rPr>
                <w:rFonts w:hint="eastAsia" w:ascii="仿宋" w:hAnsi="仿宋" w:eastAsia="仿宋" w:cs="宋体"/>
                <w:color w:val="auto"/>
                <w:highlight w:val="none"/>
                <w:lang w:eastAsia="zh-CN"/>
              </w:rPr>
              <w:t>日。</w:t>
            </w:r>
            <w:bookmarkStart w:id="505" w:name="_GoBack"/>
            <w:bookmarkEnd w:id="505"/>
          </w:p>
        </w:tc>
      </w:tr>
      <w:tr w14:paraId="6037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Merge w:val="continue"/>
            <w:tcBorders>
              <w:left w:val="single" w:color="auto" w:sz="4" w:space="0"/>
              <w:right w:val="single" w:color="auto" w:sz="4" w:space="0"/>
            </w:tcBorders>
            <w:noWrap/>
            <w:vAlign w:val="center"/>
          </w:tcPr>
          <w:p w14:paraId="473B4E33">
            <w:pPr>
              <w:spacing w:line="300" w:lineRule="auto"/>
              <w:jc w:val="center"/>
              <w:rPr>
                <w:rFonts w:ascii="仿宋" w:hAnsi="仿宋" w:eastAsia="仿宋" w:cs="宋体"/>
                <w:color w:val="auto"/>
                <w:highlight w:val="none"/>
                <w:lang w:eastAsia="zh-CN"/>
              </w:rPr>
            </w:pPr>
          </w:p>
        </w:tc>
        <w:tc>
          <w:tcPr>
            <w:tcW w:w="708" w:type="dxa"/>
            <w:vMerge w:val="continue"/>
            <w:tcBorders>
              <w:left w:val="single" w:color="auto" w:sz="4" w:space="0"/>
              <w:right w:val="single" w:color="auto" w:sz="4" w:space="0"/>
            </w:tcBorders>
            <w:noWrap/>
            <w:vAlign w:val="center"/>
          </w:tcPr>
          <w:p w14:paraId="544C8F4F">
            <w:pPr>
              <w:spacing w:line="300" w:lineRule="auto"/>
              <w:jc w:val="center"/>
              <w:rPr>
                <w:rFonts w:ascii="仿宋" w:hAnsi="仿宋" w:eastAsia="仿宋" w:cs="宋体"/>
                <w:color w:val="auto"/>
                <w:highlight w:val="none"/>
                <w:lang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0FD21A1">
            <w:pPr>
              <w:pStyle w:val="37"/>
              <w:spacing w:line="300" w:lineRule="auto"/>
              <w:jc w:val="center"/>
              <w:rPr>
                <w:rFonts w:ascii="仿宋" w:hAnsi="仿宋" w:eastAsia="仿宋"/>
                <w:color w:val="auto"/>
                <w:highlight w:val="none"/>
              </w:rPr>
            </w:pPr>
            <w:r>
              <w:rPr>
                <w:rFonts w:hint="eastAsia" w:ascii="仿宋" w:hAnsi="仿宋" w:eastAsia="仿宋"/>
                <w:color w:val="auto"/>
                <w:highlight w:val="none"/>
              </w:rPr>
              <w:t>售后服务体系</w:t>
            </w:r>
          </w:p>
          <w:p w14:paraId="6F2CFB01">
            <w:pPr>
              <w:pStyle w:val="37"/>
              <w:spacing w:line="300" w:lineRule="auto"/>
              <w:jc w:val="center"/>
              <w:rPr>
                <w:rFonts w:ascii="仿宋" w:hAnsi="仿宋" w:eastAsia="仿宋"/>
                <w:color w:val="auto"/>
                <w:highlight w:val="none"/>
              </w:rPr>
            </w:pPr>
            <w:r>
              <w:rPr>
                <w:rFonts w:hint="eastAsia" w:ascii="仿宋" w:hAnsi="仿宋" w:eastAsia="仿宋"/>
                <w:color w:val="auto"/>
                <w:highlight w:val="none"/>
              </w:rPr>
              <w:t>（10分）</w:t>
            </w:r>
          </w:p>
        </w:tc>
        <w:tc>
          <w:tcPr>
            <w:tcW w:w="7503" w:type="dxa"/>
            <w:tcBorders>
              <w:top w:val="single" w:color="auto" w:sz="4" w:space="0"/>
              <w:left w:val="single" w:color="auto" w:sz="4" w:space="0"/>
              <w:right w:val="single" w:color="auto" w:sz="4" w:space="0"/>
            </w:tcBorders>
            <w:noWrap/>
            <w:vAlign w:val="center"/>
          </w:tcPr>
          <w:p w14:paraId="02543233">
            <w:pPr>
              <w:pStyle w:val="37"/>
              <w:spacing w:line="300" w:lineRule="auto"/>
              <w:rPr>
                <w:rFonts w:ascii="仿宋" w:hAnsi="仿宋" w:eastAsia="仿宋"/>
                <w:color w:val="auto"/>
                <w:highlight w:val="none"/>
              </w:rPr>
            </w:pPr>
            <w:bookmarkStart w:id="369" w:name="OLE_LINK49"/>
            <w:bookmarkStart w:id="370" w:name="OLE_LINK50"/>
            <w:r>
              <w:rPr>
                <w:rFonts w:hint="eastAsia" w:ascii="仿宋" w:hAnsi="仿宋" w:eastAsia="仿宋"/>
                <w:color w:val="auto"/>
                <w:highlight w:val="none"/>
              </w:rPr>
              <w:t>①</w:t>
            </w:r>
            <w:bookmarkEnd w:id="369"/>
            <w:bookmarkEnd w:id="370"/>
            <w:r>
              <w:rPr>
                <w:rFonts w:hint="eastAsia" w:ascii="仿宋" w:hAnsi="仿宋" w:eastAsia="仿宋"/>
                <w:color w:val="auto"/>
                <w:highlight w:val="none"/>
              </w:rPr>
              <w:t>售后服务承诺（1分）；</w:t>
            </w:r>
          </w:p>
          <w:p w14:paraId="12A84A75">
            <w:pPr>
              <w:pStyle w:val="37"/>
              <w:spacing w:line="300" w:lineRule="auto"/>
              <w:rPr>
                <w:rFonts w:ascii="仿宋" w:hAnsi="仿宋" w:eastAsia="仿宋"/>
                <w:color w:val="auto"/>
                <w:highlight w:val="none"/>
              </w:rPr>
            </w:pPr>
            <w:r>
              <w:rPr>
                <w:rFonts w:hint="eastAsia" w:ascii="仿宋" w:hAnsi="仿宋" w:eastAsia="仿宋"/>
                <w:color w:val="auto"/>
                <w:highlight w:val="none"/>
              </w:rPr>
              <w:t>②售后服务体系方案（包括售后服务方案、故障响应、故障修复时间、巡检维保服务、应急处理等内容）（5分）；</w:t>
            </w:r>
          </w:p>
          <w:p w14:paraId="08EFA34F">
            <w:pPr>
              <w:pStyle w:val="37"/>
              <w:spacing w:line="300" w:lineRule="auto"/>
              <w:rPr>
                <w:rFonts w:ascii="仿宋" w:hAnsi="仿宋" w:eastAsia="仿宋"/>
                <w:color w:val="auto"/>
                <w:highlight w:val="none"/>
              </w:rPr>
            </w:pPr>
            <w:r>
              <w:rPr>
                <w:rFonts w:hint="eastAsia" w:ascii="仿宋" w:hAnsi="仿宋" w:eastAsia="仿宋"/>
                <w:color w:val="auto"/>
                <w:highlight w:val="none"/>
              </w:rPr>
              <w:t>③售后人员配备（2分）；</w:t>
            </w:r>
          </w:p>
          <w:p w14:paraId="4F3F32D7">
            <w:pPr>
              <w:pStyle w:val="37"/>
              <w:spacing w:line="300" w:lineRule="auto"/>
              <w:rPr>
                <w:rFonts w:ascii="仿宋" w:hAnsi="仿宋" w:eastAsia="仿宋"/>
                <w:color w:val="auto"/>
                <w:highlight w:val="none"/>
              </w:rPr>
            </w:pPr>
            <w:r>
              <w:rPr>
                <w:rFonts w:hint="eastAsia" w:ascii="仿宋" w:hAnsi="仿宋" w:eastAsia="仿宋"/>
                <w:color w:val="auto"/>
                <w:highlight w:val="none"/>
              </w:rPr>
              <w:t>④备件（易耗品）供应方案（含备件价格）</w:t>
            </w:r>
            <w:bookmarkStart w:id="371" w:name="OLE_LINK60"/>
            <w:bookmarkStart w:id="372" w:name="OLE_LINK59"/>
            <w:r>
              <w:rPr>
                <w:rFonts w:hint="eastAsia" w:ascii="仿宋" w:hAnsi="仿宋" w:eastAsia="仿宋"/>
                <w:color w:val="auto"/>
                <w:highlight w:val="none"/>
              </w:rPr>
              <w:t>（2分）</w:t>
            </w:r>
            <w:bookmarkEnd w:id="371"/>
            <w:bookmarkEnd w:id="372"/>
            <w:r>
              <w:rPr>
                <w:rFonts w:hint="eastAsia" w:ascii="仿宋" w:hAnsi="仿宋" w:eastAsia="仿宋"/>
                <w:color w:val="auto"/>
                <w:highlight w:val="none"/>
              </w:rPr>
              <w:t>。</w:t>
            </w:r>
          </w:p>
          <w:p w14:paraId="3A28CDE0">
            <w:pPr>
              <w:pStyle w:val="37"/>
              <w:spacing w:line="300" w:lineRule="auto"/>
              <w:rPr>
                <w:rFonts w:ascii="仿宋" w:hAnsi="仿宋" w:eastAsia="仿宋"/>
                <w:color w:val="auto"/>
                <w:highlight w:val="none"/>
              </w:rPr>
            </w:pPr>
            <w:bookmarkStart w:id="373" w:name="OLE_LINK58"/>
            <w:r>
              <w:rPr>
                <w:rFonts w:hint="eastAsia" w:ascii="仿宋" w:hAnsi="仿宋" w:eastAsia="仿宋"/>
                <w:color w:val="auto"/>
                <w:highlight w:val="none"/>
              </w:rPr>
              <w:t>以上每项完全满足采购需求得满分；每有一处存在缺陷在该项扣50%分；缺项该项不得分。</w:t>
            </w:r>
            <w:bookmarkEnd w:id="373"/>
          </w:p>
        </w:tc>
      </w:tr>
      <w:tr w14:paraId="2677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Merge w:val="restart"/>
            <w:tcBorders>
              <w:left w:val="single" w:color="auto" w:sz="4" w:space="0"/>
              <w:right w:val="single" w:color="auto" w:sz="4" w:space="0"/>
            </w:tcBorders>
            <w:noWrap/>
            <w:vAlign w:val="center"/>
          </w:tcPr>
          <w:p w14:paraId="21DFC0B0">
            <w:pPr>
              <w:spacing w:line="300" w:lineRule="auto"/>
              <w:jc w:val="center"/>
              <w:rPr>
                <w:rFonts w:ascii="仿宋" w:hAnsi="仿宋" w:eastAsia="仿宋" w:cs="宋体"/>
                <w:color w:val="auto"/>
                <w:highlight w:val="none"/>
                <w:lang w:eastAsia="zh-CN"/>
              </w:rPr>
            </w:pPr>
            <w:r>
              <w:rPr>
                <w:rFonts w:hint="eastAsia" w:ascii="仿宋" w:hAnsi="仿宋" w:eastAsia="仿宋" w:cs="宋体"/>
                <w:color w:val="auto"/>
                <w:highlight w:val="none"/>
              </w:rPr>
              <w:t>3</w:t>
            </w:r>
          </w:p>
        </w:tc>
        <w:tc>
          <w:tcPr>
            <w:tcW w:w="708" w:type="dxa"/>
            <w:vMerge w:val="restart"/>
            <w:tcBorders>
              <w:left w:val="single" w:color="auto" w:sz="4" w:space="0"/>
              <w:right w:val="single" w:color="auto" w:sz="4" w:space="0"/>
            </w:tcBorders>
            <w:noWrap/>
            <w:vAlign w:val="center"/>
          </w:tcPr>
          <w:p w14:paraId="2C1D95E4">
            <w:pPr>
              <w:spacing w:line="300" w:lineRule="auto"/>
              <w:jc w:val="center"/>
              <w:rPr>
                <w:rFonts w:ascii="仿宋" w:hAnsi="仿宋" w:eastAsia="仿宋" w:cs="宋体"/>
                <w:color w:val="auto"/>
                <w:highlight w:val="none"/>
              </w:rPr>
            </w:pPr>
            <w:r>
              <w:rPr>
                <w:rFonts w:ascii="仿宋" w:hAnsi="仿宋" w:eastAsia="仿宋" w:cs="宋体"/>
                <w:color w:val="auto"/>
                <w:highlight w:val="none"/>
              </w:rPr>
              <w:t>技术部分</w:t>
            </w:r>
          </w:p>
        </w:tc>
        <w:tc>
          <w:tcPr>
            <w:tcW w:w="1134" w:type="dxa"/>
            <w:tcBorders>
              <w:left w:val="single" w:color="auto" w:sz="4" w:space="0"/>
              <w:right w:val="single" w:color="auto" w:sz="4" w:space="0"/>
            </w:tcBorders>
            <w:noWrap/>
            <w:vAlign w:val="center"/>
          </w:tcPr>
          <w:p w14:paraId="4CD6B001">
            <w:pPr>
              <w:tabs>
                <w:tab w:val="left" w:pos="1007"/>
              </w:tabs>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技术符合程度</w:t>
            </w:r>
          </w:p>
          <w:p w14:paraId="4D090E30">
            <w:pPr>
              <w:tabs>
                <w:tab w:val="left" w:pos="1007"/>
              </w:tabs>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（40分）</w:t>
            </w:r>
          </w:p>
        </w:tc>
        <w:tc>
          <w:tcPr>
            <w:tcW w:w="7503" w:type="dxa"/>
            <w:tcBorders>
              <w:top w:val="single" w:color="auto" w:sz="4" w:space="0"/>
              <w:left w:val="single" w:color="auto" w:sz="4" w:space="0"/>
              <w:right w:val="single" w:color="auto" w:sz="4" w:space="0"/>
            </w:tcBorders>
            <w:noWrap/>
            <w:vAlign w:val="center"/>
          </w:tcPr>
          <w:p w14:paraId="1155E6DA">
            <w:pPr>
              <w:pStyle w:val="37"/>
              <w:spacing w:line="300" w:lineRule="auto"/>
              <w:rPr>
                <w:rFonts w:ascii="仿宋" w:hAnsi="仿宋" w:eastAsia="仿宋"/>
                <w:color w:val="auto"/>
                <w:highlight w:val="none"/>
              </w:rPr>
            </w:pPr>
            <w:r>
              <w:rPr>
                <w:rFonts w:hint="eastAsia" w:ascii="仿宋" w:hAnsi="仿宋" w:eastAsia="仿宋"/>
                <w:color w:val="auto"/>
                <w:highlight w:val="none"/>
              </w:rPr>
              <w:t>投标人产品技术参数完全响应采购需求可得40分。对投标文件提供的详细技术指标逐条响应情况进行评分。</w:t>
            </w:r>
          </w:p>
          <w:p w14:paraId="4A2F1E29">
            <w:pPr>
              <w:pStyle w:val="37"/>
              <w:spacing w:line="300" w:lineRule="auto"/>
              <w:rPr>
                <w:rFonts w:ascii="仿宋" w:hAnsi="仿宋" w:eastAsia="仿宋"/>
                <w:color w:val="auto"/>
                <w:highlight w:val="none"/>
              </w:rPr>
            </w:pPr>
            <w:r>
              <w:rPr>
                <w:rFonts w:hint="eastAsia" w:ascii="仿宋" w:hAnsi="仿宋" w:eastAsia="仿宋"/>
                <w:color w:val="auto"/>
                <w:highlight w:val="none"/>
              </w:rPr>
              <w:t>标注“▲”项技术参数一项负偏离扣</w:t>
            </w:r>
            <w:r>
              <w:rPr>
                <w:rFonts w:hint="eastAsia" w:ascii="仿宋" w:hAnsi="仿宋" w:eastAsia="仿宋"/>
                <w:color w:val="auto"/>
                <w:highlight w:val="none"/>
                <w:lang w:val="en-US" w:eastAsia="zh-CN"/>
              </w:rPr>
              <w:t>1.5</w:t>
            </w:r>
            <w:r>
              <w:rPr>
                <w:rFonts w:hint="eastAsia" w:ascii="仿宋" w:hAnsi="仿宋" w:eastAsia="仿宋"/>
                <w:color w:val="auto"/>
                <w:highlight w:val="none"/>
              </w:rPr>
              <w:t>分。</w:t>
            </w:r>
          </w:p>
          <w:p w14:paraId="214E93E0">
            <w:pPr>
              <w:pStyle w:val="37"/>
              <w:spacing w:line="300" w:lineRule="auto"/>
              <w:rPr>
                <w:rFonts w:ascii="仿宋" w:hAnsi="仿宋" w:eastAsia="仿宋"/>
                <w:color w:val="auto"/>
                <w:highlight w:val="none"/>
              </w:rPr>
            </w:pPr>
            <w:r>
              <w:rPr>
                <w:rFonts w:hint="eastAsia" w:ascii="仿宋" w:hAnsi="仿宋" w:eastAsia="仿宋"/>
                <w:color w:val="auto"/>
                <w:highlight w:val="none"/>
              </w:rPr>
              <w:t>未标注“▲”的为一般参数，一项负偏离扣0.5分，扣完为止。</w:t>
            </w:r>
          </w:p>
          <w:p w14:paraId="3C63BE0F">
            <w:pPr>
              <w:pStyle w:val="37"/>
              <w:spacing w:line="300" w:lineRule="auto"/>
              <w:rPr>
                <w:rFonts w:ascii="仿宋" w:hAnsi="仿宋" w:eastAsia="仿宋"/>
                <w:color w:val="auto"/>
                <w:highlight w:val="none"/>
              </w:rPr>
            </w:pPr>
            <w:r>
              <w:rPr>
                <w:rFonts w:hint="eastAsia" w:ascii="仿宋" w:hAnsi="仿宋" w:eastAsia="仿宋"/>
                <w:color w:val="auto"/>
                <w:highlight w:val="none"/>
              </w:rPr>
              <w:t>注1：参数中有明确要求证明材料的，按要求提供，未说明的标的技术参数须提供（下列证明材料之一）：产品检测报告、彩页、技术规格偏离表、技术白皮书、官网截图等相关证明材料，未提供不得分；</w:t>
            </w:r>
          </w:p>
          <w:p w14:paraId="45421800">
            <w:pPr>
              <w:pStyle w:val="37"/>
              <w:spacing w:line="300" w:lineRule="auto"/>
              <w:rPr>
                <w:rFonts w:ascii="仿宋" w:hAnsi="仿宋" w:eastAsia="仿宋"/>
                <w:color w:val="auto"/>
                <w:highlight w:val="none"/>
              </w:rPr>
            </w:pPr>
            <w:r>
              <w:rPr>
                <w:rFonts w:hint="eastAsia" w:ascii="仿宋" w:hAnsi="仿宋" w:eastAsia="仿宋"/>
                <w:color w:val="auto"/>
                <w:highlight w:val="none"/>
              </w:rPr>
              <w:t>注2：投标人提供的投标文件中产品技术规格偏离表与上述证明材料内描述的同一产品技术参数响应值不一致的，视为负偏离。</w:t>
            </w:r>
          </w:p>
        </w:tc>
      </w:tr>
      <w:tr w14:paraId="6424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Merge w:val="continue"/>
            <w:tcBorders>
              <w:left w:val="single" w:color="auto" w:sz="4" w:space="0"/>
              <w:right w:val="single" w:color="auto" w:sz="4" w:space="0"/>
            </w:tcBorders>
            <w:noWrap/>
            <w:vAlign w:val="center"/>
          </w:tcPr>
          <w:p w14:paraId="04EC55E1">
            <w:pPr>
              <w:spacing w:line="300" w:lineRule="auto"/>
              <w:jc w:val="center"/>
              <w:rPr>
                <w:rFonts w:ascii="仿宋" w:hAnsi="仿宋" w:eastAsia="仿宋" w:cs="宋体"/>
                <w:color w:val="auto"/>
                <w:highlight w:val="none"/>
                <w:lang w:eastAsia="zh-CN"/>
              </w:rPr>
            </w:pPr>
          </w:p>
        </w:tc>
        <w:tc>
          <w:tcPr>
            <w:tcW w:w="708" w:type="dxa"/>
            <w:vMerge w:val="continue"/>
            <w:tcBorders>
              <w:left w:val="single" w:color="auto" w:sz="4" w:space="0"/>
              <w:right w:val="single" w:color="auto" w:sz="4" w:space="0"/>
            </w:tcBorders>
            <w:noWrap/>
            <w:vAlign w:val="center"/>
          </w:tcPr>
          <w:p w14:paraId="200AABFA">
            <w:pPr>
              <w:spacing w:line="300" w:lineRule="auto"/>
              <w:jc w:val="center"/>
              <w:rPr>
                <w:rFonts w:ascii="仿宋" w:hAnsi="仿宋" w:eastAsia="仿宋" w:cs="宋体"/>
                <w:color w:val="auto"/>
                <w:highlight w:val="none"/>
                <w:lang w:eastAsia="zh-CN"/>
              </w:rPr>
            </w:pPr>
          </w:p>
        </w:tc>
        <w:tc>
          <w:tcPr>
            <w:tcW w:w="1134" w:type="dxa"/>
            <w:tcBorders>
              <w:top w:val="single" w:color="auto" w:sz="4" w:space="0"/>
              <w:left w:val="single" w:color="auto" w:sz="4" w:space="0"/>
              <w:right w:val="single" w:color="auto" w:sz="4" w:space="0"/>
            </w:tcBorders>
            <w:noWrap/>
            <w:vAlign w:val="center"/>
          </w:tcPr>
          <w:p w14:paraId="144BE906">
            <w:pPr>
              <w:pStyle w:val="37"/>
              <w:spacing w:line="300" w:lineRule="auto"/>
              <w:jc w:val="center"/>
              <w:rPr>
                <w:rFonts w:ascii="仿宋" w:hAnsi="仿宋" w:eastAsia="仿宋"/>
                <w:bCs/>
                <w:color w:val="auto"/>
                <w:highlight w:val="none"/>
              </w:rPr>
            </w:pPr>
            <w:r>
              <w:rPr>
                <w:rFonts w:hint="eastAsia" w:ascii="仿宋" w:hAnsi="仿宋" w:eastAsia="仿宋"/>
                <w:bCs/>
                <w:color w:val="auto"/>
                <w:highlight w:val="none"/>
              </w:rPr>
              <w:t>供货安装方案</w:t>
            </w:r>
          </w:p>
          <w:p w14:paraId="5D4A3D1C">
            <w:pPr>
              <w:pStyle w:val="37"/>
              <w:spacing w:line="300" w:lineRule="auto"/>
              <w:jc w:val="center"/>
              <w:rPr>
                <w:rFonts w:ascii="仿宋" w:hAnsi="仿宋" w:eastAsia="仿宋" w:cs="Times New Roman"/>
                <w:color w:val="auto"/>
                <w:highlight w:val="none"/>
              </w:rPr>
            </w:pPr>
            <w:r>
              <w:rPr>
                <w:rFonts w:hint="eastAsia" w:ascii="仿宋" w:hAnsi="仿宋" w:eastAsia="仿宋"/>
                <w:bCs/>
                <w:color w:val="auto"/>
                <w:highlight w:val="none"/>
              </w:rPr>
              <w:t>（3分）</w:t>
            </w:r>
          </w:p>
        </w:tc>
        <w:tc>
          <w:tcPr>
            <w:tcW w:w="7503" w:type="dxa"/>
            <w:tcBorders>
              <w:top w:val="single" w:color="auto" w:sz="4" w:space="0"/>
              <w:left w:val="single" w:color="auto" w:sz="4" w:space="0"/>
              <w:right w:val="single" w:color="auto" w:sz="4" w:space="0"/>
            </w:tcBorders>
            <w:noWrap/>
            <w:vAlign w:val="center"/>
          </w:tcPr>
          <w:p w14:paraId="7C96A4EC">
            <w:pPr>
              <w:pStyle w:val="37"/>
              <w:spacing w:line="300" w:lineRule="auto"/>
              <w:rPr>
                <w:rFonts w:ascii="仿宋" w:hAnsi="仿宋" w:eastAsia="仿宋"/>
                <w:color w:val="auto"/>
                <w:highlight w:val="none"/>
              </w:rPr>
            </w:pPr>
            <w:r>
              <w:rPr>
                <w:rFonts w:hint="eastAsia" w:ascii="仿宋" w:hAnsi="仿宋" w:eastAsia="仿宋"/>
                <w:color w:val="auto"/>
                <w:highlight w:val="none"/>
              </w:rPr>
              <w:t>①供货安排</w:t>
            </w:r>
            <w:bookmarkStart w:id="374" w:name="OLE_LINK62"/>
            <w:bookmarkStart w:id="375" w:name="OLE_LINK61"/>
            <w:r>
              <w:rPr>
                <w:rFonts w:hint="eastAsia" w:ascii="仿宋" w:hAnsi="仿宋" w:eastAsia="仿宋"/>
                <w:color w:val="auto"/>
                <w:highlight w:val="none"/>
              </w:rPr>
              <w:t>（1分）</w:t>
            </w:r>
            <w:bookmarkEnd w:id="374"/>
            <w:bookmarkEnd w:id="375"/>
            <w:r>
              <w:rPr>
                <w:rFonts w:hint="eastAsia" w:ascii="仿宋" w:hAnsi="仿宋" w:eastAsia="仿宋"/>
                <w:color w:val="auto"/>
                <w:highlight w:val="none"/>
              </w:rPr>
              <w:t>；</w:t>
            </w:r>
          </w:p>
          <w:p w14:paraId="6B98ED08">
            <w:pPr>
              <w:pStyle w:val="37"/>
              <w:spacing w:line="300" w:lineRule="auto"/>
              <w:rPr>
                <w:rFonts w:ascii="仿宋" w:hAnsi="仿宋" w:eastAsia="仿宋"/>
                <w:color w:val="auto"/>
                <w:highlight w:val="none"/>
              </w:rPr>
            </w:pPr>
            <w:r>
              <w:rPr>
                <w:rFonts w:hint="eastAsia" w:ascii="仿宋" w:hAnsi="仿宋" w:eastAsia="仿宋"/>
                <w:color w:val="auto"/>
                <w:highlight w:val="none"/>
              </w:rPr>
              <w:t>②进度计划（1分）；</w:t>
            </w:r>
          </w:p>
          <w:p w14:paraId="7AF22CB1">
            <w:pPr>
              <w:pStyle w:val="37"/>
              <w:spacing w:line="300" w:lineRule="auto"/>
              <w:rPr>
                <w:rFonts w:ascii="仿宋" w:hAnsi="仿宋" w:eastAsia="仿宋"/>
                <w:color w:val="auto"/>
                <w:highlight w:val="none"/>
              </w:rPr>
            </w:pPr>
            <w:r>
              <w:rPr>
                <w:rFonts w:hint="eastAsia" w:ascii="仿宋" w:hAnsi="仿宋" w:eastAsia="仿宋"/>
                <w:color w:val="auto"/>
                <w:highlight w:val="none"/>
              </w:rPr>
              <w:t>③安装调试（1分）。</w:t>
            </w:r>
          </w:p>
          <w:p w14:paraId="113C8D4D">
            <w:pPr>
              <w:pStyle w:val="37"/>
              <w:spacing w:line="300" w:lineRule="auto"/>
              <w:rPr>
                <w:rFonts w:ascii="仿宋" w:hAnsi="仿宋" w:eastAsia="仿宋"/>
                <w:color w:val="auto"/>
                <w:highlight w:val="none"/>
              </w:rPr>
            </w:pPr>
            <w:bookmarkStart w:id="376" w:name="OLE_LINK66"/>
            <w:bookmarkStart w:id="377" w:name="OLE_LINK65"/>
            <w:r>
              <w:rPr>
                <w:rFonts w:hint="eastAsia" w:ascii="仿宋" w:hAnsi="仿宋" w:eastAsia="仿宋"/>
                <w:color w:val="auto"/>
                <w:highlight w:val="none"/>
              </w:rPr>
              <w:t>以上每项完全满足采购需求得满分；每有一处存在缺陷在该项扣0.5分；缺项该项不得分。</w:t>
            </w:r>
            <w:bookmarkEnd w:id="376"/>
            <w:bookmarkEnd w:id="377"/>
          </w:p>
        </w:tc>
      </w:tr>
      <w:tr w14:paraId="293F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Merge w:val="continue"/>
            <w:tcBorders>
              <w:left w:val="single" w:color="auto" w:sz="4" w:space="0"/>
              <w:right w:val="single" w:color="auto" w:sz="4" w:space="0"/>
            </w:tcBorders>
            <w:noWrap/>
            <w:vAlign w:val="center"/>
          </w:tcPr>
          <w:p w14:paraId="6CFAABE2">
            <w:pPr>
              <w:spacing w:line="300" w:lineRule="auto"/>
              <w:jc w:val="center"/>
              <w:rPr>
                <w:rFonts w:ascii="仿宋" w:hAnsi="仿宋" w:eastAsia="仿宋" w:cs="宋体"/>
                <w:color w:val="auto"/>
                <w:highlight w:val="none"/>
                <w:lang w:eastAsia="zh-CN"/>
              </w:rPr>
            </w:pPr>
          </w:p>
        </w:tc>
        <w:tc>
          <w:tcPr>
            <w:tcW w:w="708" w:type="dxa"/>
            <w:vMerge w:val="continue"/>
            <w:tcBorders>
              <w:left w:val="single" w:color="auto" w:sz="4" w:space="0"/>
              <w:right w:val="single" w:color="auto" w:sz="4" w:space="0"/>
            </w:tcBorders>
            <w:noWrap/>
            <w:vAlign w:val="center"/>
          </w:tcPr>
          <w:p w14:paraId="313270DF">
            <w:pPr>
              <w:spacing w:line="300" w:lineRule="auto"/>
              <w:jc w:val="center"/>
              <w:rPr>
                <w:rFonts w:ascii="仿宋" w:hAnsi="仿宋" w:eastAsia="仿宋" w:cs="宋体"/>
                <w:color w:val="auto"/>
                <w:highlight w:val="none"/>
                <w:lang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02B96DE">
            <w:pPr>
              <w:pStyle w:val="37"/>
              <w:spacing w:line="300" w:lineRule="auto"/>
              <w:jc w:val="center"/>
              <w:rPr>
                <w:rFonts w:ascii="仿宋" w:hAnsi="仿宋" w:eastAsia="仿宋"/>
                <w:color w:val="auto"/>
                <w:highlight w:val="none"/>
              </w:rPr>
            </w:pPr>
            <w:r>
              <w:rPr>
                <w:rFonts w:hint="eastAsia" w:ascii="仿宋" w:hAnsi="仿宋" w:eastAsia="仿宋"/>
                <w:color w:val="auto"/>
                <w:highlight w:val="none"/>
              </w:rPr>
              <w:t>质量保</w:t>
            </w:r>
          </w:p>
          <w:p w14:paraId="060A4F57">
            <w:pPr>
              <w:pStyle w:val="37"/>
              <w:spacing w:line="300" w:lineRule="auto"/>
              <w:jc w:val="center"/>
              <w:rPr>
                <w:rFonts w:ascii="仿宋" w:hAnsi="仿宋" w:eastAsia="仿宋"/>
                <w:color w:val="auto"/>
                <w:highlight w:val="none"/>
              </w:rPr>
            </w:pPr>
            <w:r>
              <w:rPr>
                <w:rFonts w:hint="eastAsia" w:ascii="仿宋" w:hAnsi="仿宋" w:eastAsia="仿宋"/>
                <w:color w:val="auto"/>
                <w:highlight w:val="none"/>
              </w:rPr>
              <w:t>证措施</w:t>
            </w:r>
          </w:p>
          <w:p w14:paraId="05E6AB0A">
            <w:pPr>
              <w:pStyle w:val="37"/>
              <w:spacing w:line="300" w:lineRule="auto"/>
              <w:jc w:val="center"/>
              <w:rPr>
                <w:rFonts w:ascii="仿宋" w:hAnsi="仿宋" w:eastAsia="仿宋"/>
                <w:color w:val="auto"/>
                <w:highlight w:val="none"/>
              </w:rPr>
            </w:pPr>
            <w:r>
              <w:rPr>
                <w:rFonts w:hint="eastAsia" w:ascii="仿宋" w:hAnsi="仿宋" w:eastAsia="仿宋"/>
                <w:color w:val="auto"/>
                <w:highlight w:val="none"/>
              </w:rPr>
              <w:t>（4分）</w:t>
            </w:r>
          </w:p>
        </w:tc>
        <w:tc>
          <w:tcPr>
            <w:tcW w:w="7503" w:type="dxa"/>
            <w:tcBorders>
              <w:top w:val="single" w:color="auto" w:sz="4" w:space="0"/>
              <w:left w:val="single" w:color="auto" w:sz="4" w:space="0"/>
              <w:bottom w:val="single" w:color="auto" w:sz="4" w:space="0"/>
              <w:right w:val="single" w:color="auto" w:sz="4" w:space="0"/>
            </w:tcBorders>
            <w:noWrap/>
            <w:vAlign w:val="center"/>
          </w:tcPr>
          <w:p w14:paraId="155C2854">
            <w:pPr>
              <w:pStyle w:val="37"/>
              <w:spacing w:line="300" w:lineRule="auto"/>
              <w:rPr>
                <w:rFonts w:ascii="仿宋" w:hAnsi="仿宋" w:eastAsia="仿宋"/>
                <w:color w:val="auto"/>
                <w:highlight w:val="none"/>
              </w:rPr>
            </w:pPr>
            <w:r>
              <w:rPr>
                <w:rFonts w:hint="eastAsia" w:ascii="仿宋" w:hAnsi="仿宋" w:eastAsia="仿宋"/>
                <w:color w:val="auto"/>
                <w:highlight w:val="none"/>
              </w:rPr>
              <w:t>①货物质量保证措施</w:t>
            </w:r>
            <w:bookmarkStart w:id="378" w:name="OLE_LINK64"/>
            <w:bookmarkStart w:id="379" w:name="OLE_LINK63"/>
            <w:bookmarkStart w:id="380" w:name="OLE_LINK71"/>
            <w:r>
              <w:rPr>
                <w:rFonts w:hint="eastAsia" w:ascii="仿宋" w:hAnsi="仿宋" w:eastAsia="仿宋"/>
                <w:color w:val="auto"/>
                <w:highlight w:val="none"/>
              </w:rPr>
              <w:t>（1分）</w:t>
            </w:r>
            <w:bookmarkEnd w:id="378"/>
            <w:bookmarkEnd w:id="379"/>
            <w:r>
              <w:rPr>
                <w:rFonts w:hint="eastAsia" w:ascii="仿宋" w:hAnsi="仿宋" w:eastAsia="仿宋"/>
                <w:color w:val="auto"/>
                <w:highlight w:val="none"/>
              </w:rPr>
              <w:t>；</w:t>
            </w:r>
            <w:bookmarkEnd w:id="380"/>
          </w:p>
          <w:p w14:paraId="7153084F">
            <w:pPr>
              <w:pStyle w:val="37"/>
              <w:spacing w:line="300" w:lineRule="auto"/>
              <w:rPr>
                <w:rFonts w:ascii="仿宋" w:hAnsi="仿宋" w:eastAsia="仿宋"/>
                <w:color w:val="auto"/>
                <w:highlight w:val="none"/>
              </w:rPr>
            </w:pPr>
            <w:r>
              <w:rPr>
                <w:rFonts w:hint="eastAsia" w:ascii="仿宋" w:hAnsi="仿宋" w:eastAsia="仿宋"/>
                <w:color w:val="auto"/>
                <w:highlight w:val="none"/>
              </w:rPr>
              <w:t>②检验、试验质量保障措施（1分）；</w:t>
            </w:r>
          </w:p>
          <w:p w14:paraId="716B63A5">
            <w:pPr>
              <w:pStyle w:val="37"/>
              <w:spacing w:line="300" w:lineRule="auto"/>
              <w:rPr>
                <w:rFonts w:ascii="仿宋" w:hAnsi="仿宋" w:eastAsia="仿宋"/>
                <w:color w:val="auto"/>
                <w:highlight w:val="none"/>
              </w:rPr>
            </w:pPr>
            <w:bookmarkStart w:id="381" w:name="OLE_LINK70"/>
            <w:bookmarkStart w:id="382" w:name="OLE_LINK69"/>
            <w:r>
              <w:rPr>
                <w:rFonts w:hint="eastAsia" w:ascii="仿宋" w:hAnsi="仿宋" w:eastAsia="仿宋"/>
                <w:color w:val="auto"/>
                <w:highlight w:val="none"/>
              </w:rPr>
              <w:t>③</w:t>
            </w:r>
            <w:bookmarkEnd w:id="381"/>
            <w:bookmarkEnd w:id="382"/>
            <w:r>
              <w:rPr>
                <w:rFonts w:hint="eastAsia" w:ascii="仿宋" w:hAnsi="仿宋" w:eastAsia="仿宋"/>
                <w:color w:val="auto"/>
                <w:highlight w:val="none"/>
              </w:rPr>
              <w:t>包装、运输质量保障措施（1分）；</w:t>
            </w:r>
          </w:p>
          <w:p w14:paraId="38D2CD81">
            <w:pPr>
              <w:pStyle w:val="37"/>
              <w:spacing w:line="300" w:lineRule="auto"/>
              <w:rPr>
                <w:rFonts w:ascii="仿宋" w:hAnsi="仿宋" w:eastAsia="仿宋"/>
                <w:color w:val="auto"/>
                <w:highlight w:val="none"/>
              </w:rPr>
            </w:pPr>
            <w:r>
              <w:rPr>
                <w:rFonts w:hint="eastAsia" w:ascii="仿宋" w:hAnsi="仿宋" w:eastAsia="仿宋"/>
                <w:color w:val="auto"/>
                <w:highlight w:val="none"/>
              </w:rPr>
              <w:t>④交货质量保障措施（1分）。</w:t>
            </w:r>
          </w:p>
          <w:p w14:paraId="0796179D">
            <w:pPr>
              <w:pStyle w:val="37"/>
              <w:spacing w:line="300" w:lineRule="auto"/>
              <w:rPr>
                <w:rFonts w:ascii="仿宋" w:hAnsi="仿宋" w:eastAsia="仿宋"/>
                <w:color w:val="auto"/>
                <w:highlight w:val="none"/>
              </w:rPr>
            </w:pPr>
            <w:bookmarkStart w:id="383" w:name="OLE_LINK73"/>
            <w:bookmarkStart w:id="384" w:name="OLE_LINK72"/>
            <w:r>
              <w:rPr>
                <w:rFonts w:hint="eastAsia" w:ascii="仿宋" w:hAnsi="仿宋" w:eastAsia="仿宋"/>
                <w:color w:val="auto"/>
                <w:highlight w:val="none"/>
              </w:rPr>
              <w:t>以上每项完全满足采购需求得满分；每有一处存在缺陷在该项扣0.5分；缺项该项不得分。</w:t>
            </w:r>
            <w:bookmarkEnd w:id="383"/>
            <w:bookmarkEnd w:id="384"/>
          </w:p>
        </w:tc>
      </w:tr>
      <w:tr w14:paraId="661B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Merge w:val="continue"/>
            <w:tcBorders>
              <w:left w:val="single" w:color="auto" w:sz="4" w:space="0"/>
              <w:right w:val="single" w:color="auto" w:sz="4" w:space="0"/>
            </w:tcBorders>
            <w:noWrap/>
            <w:vAlign w:val="center"/>
          </w:tcPr>
          <w:p w14:paraId="0DBCF1DC">
            <w:pPr>
              <w:spacing w:line="300" w:lineRule="auto"/>
              <w:jc w:val="center"/>
              <w:rPr>
                <w:rFonts w:ascii="仿宋" w:hAnsi="仿宋" w:eastAsia="仿宋" w:cs="宋体"/>
                <w:color w:val="auto"/>
                <w:highlight w:val="none"/>
                <w:lang w:eastAsia="zh-CN"/>
              </w:rPr>
            </w:pPr>
          </w:p>
        </w:tc>
        <w:tc>
          <w:tcPr>
            <w:tcW w:w="708" w:type="dxa"/>
            <w:vMerge w:val="continue"/>
            <w:tcBorders>
              <w:left w:val="single" w:color="auto" w:sz="4" w:space="0"/>
              <w:right w:val="single" w:color="auto" w:sz="4" w:space="0"/>
            </w:tcBorders>
            <w:noWrap/>
            <w:vAlign w:val="center"/>
          </w:tcPr>
          <w:p w14:paraId="14C4B8B8">
            <w:pPr>
              <w:spacing w:line="300" w:lineRule="auto"/>
              <w:jc w:val="center"/>
              <w:rPr>
                <w:rFonts w:ascii="仿宋" w:hAnsi="仿宋" w:eastAsia="仿宋" w:cs="宋体"/>
                <w:color w:val="auto"/>
                <w:highlight w:val="none"/>
                <w:lang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30CD183">
            <w:pPr>
              <w:tabs>
                <w:tab w:val="left" w:pos="1007"/>
              </w:tabs>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培训方案</w:t>
            </w:r>
          </w:p>
          <w:p w14:paraId="54A4EFB5">
            <w:pPr>
              <w:tabs>
                <w:tab w:val="left" w:pos="1007"/>
              </w:tabs>
              <w:spacing w:line="300" w:lineRule="auto"/>
              <w:jc w:val="center"/>
              <w:rPr>
                <w:rFonts w:ascii="仿宋" w:hAnsi="仿宋" w:eastAsia="仿宋"/>
                <w:color w:val="auto"/>
                <w:highlight w:val="none"/>
              </w:rPr>
            </w:pPr>
            <w:r>
              <w:rPr>
                <w:rFonts w:hint="eastAsia" w:ascii="仿宋" w:hAnsi="仿宋" w:eastAsia="仿宋" w:cs="宋体"/>
                <w:color w:val="auto"/>
                <w:highlight w:val="none"/>
              </w:rPr>
              <w:t>（4分）</w:t>
            </w:r>
          </w:p>
        </w:tc>
        <w:tc>
          <w:tcPr>
            <w:tcW w:w="7503" w:type="dxa"/>
            <w:tcBorders>
              <w:top w:val="single" w:color="auto" w:sz="4" w:space="0"/>
              <w:left w:val="single" w:color="auto" w:sz="4" w:space="0"/>
              <w:bottom w:val="single" w:color="auto" w:sz="4" w:space="0"/>
              <w:right w:val="single" w:color="auto" w:sz="4" w:space="0"/>
            </w:tcBorders>
            <w:noWrap/>
            <w:vAlign w:val="center"/>
          </w:tcPr>
          <w:p w14:paraId="6261BA55">
            <w:pPr>
              <w:pStyle w:val="37"/>
              <w:spacing w:line="300" w:lineRule="auto"/>
              <w:rPr>
                <w:rFonts w:ascii="仿宋" w:hAnsi="仿宋" w:eastAsia="仿宋"/>
                <w:color w:val="auto"/>
                <w:highlight w:val="none"/>
              </w:rPr>
            </w:pPr>
            <w:r>
              <w:rPr>
                <w:rFonts w:hint="eastAsia" w:ascii="仿宋" w:hAnsi="仿宋" w:eastAsia="仿宋"/>
                <w:color w:val="auto"/>
                <w:highlight w:val="none"/>
              </w:rPr>
              <w:t>①技术原理（1分）；</w:t>
            </w:r>
          </w:p>
          <w:p w14:paraId="174E6967">
            <w:pPr>
              <w:pStyle w:val="37"/>
              <w:spacing w:line="300" w:lineRule="auto"/>
              <w:rPr>
                <w:rFonts w:ascii="仿宋" w:hAnsi="仿宋" w:eastAsia="仿宋"/>
                <w:color w:val="auto"/>
                <w:highlight w:val="none"/>
              </w:rPr>
            </w:pPr>
            <w:r>
              <w:rPr>
                <w:rFonts w:hint="eastAsia" w:ascii="仿宋" w:hAnsi="仿宋" w:eastAsia="仿宋"/>
                <w:color w:val="auto"/>
                <w:highlight w:val="none"/>
              </w:rPr>
              <w:t>②使用方法（1分）；</w:t>
            </w:r>
          </w:p>
          <w:p w14:paraId="61A00411">
            <w:pPr>
              <w:pStyle w:val="37"/>
              <w:spacing w:line="300" w:lineRule="auto"/>
              <w:rPr>
                <w:rFonts w:ascii="仿宋" w:hAnsi="仿宋" w:eastAsia="仿宋"/>
                <w:color w:val="auto"/>
                <w:highlight w:val="none"/>
              </w:rPr>
            </w:pPr>
            <w:r>
              <w:rPr>
                <w:rFonts w:hint="eastAsia" w:ascii="仿宋" w:hAnsi="仿宋" w:eastAsia="仿宋"/>
                <w:color w:val="auto"/>
                <w:highlight w:val="none"/>
              </w:rPr>
              <w:t>③设备维护及注意事项（1分）；</w:t>
            </w:r>
          </w:p>
          <w:p w14:paraId="40708EEB">
            <w:pPr>
              <w:pStyle w:val="37"/>
              <w:spacing w:line="300" w:lineRule="auto"/>
              <w:rPr>
                <w:rFonts w:ascii="仿宋" w:hAnsi="仿宋" w:eastAsia="仿宋"/>
                <w:color w:val="auto"/>
                <w:highlight w:val="none"/>
              </w:rPr>
            </w:pPr>
            <w:r>
              <w:rPr>
                <w:rFonts w:hint="eastAsia" w:ascii="仿宋" w:hAnsi="仿宋" w:eastAsia="仿宋"/>
                <w:color w:val="auto"/>
                <w:highlight w:val="none"/>
              </w:rPr>
              <w:t>④预期培训效果（1分）。</w:t>
            </w:r>
          </w:p>
          <w:p w14:paraId="797BED57">
            <w:pPr>
              <w:pStyle w:val="37"/>
              <w:spacing w:line="300" w:lineRule="auto"/>
              <w:rPr>
                <w:rFonts w:ascii="仿宋" w:hAnsi="仿宋" w:eastAsia="仿宋"/>
                <w:color w:val="auto"/>
                <w:highlight w:val="none"/>
              </w:rPr>
            </w:pPr>
            <w:r>
              <w:rPr>
                <w:rFonts w:hint="eastAsia" w:ascii="仿宋" w:hAnsi="仿宋" w:eastAsia="仿宋"/>
                <w:color w:val="auto"/>
                <w:highlight w:val="none"/>
              </w:rPr>
              <w:t>以上每项完全满足</w:t>
            </w:r>
            <w:bookmarkStart w:id="385" w:name="OLE_LINK81"/>
            <w:bookmarkStart w:id="386" w:name="OLE_LINK82"/>
            <w:r>
              <w:rPr>
                <w:rFonts w:hint="eastAsia" w:ascii="仿宋" w:hAnsi="仿宋" w:eastAsia="仿宋"/>
                <w:color w:val="auto"/>
                <w:highlight w:val="none"/>
              </w:rPr>
              <w:t>采购需求</w:t>
            </w:r>
            <w:bookmarkEnd w:id="385"/>
            <w:bookmarkEnd w:id="386"/>
            <w:r>
              <w:rPr>
                <w:rFonts w:hint="eastAsia" w:ascii="仿宋" w:hAnsi="仿宋" w:eastAsia="仿宋"/>
                <w:color w:val="auto"/>
                <w:highlight w:val="none"/>
              </w:rPr>
              <w:t>得满分；每有一处存在缺陷在该项扣</w:t>
            </w:r>
            <w:r>
              <w:rPr>
                <w:rFonts w:ascii="仿宋" w:hAnsi="仿宋" w:eastAsia="仿宋"/>
                <w:color w:val="auto"/>
                <w:highlight w:val="none"/>
              </w:rPr>
              <w:t>0.5</w:t>
            </w:r>
            <w:r>
              <w:rPr>
                <w:rFonts w:hint="eastAsia" w:ascii="仿宋" w:hAnsi="仿宋" w:eastAsia="仿宋"/>
                <w:color w:val="auto"/>
                <w:highlight w:val="none"/>
              </w:rPr>
              <w:t>分；缺项该项不得分。</w:t>
            </w:r>
          </w:p>
        </w:tc>
      </w:tr>
      <w:tr w14:paraId="2D8C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Merge w:val="continue"/>
            <w:tcBorders>
              <w:left w:val="single" w:color="auto" w:sz="4" w:space="0"/>
              <w:right w:val="single" w:color="auto" w:sz="4" w:space="0"/>
            </w:tcBorders>
            <w:noWrap/>
            <w:vAlign w:val="center"/>
          </w:tcPr>
          <w:p w14:paraId="09E28C90">
            <w:pPr>
              <w:spacing w:line="300" w:lineRule="auto"/>
              <w:jc w:val="center"/>
              <w:rPr>
                <w:rFonts w:ascii="仿宋" w:hAnsi="仿宋" w:eastAsia="仿宋" w:cs="宋体"/>
                <w:color w:val="auto"/>
                <w:highlight w:val="none"/>
                <w:lang w:eastAsia="zh-CN"/>
              </w:rPr>
            </w:pPr>
            <w:bookmarkStart w:id="387" w:name="OLE_LINK78"/>
          </w:p>
        </w:tc>
        <w:tc>
          <w:tcPr>
            <w:tcW w:w="708" w:type="dxa"/>
            <w:vMerge w:val="continue"/>
            <w:tcBorders>
              <w:left w:val="single" w:color="auto" w:sz="4" w:space="0"/>
              <w:right w:val="single" w:color="auto" w:sz="4" w:space="0"/>
            </w:tcBorders>
            <w:noWrap/>
            <w:vAlign w:val="center"/>
          </w:tcPr>
          <w:p w14:paraId="34A98397">
            <w:pPr>
              <w:spacing w:line="300" w:lineRule="auto"/>
              <w:jc w:val="center"/>
              <w:rPr>
                <w:rFonts w:ascii="仿宋" w:hAnsi="仿宋" w:eastAsia="仿宋" w:cs="宋体"/>
                <w:color w:val="auto"/>
                <w:highlight w:val="none"/>
                <w:lang w:eastAsia="zh-CN"/>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BEE0FD7">
            <w:pPr>
              <w:tabs>
                <w:tab w:val="left" w:pos="1007"/>
              </w:tabs>
              <w:spacing w:line="300" w:lineRule="auto"/>
              <w:jc w:val="center"/>
              <w:rPr>
                <w:rFonts w:ascii="仿宋" w:hAnsi="仿宋" w:eastAsia="仿宋" w:cs="宋体"/>
                <w:color w:val="auto"/>
                <w:highlight w:val="none"/>
                <w:lang w:eastAsia="zh-CN"/>
              </w:rPr>
            </w:pPr>
            <w:r>
              <w:rPr>
                <w:rFonts w:hint="eastAsia" w:ascii="仿宋" w:hAnsi="仿宋" w:eastAsia="仿宋"/>
                <w:b/>
                <w:color w:val="auto"/>
                <w:highlight w:val="none"/>
                <w:lang w:eastAsia="zh-CN"/>
              </w:rPr>
              <w:t>演示视频（6分）</w:t>
            </w:r>
          </w:p>
        </w:tc>
        <w:tc>
          <w:tcPr>
            <w:tcW w:w="7503" w:type="dxa"/>
            <w:tcBorders>
              <w:top w:val="single" w:color="auto" w:sz="4" w:space="0"/>
              <w:left w:val="single" w:color="auto" w:sz="4" w:space="0"/>
              <w:bottom w:val="single" w:color="auto" w:sz="4" w:space="0"/>
              <w:right w:val="single" w:color="auto" w:sz="4" w:space="0"/>
            </w:tcBorders>
            <w:noWrap/>
            <w:vAlign w:val="center"/>
          </w:tcPr>
          <w:p w14:paraId="4D297AC2">
            <w:pPr>
              <w:spacing w:line="300" w:lineRule="auto"/>
              <w:textAlignment w:val="center"/>
              <w:rPr>
                <w:rFonts w:ascii="仿宋" w:hAnsi="仿宋" w:eastAsia="仿宋" w:cs="宋体"/>
                <w:color w:val="auto"/>
                <w:highlight w:val="none"/>
                <w:lang w:eastAsia="zh-CN"/>
              </w:rPr>
            </w:pPr>
            <w:r>
              <w:rPr>
                <w:rFonts w:hint="eastAsia" w:ascii="仿宋" w:hAnsi="仿宋" w:eastAsia="仿宋" w:cs="宋体"/>
                <w:color w:val="auto"/>
                <w:highlight w:val="none"/>
                <w:lang w:eastAsia="zh-CN"/>
              </w:rPr>
              <w:t>评标委员会根据投标人的实际演示功能和效果进行评审，共6个演示项，每项1分，共计6分，每项不演示或演示不符合要求的该项不得分。</w:t>
            </w:r>
          </w:p>
          <w:p w14:paraId="09814464">
            <w:pPr>
              <w:spacing w:line="300" w:lineRule="auto"/>
              <w:textAlignment w:val="center"/>
              <w:rPr>
                <w:rFonts w:ascii="仿宋" w:hAnsi="仿宋" w:eastAsia="仿宋" w:cs="宋体"/>
                <w:color w:val="auto"/>
                <w:highlight w:val="none"/>
                <w:lang w:eastAsia="zh-CN"/>
              </w:rPr>
            </w:pPr>
            <w:r>
              <w:rPr>
                <w:rFonts w:hint="eastAsia" w:ascii="仿宋" w:hAnsi="仿宋" w:eastAsia="仿宋" w:cs="宋体"/>
                <w:color w:val="auto"/>
                <w:highlight w:val="none"/>
                <w:lang w:eastAsia="zh-CN"/>
              </w:rPr>
              <w:t>（一）使用光电计时测距实验器完成以下演示：</w:t>
            </w:r>
          </w:p>
          <w:p w14:paraId="1AC54E8B">
            <w:pPr>
              <w:spacing w:line="300" w:lineRule="auto"/>
              <w:textAlignment w:val="center"/>
              <w:rPr>
                <w:rFonts w:ascii="仿宋" w:hAnsi="仿宋" w:eastAsia="仿宋" w:cs="宋体"/>
                <w:color w:val="auto"/>
                <w:highlight w:val="none"/>
                <w:lang w:eastAsia="zh-CN"/>
              </w:rPr>
            </w:pPr>
            <w:r>
              <w:rPr>
                <w:rFonts w:hint="eastAsia" w:ascii="仿宋" w:hAnsi="仿宋" w:eastAsia="仿宋" w:cs="宋体"/>
                <w:color w:val="auto"/>
                <w:highlight w:val="none"/>
                <w:lang w:eastAsia="zh-CN"/>
              </w:rPr>
              <w:t>（1）根据光栅测距原理，采集小车自身速度，小车能够脱离专用轨道进行“无轨采集”；</w:t>
            </w:r>
          </w:p>
          <w:p w14:paraId="756B6737">
            <w:pPr>
              <w:spacing w:line="300" w:lineRule="auto"/>
              <w:textAlignment w:val="center"/>
              <w:rPr>
                <w:rFonts w:ascii="仿宋" w:hAnsi="仿宋" w:eastAsia="仿宋" w:cs="宋体"/>
                <w:color w:val="auto"/>
                <w:highlight w:val="none"/>
                <w:lang w:eastAsia="zh-CN"/>
              </w:rPr>
            </w:pPr>
            <w:r>
              <w:rPr>
                <w:rFonts w:hint="eastAsia" w:ascii="仿宋" w:hAnsi="仿宋" w:eastAsia="仿宋" w:cs="宋体"/>
                <w:color w:val="auto"/>
                <w:highlight w:val="none"/>
                <w:lang w:eastAsia="zh-CN"/>
              </w:rPr>
              <w:t>（2）将两辆质量相同的小车放置在轨道上，可观察到碰撞前后小车速度交换的情况；</w:t>
            </w:r>
          </w:p>
          <w:p w14:paraId="190ECFEF">
            <w:pPr>
              <w:spacing w:line="300" w:lineRule="auto"/>
              <w:textAlignment w:val="center"/>
              <w:rPr>
                <w:rFonts w:ascii="仿宋" w:hAnsi="仿宋" w:eastAsia="仿宋" w:cs="宋体"/>
                <w:color w:val="auto"/>
                <w:highlight w:val="none"/>
                <w:lang w:eastAsia="zh-CN"/>
              </w:rPr>
            </w:pPr>
            <w:r>
              <w:rPr>
                <w:rFonts w:hint="eastAsia" w:ascii="仿宋" w:hAnsi="仿宋" w:eastAsia="仿宋" w:cs="宋体"/>
                <w:color w:val="auto"/>
                <w:highlight w:val="none"/>
                <w:lang w:eastAsia="zh-CN"/>
              </w:rPr>
              <w:t>（3）将两辆质量相同的小车放置在轨道上，可观察到碰撞前后小车速度的变化情况。</w:t>
            </w:r>
          </w:p>
          <w:p w14:paraId="2D49796F">
            <w:pPr>
              <w:spacing w:line="300" w:lineRule="auto"/>
              <w:textAlignment w:val="center"/>
              <w:rPr>
                <w:rFonts w:ascii="仿宋" w:hAnsi="仿宋" w:eastAsia="仿宋" w:cs="宋体"/>
                <w:color w:val="auto"/>
                <w:highlight w:val="none"/>
                <w:lang w:eastAsia="zh-CN"/>
              </w:rPr>
            </w:pPr>
            <w:r>
              <w:rPr>
                <w:rFonts w:hint="eastAsia" w:ascii="仿宋" w:hAnsi="仿宋" w:eastAsia="仿宋" w:cs="宋体"/>
                <w:color w:val="auto"/>
                <w:highlight w:val="none"/>
                <w:lang w:eastAsia="zh-CN"/>
              </w:rPr>
              <w:t>（二）平放框</w:t>
            </w:r>
          </w:p>
          <w:p w14:paraId="71E89467">
            <w:pPr>
              <w:spacing w:line="300" w:lineRule="auto"/>
              <w:rPr>
                <w:rFonts w:ascii="仿宋" w:hAnsi="仿宋" w:eastAsia="仿宋"/>
                <w:color w:val="auto"/>
                <w:highlight w:val="none"/>
                <w:lang w:eastAsia="zh-CN"/>
              </w:rPr>
            </w:pPr>
            <w:r>
              <w:rPr>
                <w:rFonts w:hint="eastAsia" w:ascii="仿宋" w:hAnsi="仿宋" w:eastAsia="仿宋"/>
                <w:color w:val="auto"/>
                <w:highlight w:val="none"/>
                <w:lang w:eastAsia="zh-CN"/>
              </w:rPr>
              <w:t>提供符合参数的实物操作演示视频，演示功能如下：</w:t>
            </w:r>
          </w:p>
          <w:p w14:paraId="1AC479E5">
            <w:pPr>
              <w:spacing w:line="300" w:lineRule="auto"/>
              <w:rPr>
                <w:rFonts w:ascii="仿宋" w:hAnsi="仿宋" w:eastAsia="仿宋"/>
                <w:color w:val="auto"/>
                <w:highlight w:val="none"/>
                <w:lang w:eastAsia="zh-CN"/>
              </w:rPr>
            </w:pPr>
            <w:r>
              <w:rPr>
                <w:rFonts w:hint="eastAsia" w:ascii="仿宋" w:hAnsi="仿宋" w:eastAsia="仿宋" w:cs="宋体"/>
                <w:color w:val="auto"/>
                <w:highlight w:val="none"/>
                <w:lang w:eastAsia="zh-CN"/>
              </w:rPr>
              <w:t>（1）</w:t>
            </w:r>
            <w:r>
              <w:rPr>
                <w:rFonts w:hint="eastAsia" w:ascii="仿宋" w:hAnsi="仿宋" w:eastAsia="仿宋"/>
                <w:color w:val="auto"/>
                <w:highlight w:val="none"/>
                <w:lang w:eastAsia="zh-CN"/>
              </w:rPr>
              <w:t>配合仪器储物架实现框体拉出、划过、下垂等操作，下垂过程滑轨止动结构要防止框体掉落；</w:t>
            </w:r>
          </w:p>
          <w:p w14:paraId="54EB152F">
            <w:pPr>
              <w:spacing w:line="300" w:lineRule="auto"/>
              <w:rPr>
                <w:rFonts w:ascii="仿宋" w:hAnsi="仿宋" w:eastAsia="仿宋"/>
                <w:color w:val="auto"/>
                <w:highlight w:val="none"/>
                <w:lang w:eastAsia="zh-CN"/>
              </w:rPr>
            </w:pPr>
            <w:r>
              <w:rPr>
                <w:rFonts w:hint="eastAsia" w:ascii="仿宋" w:hAnsi="仿宋" w:eastAsia="仿宋" w:cs="宋体"/>
                <w:color w:val="auto"/>
                <w:highlight w:val="none"/>
                <w:lang w:eastAsia="zh-CN"/>
              </w:rPr>
              <w:t>（2）</w:t>
            </w:r>
            <w:r>
              <w:rPr>
                <w:rFonts w:hint="eastAsia" w:ascii="仿宋" w:hAnsi="仿宋" w:eastAsia="仿宋"/>
                <w:color w:val="auto"/>
                <w:highlight w:val="none"/>
                <w:lang w:eastAsia="zh-CN"/>
              </w:rPr>
              <w:t>隔板调节满足自定义调节，可实现小于 1 厘米的隔断调节；</w:t>
            </w:r>
          </w:p>
          <w:p w14:paraId="7C6689C6">
            <w:pPr>
              <w:spacing w:line="300" w:lineRule="auto"/>
              <w:rPr>
                <w:rFonts w:ascii="仿宋" w:hAnsi="仿宋" w:eastAsia="仿宋"/>
                <w:color w:val="auto"/>
                <w:highlight w:val="none"/>
                <w:lang w:eastAsia="zh-CN"/>
              </w:rPr>
            </w:pPr>
            <w:r>
              <w:rPr>
                <w:rFonts w:hint="eastAsia" w:ascii="仿宋" w:hAnsi="仿宋" w:eastAsia="仿宋" w:cs="宋体"/>
                <w:color w:val="auto"/>
                <w:highlight w:val="none"/>
                <w:lang w:eastAsia="zh-CN"/>
              </w:rPr>
              <w:t>（3）</w:t>
            </w:r>
            <w:r>
              <w:rPr>
                <w:rFonts w:hint="eastAsia" w:ascii="仿宋" w:hAnsi="仿宋" w:eastAsia="仿宋"/>
                <w:color w:val="auto"/>
                <w:highlight w:val="none"/>
                <w:lang w:eastAsia="zh-CN"/>
              </w:rPr>
              <w:t>卡槽可根据需求插到任意位置的隔板上，也可卡在框体边沿，满足至少两种角度调整。</w:t>
            </w:r>
          </w:p>
          <w:p w14:paraId="18232CFB">
            <w:pPr>
              <w:pStyle w:val="37"/>
              <w:spacing w:line="300" w:lineRule="auto"/>
              <w:rPr>
                <w:rFonts w:ascii="仿宋" w:hAnsi="仿宋" w:eastAsia="仿宋"/>
                <w:color w:val="auto"/>
                <w:highlight w:val="none"/>
              </w:rPr>
            </w:pPr>
            <w:r>
              <w:rPr>
                <w:rFonts w:hint="eastAsia" w:ascii="仿宋" w:hAnsi="仿宋" w:eastAsia="仿宋"/>
                <w:color w:val="auto"/>
                <w:highlight w:val="none"/>
              </w:rPr>
              <w:t>注：演示内容顺序须与招标文件罗列顺序一致，视频时长不得超过 5 分钟，超出时长部分不计入得分，通过政采云平台进行演示。</w:t>
            </w:r>
          </w:p>
        </w:tc>
      </w:tr>
      <w:tr w14:paraId="3B5A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9" w:type="dxa"/>
            <w:gridSpan w:val="4"/>
            <w:tcBorders>
              <w:left w:val="single" w:color="auto" w:sz="4" w:space="0"/>
              <w:right w:val="single" w:color="auto" w:sz="4" w:space="0"/>
            </w:tcBorders>
            <w:noWrap/>
            <w:vAlign w:val="center"/>
          </w:tcPr>
          <w:p w14:paraId="0073A47E">
            <w:pPr>
              <w:pStyle w:val="37"/>
              <w:spacing w:line="300" w:lineRule="auto"/>
              <w:rPr>
                <w:rFonts w:ascii="仿宋" w:hAnsi="仿宋" w:eastAsia="仿宋"/>
                <w:color w:val="auto"/>
                <w:highlight w:val="none"/>
              </w:rPr>
            </w:pPr>
            <w:r>
              <w:rPr>
                <w:rFonts w:ascii="仿宋" w:hAnsi="仿宋" w:eastAsia="仿宋"/>
                <w:color w:val="auto"/>
                <w:highlight w:val="none"/>
              </w:rPr>
              <w:t>注：</w:t>
            </w:r>
            <w:r>
              <w:rPr>
                <w:rFonts w:hint="eastAsia" w:ascii="仿宋" w:hAnsi="仿宋" w:eastAsia="仿宋"/>
                <w:color w:val="auto"/>
                <w:highlight w:val="none"/>
              </w:rPr>
              <w:t>1、</w:t>
            </w:r>
            <w:r>
              <w:rPr>
                <w:rFonts w:ascii="仿宋" w:hAnsi="仿宋" w:eastAsia="仿宋"/>
                <w:color w:val="auto"/>
                <w:highlight w:val="none"/>
              </w:rPr>
              <w:t>评分分值计算保留小数点后两位，小数点后第三位“四舍五入”</w:t>
            </w:r>
            <w:r>
              <w:rPr>
                <w:rFonts w:hint="eastAsia" w:ascii="仿宋" w:hAnsi="仿宋" w:eastAsia="仿宋"/>
                <w:color w:val="auto"/>
                <w:highlight w:val="none"/>
              </w:rPr>
              <w:t>。</w:t>
            </w:r>
          </w:p>
          <w:p w14:paraId="2777E183">
            <w:pPr>
              <w:pStyle w:val="37"/>
              <w:spacing w:line="300" w:lineRule="auto"/>
              <w:rPr>
                <w:rFonts w:ascii="仿宋" w:hAnsi="仿宋" w:eastAsia="仿宋"/>
                <w:color w:val="auto"/>
                <w:highlight w:val="none"/>
              </w:rPr>
            </w:pPr>
            <w:r>
              <w:rPr>
                <w:rFonts w:hint="eastAsia" w:ascii="仿宋" w:hAnsi="仿宋" w:eastAsia="仿宋"/>
                <w:color w:val="auto"/>
                <w:highlight w:val="none"/>
              </w:rPr>
              <w:t>2、本评审内容中“存在缺陷”是指：①内容与实际情况不匹配；②不符合项目特点；③内容不完整或缺少关键节点；④未按采购需求针对描述；⑤缺失不全；⑥前后矛盾；⑦表述不清晰；⑧凭空编造；⑨逻辑混淆错误；⑩涉及的规范及标准错误不可能实现的情形等任意一种情形。</w:t>
            </w:r>
            <w:bookmarkEnd w:id="387"/>
          </w:p>
        </w:tc>
      </w:tr>
    </w:tbl>
    <w:p w14:paraId="24469962">
      <w:pPr>
        <w:pStyle w:val="9"/>
        <w:rPr>
          <w:color w:val="auto"/>
          <w:highlight w:val="none"/>
          <w:lang w:eastAsia="zh-CN"/>
        </w:rPr>
      </w:pPr>
    </w:p>
    <w:p w14:paraId="0B789EB7">
      <w:pPr>
        <w:pStyle w:val="9"/>
        <w:rPr>
          <w:color w:val="auto"/>
          <w:highlight w:val="none"/>
          <w:lang w:eastAsia="zh-CN"/>
        </w:rPr>
      </w:pPr>
    </w:p>
    <w:p w14:paraId="57CBF4DC">
      <w:pPr>
        <w:pStyle w:val="9"/>
        <w:pageBreakBefore/>
        <w:spacing w:before="140" w:line="226" w:lineRule="auto"/>
        <w:jc w:val="center"/>
        <w:outlineLvl w:val="0"/>
        <w:rPr>
          <w:rFonts w:ascii="仿宋" w:hAnsi="仿宋" w:eastAsia="仿宋" w:cs="仿宋"/>
          <w:color w:val="auto"/>
          <w:sz w:val="28"/>
          <w:szCs w:val="28"/>
          <w:highlight w:val="none"/>
          <w:lang w:eastAsia="zh-CN"/>
        </w:rPr>
      </w:pPr>
      <w:bookmarkStart w:id="388" w:name="bookmark223"/>
      <w:bookmarkEnd w:id="388"/>
      <w:bookmarkStart w:id="389" w:name="bookmark224"/>
      <w:bookmarkEnd w:id="389"/>
      <w:bookmarkStart w:id="390" w:name="_Toc13607"/>
      <w:r>
        <w:rPr>
          <w:rFonts w:hint="eastAsia" w:ascii="仿宋" w:hAnsi="仿宋" w:eastAsia="仿宋" w:cs="仿宋"/>
          <w:b/>
          <w:bCs/>
          <w:color w:val="auto"/>
          <w:spacing w:val="4"/>
          <w:sz w:val="28"/>
          <w:szCs w:val="28"/>
          <w:highlight w:val="none"/>
          <w:lang w:eastAsia="zh-CN"/>
        </w:rPr>
        <w:t>第六章合同草案</w:t>
      </w:r>
      <w:bookmarkEnd w:id="390"/>
    </w:p>
    <w:p w14:paraId="390B98B0">
      <w:pPr>
        <w:spacing w:line="242" w:lineRule="auto"/>
        <w:rPr>
          <w:rFonts w:ascii="仿宋" w:hAnsi="仿宋" w:eastAsia="仿宋" w:cs="仿宋"/>
          <w:color w:val="auto"/>
          <w:highlight w:val="none"/>
          <w:lang w:eastAsia="zh-CN"/>
        </w:rPr>
      </w:pPr>
    </w:p>
    <w:p w14:paraId="7FBE8840">
      <w:pPr>
        <w:spacing w:line="242" w:lineRule="auto"/>
        <w:rPr>
          <w:rFonts w:ascii="仿宋" w:hAnsi="仿宋" w:eastAsia="仿宋" w:cs="仿宋"/>
          <w:color w:val="auto"/>
          <w:highlight w:val="none"/>
          <w:lang w:eastAsia="zh-CN"/>
        </w:rPr>
      </w:pPr>
    </w:p>
    <w:p w14:paraId="719C562B">
      <w:pPr>
        <w:spacing w:line="360" w:lineRule="auto"/>
        <w:jc w:val="center"/>
        <w:outlineLvl w:val="1"/>
        <w:rPr>
          <w:rFonts w:ascii="仿宋" w:hAnsi="仿宋" w:eastAsia="仿宋" w:cs="仿宋"/>
          <w:b/>
          <w:color w:val="auto"/>
          <w:sz w:val="28"/>
          <w:szCs w:val="28"/>
          <w:highlight w:val="none"/>
          <w:lang w:eastAsia="zh-CN"/>
        </w:rPr>
      </w:pPr>
      <w:bookmarkStart w:id="391" w:name="_Toc13525"/>
      <w:bookmarkStart w:id="392" w:name="_Toc23783576"/>
      <w:r>
        <w:rPr>
          <w:rFonts w:hint="eastAsia" w:ascii="仿宋" w:hAnsi="仿宋" w:eastAsia="仿宋" w:cs="仿宋"/>
          <w:b/>
          <w:color w:val="auto"/>
          <w:sz w:val="28"/>
          <w:szCs w:val="28"/>
          <w:highlight w:val="none"/>
          <w:lang w:eastAsia="zh-CN"/>
        </w:rPr>
        <w:t>（提供的采购合同仅供参考，以最终签订的合同为准）</w:t>
      </w:r>
      <w:bookmarkEnd w:id="391"/>
      <w:bookmarkEnd w:id="392"/>
    </w:p>
    <w:p w14:paraId="04649179">
      <w:pPr>
        <w:pStyle w:val="9"/>
        <w:tabs>
          <w:tab w:val="left" w:pos="567"/>
        </w:tabs>
        <w:rPr>
          <w:rFonts w:ascii="仿宋" w:hAnsi="仿宋" w:eastAsia="仿宋" w:cs="仿宋"/>
          <w:b/>
          <w:bCs/>
          <w:color w:val="auto"/>
          <w:spacing w:val="-20"/>
          <w:kern w:val="44"/>
          <w:sz w:val="44"/>
          <w:szCs w:val="44"/>
          <w:highlight w:val="none"/>
          <w:lang w:eastAsia="zh-CN"/>
        </w:rPr>
      </w:pPr>
      <w:bookmarkStart w:id="393" w:name="_Toc3995"/>
      <w:r>
        <w:rPr>
          <w:rFonts w:hint="eastAsia" w:ascii="仿宋" w:hAnsi="仿宋" w:eastAsia="仿宋" w:cs="仿宋"/>
          <w:b/>
          <w:bCs/>
          <w:color w:val="auto"/>
          <w:spacing w:val="-20"/>
          <w:kern w:val="44"/>
          <w:sz w:val="44"/>
          <w:szCs w:val="44"/>
          <w:highlight w:val="none"/>
          <w:lang w:eastAsia="zh-CN"/>
        </w:rPr>
        <w:t>合同编号：</w:t>
      </w:r>
    </w:p>
    <w:p w14:paraId="29611168">
      <w:pPr>
        <w:pStyle w:val="9"/>
        <w:tabs>
          <w:tab w:val="left" w:pos="567"/>
        </w:tabs>
        <w:jc w:val="center"/>
        <w:rPr>
          <w:rFonts w:ascii="仿宋" w:hAnsi="仿宋" w:eastAsia="仿宋" w:cs="仿宋"/>
          <w:b/>
          <w:bCs/>
          <w:color w:val="auto"/>
          <w:spacing w:val="-20"/>
          <w:kern w:val="44"/>
          <w:sz w:val="48"/>
          <w:szCs w:val="48"/>
          <w:highlight w:val="none"/>
          <w:lang w:eastAsia="zh-CN"/>
        </w:rPr>
      </w:pPr>
    </w:p>
    <w:p w14:paraId="17609514">
      <w:pPr>
        <w:pStyle w:val="9"/>
        <w:tabs>
          <w:tab w:val="left" w:pos="567"/>
        </w:tabs>
        <w:jc w:val="center"/>
        <w:rPr>
          <w:rFonts w:ascii="仿宋" w:hAnsi="仿宋" w:eastAsia="仿宋" w:cs="仿宋"/>
          <w:b/>
          <w:bCs/>
          <w:color w:val="auto"/>
          <w:spacing w:val="-20"/>
          <w:kern w:val="44"/>
          <w:sz w:val="48"/>
          <w:szCs w:val="48"/>
          <w:highlight w:val="none"/>
          <w:lang w:eastAsia="zh-CN"/>
        </w:rPr>
      </w:pPr>
    </w:p>
    <w:p w14:paraId="3446E34E">
      <w:pPr>
        <w:pStyle w:val="9"/>
        <w:tabs>
          <w:tab w:val="left" w:pos="567"/>
        </w:tabs>
        <w:jc w:val="center"/>
        <w:rPr>
          <w:rFonts w:ascii="仿宋" w:hAnsi="仿宋" w:eastAsia="仿宋" w:cs="仿宋"/>
          <w:b/>
          <w:bCs/>
          <w:color w:val="auto"/>
          <w:spacing w:val="-20"/>
          <w:kern w:val="44"/>
          <w:sz w:val="48"/>
          <w:szCs w:val="48"/>
          <w:highlight w:val="none"/>
          <w:lang w:eastAsia="zh-CN"/>
        </w:rPr>
      </w:pPr>
    </w:p>
    <w:p w14:paraId="104167B6">
      <w:pPr>
        <w:pStyle w:val="9"/>
        <w:tabs>
          <w:tab w:val="left" w:pos="567"/>
        </w:tabs>
        <w:jc w:val="center"/>
        <w:rPr>
          <w:rFonts w:ascii="仿宋" w:hAnsi="仿宋" w:eastAsia="仿宋" w:cs="仿宋"/>
          <w:b/>
          <w:bCs/>
          <w:color w:val="auto"/>
          <w:spacing w:val="-20"/>
          <w:kern w:val="44"/>
          <w:sz w:val="48"/>
          <w:szCs w:val="48"/>
          <w:highlight w:val="none"/>
          <w:lang w:eastAsia="zh-CN"/>
        </w:rPr>
      </w:pPr>
    </w:p>
    <w:p w14:paraId="55B1D0EA">
      <w:pPr>
        <w:pStyle w:val="9"/>
        <w:tabs>
          <w:tab w:val="left" w:pos="567"/>
        </w:tabs>
        <w:jc w:val="center"/>
        <w:rPr>
          <w:rFonts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政府采购货物买卖合同</w:t>
      </w:r>
    </w:p>
    <w:p w14:paraId="7F84E497">
      <w:pPr>
        <w:rPr>
          <w:rFonts w:ascii="仿宋" w:hAnsi="仿宋" w:eastAsia="仿宋" w:cs="仿宋"/>
          <w:b/>
          <w:bCs/>
          <w:color w:val="auto"/>
          <w:spacing w:val="-20"/>
          <w:kern w:val="44"/>
          <w:sz w:val="40"/>
          <w:szCs w:val="40"/>
          <w:highlight w:val="none"/>
          <w:lang w:eastAsia="zh-CN"/>
        </w:rPr>
      </w:pPr>
    </w:p>
    <w:p w14:paraId="478F4352">
      <w:pPr>
        <w:rPr>
          <w:rFonts w:ascii="仿宋" w:hAnsi="仿宋" w:eastAsia="仿宋" w:cs="仿宋"/>
          <w:b/>
          <w:bCs/>
          <w:color w:val="auto"/>
          <w:spacing w:val="-20"/>
          <w:kern w:val="44"/>
          <w:sz w:val="40"/>
          <w:szCs w:val="40"/>
          <w:highlight w:val="none"/>
          <w:lang w:eastAsia="zh-CN"/>
        </w:rPr>
      </w:pPr>
    </w:p>
    <w:p w14:paraId="23ADBC45">
      <w:pPr>
        <w:rPr>
          <w:rFonts w:ascii="仿宋" w:hAnsi="仿宋" w:eastAsia="仿宋" w:cs="仿宋"/>
          <w:b/>
          <w:bCs/>
          <w:color w:val="auto"/>
          <w:spacing w:val="-20"/>
          <w:kern w:val="44"/>
          <w:sz w:val="40"/>
          <w:szCs w:val="40"/>
          <w:highlight w:val="none"/>
          <w:lang w:eastAsia="zh-CN"/>
        </w:rPr>
      </w:pPr>
    </w:p>
    <w:p w14:paraId="73345AFC">
      <w:pPr>
        <w:spacing w:line="360" w:lineRule="auto"/>
        <w:ind w:left="420" w:leftChars="200"/>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项目名称：</w:t>
      </w:r>
    </w:p>
    <w:p w14:paraId="3C77A3DD">
      <w:pPr>
        <w:spacing w:line="360" w:lineRule="auto"/>
        <w:ind w:left="420" w:leftChars="200"/>
        <w:rPr>
          <w:rFonts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lang w:eastAsia="zh-CN"/>
        </w:rPr>
        <w:t>合同编号：</w:t>
      </w:r>
    </w:p>
    <w:p w14:paraId="530F0EDF">
      <w:pPr>
        <w:spacing w:line="360" w:lineRule="auto"/>
        <w:ind w:left="420" w:leftChars="200"/>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甲    方：</w:t>
      </w:r>
    </w:p>
    <w:p w14:paraId="00BBA964">
      <w:pPr>
        <w:spacing w:line="360" w:lineRule="auto"/>
        <w:ind w:left="420" w:leftChars="200"/>
        <w:rPr>
          <w:rFonts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lang w:eastAsia="zh-CN"/>
        </w:rPr>
        <w:t>乙    方：</w:t>
      </w:r>
    </w:p>
    <w:p w14:paraId="4C512A7A">
      <w:pPr>
        <w:spacing w:line="360" w:lineRule="auto"/>
        <w:ind w:left="420" w:leftChars="200"/>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签订时间：</w:t>
      </w:r>
    </w:p>
    <w:p w14:paraId="35CB20F5">
      <w:pPr>
        <w:rPr>
          <w:rFonts w:ascii="仿宋" w:hAnsi="仿宋" w:eastAsia="仿宋" w:cs="仿宋"/>
          <w:color w:val="auto"/>
          <w:highlight w:val="none"/>
          <w:lang w:eastAsia="zh-CN"/>
        </w:rPr>
      </w:pPr>
    </w:p>
    <w:p w14:paraId="0C7DB361">
      <w:pPr>
        <w:rPr>
          <w:rFonts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br w:type="page"/>
      </w:r>
    </w:p>
    <w:p w14:paraId="356EB7A2">
      <w:pPr>
        <w:spacing w:line="360" w:lineRule="auto"/>
        <w:jc w:val="center"/>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使 用 说 明</w:t>
      </w:r>
    </w:p>
    <w:p w14:paraId="2F21495F">
      <w:pPr>
        <w:spacing w:line="360" w:lineRule="auto"/>
        <w:ind w:firstLine="560" w:firstLineChars="200"/>
        <w:rPr>
          <w:rFonts w:ascii="仿宋" w:hAnsi="仿宋" w:eastAsia="仿宋" w:cs="仿宋"/>
          <w:color w:val="auto"/>
          <w:sz w:val="28"/>
          <w:szCs w:val="28"/>
          <w:highlight w:val="none"/>
          <w:lang w:eastAsia="zh-CN"/>
        </w:rPr>
      </w:pPr>
    </w:p>
    <w:p w14:paraId="2BA2590F">
      <w:pPr>
        <w:spacing w:line="360" w:lineRule="auto"/>
        <w:ind w:firstLine="560" w:firstLineChars="200"/>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1.本合同标准文本适用于购买现成货物的采购项目，不包括需要供应商定制开发、创新研发的货物采购项目。</w:t>
      </w:r>
    </w:p>
    <w:p w14:paraId="663544E2">
      <w:pPr>
        <w:spacing w:line="360" w:lineRule="auto"/>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2.本合同标准文本为政府采购货物买卖合同编制提供参考，可以结合采购项目具体情况，对文本作必要的调整修订后使用。</w:t>
      </w:r>
    </w:p>
    <w:p w14:paraId="7797D679">
      <w:pPr>
        <w:spacing w:line="360" w:lineRule="auto"/>
        <w:ind w:firstLine="560" w:firstLineChars="200"/>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3.本合同标准文本各条款中，如涉及填写多家供应商、制造商，多种采购标的、分包主要内容等信息的，可根据采购项目具体情况添加信息项。</w:t>
      </w:r>
    </w:p>
    <w:p w14:paraId="5FA9BF93">
      <w:pPr>
        <w:spacing w:line="360" w:lineRule="auto"/>
        <w:ind w:firstLine="560" w:firstLineChars="200"/>
        <w:rPr>
          <w:rFonts w:ascii="仿宋" w:hAnsi="仿宋" w:eastAsia="仿宋" w:cs="仿宋"/>
          <w:color w:val="auto"/>
          <w:sz w:val="28"/>
          <w:szCs w:val="28"/>
          <w:highlight w:val="none"/>
          <w:lang w:eastAsia="zh-CN"/>
        </w:rPr>
        <w:sectPr>
          <w:footerReference r:id="rId7" w:type="default"/>
          <w:pgSz w:w="11906" w:h="16838"/>
          <w:pgMar w:top="1440" w:right="1133" w:bottom="1134" w:left="1418" w:header="851" w:footer="907" w:gutter="0"/>
          <w:pgNumType w:fmt="numberInDash" w:start="1"/>
          <w:cols w:space="720" w:num="1"/>
          <w:docGrid w:type="lines" w:linePitch="312" w:charSpace="0"/>
        </w:sectPr>
      </w:pPr>
    </w:p>
    <w:bookmarkEnd w:id="393"/>
    <w:p w14:paraId="288F3216">
      <w:pPr>
        <w:pStyle w:val="4"/>
        <w:spacing w:line="400" w:lineRule="exact"/>
        <w:rPr>
          <w:rFonts w:ascii="仿宋" w:hAnsi="仿宋" w:eastAsia="仿宋" w:cs="仿宋"/>
          <w:b w:val="0"/>
          <w:color w:val="auto"/>
          <w:sz w:val="28"/>
          <w:szCs w:val="28"/>
          <w:highlight w:val="none"/>
          <w:lang w:eastAsia="zh-CN"/>
        </w:rPr>
      </w:pPr>
      <w:bookmarkStart w:id="394" w:name="_Toc27801"/>
      <w:bookmarkStart w:id="395" w:name="_Toc22209"/>
      <w:r>
        <w:rPr>
          <w:rFonts w:hint="eastAsia" w:ascii="仿宋" w:hAnsi="仿宋" w:eastAsia="仿宋" w:cs="仿宋"/>
          <w:b w:val="0"/>
          <w:color w:val="auto"/>
          <w:sz w:val="28"/>
          <w:szCs w:val="28"/>
          <w:highlight w:val="none"/>
          <w:lang w:eastAsia="zh-CN"/>
        </w:rPr>
        <w:t>第一节 政府采购合同协议书</w:t>
      </w:r>
      <w:bookmarkEnd w:id="394"/>
      <w:bookmarkEnd w:id="395"/>
    </w:p>
    <w:p w14:paraId="7C759370">
      <w:pPr>
        <w:pStyle w:val="4"/>
        <w:spacing w:line="400" w:lineRule="exact"/>
        <w:rPr>
          <w:rFonts w:ascii="仿宋" w:hAnsi="仿宋" w:eastAsia="仿宋" w:cs="仿宋"/>
          <w:b w:val="0"/>
          <w:color w:val="auto"/>
          <w:sz w:val="28"/>
          <w:szCs w:val="28"/>
          <w:highlight w:val="none"/>
          <w:lang w:eastAsia="zh-CN"/>
        </w:rPr>
      </w:pPr>
    </w:p>
    <w:p w14:paraId="7F39E80D">
      <w:pPr>
        <w:spacing w:line="360" w:lineRule="auto"/>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甲方（全称）：（采购人）</w:t>
      </w:r>
    </w:p>
    <w:p w14:paraId="5D5D37D8">
      <w:pPr>
        <w:spacing w:line="360" w:lineRule="auto"/>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乙方1（全称）：（供应商）</w:t>
      </w:r>
    </w:p>
    <w:p w14:paraId="4595916E">
      <w:pPr>
        <w:pStyle w:val="10"/>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01DAA25">
      <w:pPr>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1.项目信息</w:t>
      </w:r>
    </w:p>
    <w:p w14:paraId="1A2055CD">
      <w:pPr>
        <w:pStyle w:val="10"/>
        <w:spacing w:line="440" w:lineRule="exact"/>
        <w:ind w:firstLine="48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（1）采购项目名称：</w:t>
      </w:r>
    </w:p>
    <w:p w14:paraId="4D1F1760">
      <w:pPr>
        <w:pStyle w:val="10"/>
        <w:tabs>
          <w:tab w:val="left" w:pos="999"/>
        </w:tabs>
        <w:spacing w:line="440" w:lineRule="exact"/>
        <w:ind w:firstLine="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采购项目编号：</w:t>
      </w:r>
    </w:p>
    <w:p w14:paraId="0E7D74FB">
      <w:pPr>
        <w:pStyle w:val="10"/>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（2）采购计划编号：</w:t>
      </w:r>
    </w:p>
    <w:p w14:paraId="0CB4DEB4">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（3）项目内容：</w:t>
      </w:r>
    </w:p>
    <w:p w14:paraId="47D1E025">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采购标的及数量（台/套/个/架/组等）：</w:t>
      </w:r>
    </w:p>
    <w:p w14:paraId="7A0B6043">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品牌：规格型号：</w:t>
      </w:r>
    </w:p>
    <w:p w14:paraId="332EC5DF">
      <w:pPr>
        <w:spacing w:line="440" w:lineRule="exact"/>
        <w:ind w:firstLine="1080" w:firstLineChars="45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采购标的的技术要求、商务要求具体见附件。</w:t>
      </w:r>
    </w:p>
    <w:p w14:paraId="79B47EC4">
      <w:pPr>
        <w:spacing w:line="440" w:lineRule="exact"/>
        <w:ind w:firstLine="1080" w:firstLineChars="45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请填写该产品关键部件的品牌、型号：</w:t>
      </w:r>
    </w:p>
    <w:p w14:paraId="4DA1F6FE">
      <w:pPr>
        <w:spacing w:line="440" w:lineRule="exact"/>
        <w:ind w:firstLine="480" w:firstLineChars="20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 xml:space="preserve">     标的名称：</w:t>
      </w:r>
    </w:p>
    <w:p w14:paraId="7B680755">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品牌： 型号：</w:t>
      </w:r>
    </w:p>
    <w:p w14:paraId="7D3BF6A3">
      <w:pPr>
        <w:numPr>
          <w:ilvl w:val="0"/>
          <w:numId w:val="19"/>
        </w:num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政府采购组织形式：</w:t>
      </w:r>
    </w:p>
    <w:p w14:paraId="5EE3B8E4">
      <w:pPr>
        <w:spacing w:line="440" w:lineRule="exact"/>
        <w:ind w:firstLine="1200" w:firstLineChars="500"/>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政府集中采购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部门集中采购  </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lang w:eastAsia="zh-CN"/>
        </w:rPr>
        <w:t>分散采购</w:t>
      </w:r>
    </w:p>
    <w:p w14:paraId="2EB3714D">
      <w:pPr>
        <w:pStyle w:val="35"/>
        <w:numPr>
          <w:ilvl w:val="0"/>
          <w:numId w:val="19"/>
        </w:numPr>
        <w:snapToGrid w:val="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政府采购方式：</w:t>
      </w:r>
    </w:p>
    <w:p w14:paraId="5A9CD49A">
      <w:pPr>
        <w:pStyle w:val="35"/>
        <w:snapToGrid w:val="0"/>
        <w:spacing w:line="440" w:lineRule="exact"/>
        <w:ind w:left="420" w:leftChars="200"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 xml:space="preserve">公开招标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邀请招标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竞争性谈判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竞争性磋商</w:t>
      </w:r>
    </w:p>
    <w:p w14:paraId="22FCA3E7">
      <w:pPr>
        <w:pStyle w:val="35"/>
        <w:snapToGrid w:val="0"/>
        <w:spacing w:line="440" w:lineRule="exact"/>
        <w:ind w:firstLine="420" w:firstLineChars="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询价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单一来源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框架协议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其他：</w:t>
      </w:r>
    </w:p>
    <w:p w14:paraId="36FCA285">
      <w:pPr>
        <w:pStyle w:val="35"/>
        <w:snapToGrid w:val="0"/>
        <w:spacing w:line="440" w:lineRule="exact"/>
        <w:ind w:firstLine="240" w:firstLineChars="100"/>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 xml:space="preserve"> （6）</w:t>
      </w:r>
      <w:r>
        <w:rPr>
          <w:rFonts w:hint="eastAsia" w:ascii="仿宋" w:hAnsi="仿宋" w:eastAsia="仿宋" w:cs="仿宋"/>
          <w:color w:val="auto"/>
          <w:kern w:val="2"/>
          <w:sz w:val="24"/>
          <w:szCs w:val="24"/>
          <w:highlight w:val="none"/>
        </w:rPr>
        <w:t>中标（成交）采购标的制造商是否为中小企业：</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 xml:space="preserve">是      </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否</w:t>
      </w:r>
    </w:p>
    <w:p w14:paraId="524E015C">
      <w:pPr>
        <w:spacing w:line="440" w:lineRule="exact"/>
        <w:ind w:firstLine="1024" w:firstLineChars="427"/>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本合同是否为专门面向中小企业的采购合同（中小企业预留合同）：</w:t>
      </w:r>
    </w:p>
    <w:p w14:paraId="4D1E7AA4">
      <w:pPr>
        <w:spacing w:line="440" w:lineRule="exact"/>
        <w:ind w:firstLine="1024" w:firstLineChars="427"/>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1351B8FB">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若本项目不专门面向中小企业采购，是否给予小微企业评审优惠：</w:t>
      </w:r>
    </w:p>
    <w:p w14:paraId="59B9A1FF">
      <w:pPr>
        <w:spacing w:line="440" w:lineRule="exact"/>
        <w:ind w:firstLine="960" w:firstLineChars="400"/>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4A207380">
      <w:pPr>
        <w:spacing w:line="440" w:lineRule="exact"/>
        <w:rPr>
          <w:rFonts w:ascii="仿宋" w:hAnsi="仿宋" w:eastAsia="仿宋" w:cs="仿宋"/>
          <w:iCs/>
          <w:color w:val="auto"/>
          <w:sz w:val="24"/>
          <w:highlight w:val="none"/>
          <w:lang w:eastAsia="zh-CN"/>
        </w:rPr>
      </w:pPr>
      <w:r>
        <w:rPr>
          <w:rFonts w:hint="eastAsia" w:ascii="仿宋" w:hAnsi="仿宋" w:eastAsia="仿宋" w:cs="仿宋"/>
          <w:color w:val="auto"/>
          <w:sz w:val="24"/>
          <w:highlight w:val="none"/>
          <w:lang w:eastAsia="zh-CN"/>
        </w:rPr>
        <w:t xml:space="preserve">        中标（成交）采购标的制造商是否为残疾人福利性单位：</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070D8CC8">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中标（成交）采购标的制造商是否为监狱企业：</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5FAEAFA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（7）合同是否分包：</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否</w:t>
      </w:r>
    </w:p>
    <w:p w14:paraId="66611E88">
      <w:pPr>
        <w:spacing w:line="440" w:lineRule="exact"/>
        <w:ind w:firstLine="960" w:firstLineChars="40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分包主要内容：</w:t>
      </w:r>
    </w:p>
    <w:p w14:paraId="38FD2BF2">
      <w:pPr>
        <w:spacing w:line="440" w:lineRule="exact"/>
        <w:ind w:firstLine="960" w:firstLineChars="4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分包供应商/制造商名称（如供应商和制造商不同，请分别填写）：</w:t>
      </w:r>
    </w:p>
    <w:p w14:paraId="3495CDAC">
      <w:pPr>
        <w:spacing w:line="440" w:lineRule="exact"/>
        <w:ind w:firstLine="960" w:firstLineChars="4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分包供应商/制造商类型（如果供应商和制造商不同，只填写制造商类型）：</w:t>
      </w:r>
    </w:p>
    <w:p w14:paraId="3B05BDCF">
      <w:pPr>
        <w:spacing w:line="440" w:lineRule="exact"/>
        <w:ind w:firstLine="960" w:firstLineChars="400"/>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大型企业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中型企业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小微型企业  </w:t>
      </w:r>
    </w:p>
    <w:p w14:paraId="7F5C3123">
      <w:pPr>
        <w:spacing w:line="440" w:lineRule="exact"/>
        <w:ind w:firstLine="960" w:firstLineChars="400"/>
        <w:rPr>
          <w:rFonts w:ascii="仿宋" w:hAnsi="仿宋" w:eastAsia="仿宋" w:cs="仿宋"/>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残疾人福利性单位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监狱企业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其他</w:t>
      </w:r>
    </w:p>
    <w:p w14:paraId="0718279B">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（8）是否涉及节能产品：</w:t>
      </w:r>
    </w:p>
    <w:p w14:paraId="05BA6D0B">
      <w:pPr>
        <w:tabs>
          <w:tab w:val="left" w:pos="740"/>
        </w:tabs>
        <w:spacing w:line="440" w:lineRule="exact"/>
        <w:rPr>
          <w:rFonts w:ascii="仿宋" w:hAnsi="仿宋" w:eastAsia="仿宋" w:cs="仿宋"/>
          <w:iCs/>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是，《节能产品政府采购品目清单》的底级品目名称：</w:t>
      </w:r>
    </w:p>
    <w:p w14:paraId="7D37AB01">
      <w:pPr>
        <w:tabs>
          <w:tab w:val="left" w:pos="740"/>
        </w:tabs>
        <w:spacing w:line="440" w:lineRule="exact"/>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优先采购    </w:t>
      </w:r>
    </w:p>
    <w:p w14:paraId="4C07E78F">
      <w:pPr>
        <w:tabs>
          <w:tab w:val="left" w:pos="740"/>
        </w:tabs>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否</w:t>
      </w:r>
    </w:p>
    <w:p w14:paraId="0AA63DCC">
      <w:pPr>
        <w:tabs>
          <w:tab w:val="left" w:pos="740"/>
        </w:tabs>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是否涉及环境标志产品：</w:t>
      </w:r>
    </w:p>
    <w:p w14:paraId="5703CD0F">
      <w:pPr>
        <w:tabs>
          <w:tab w:val="left" w:pos="740"/>
        </w:tabs>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是，《环境标志产品政府采购品目清单》的底级品目名称：</w:t>
      </w:r>
    </w:p>
    <w:p w14:paraId="12EC93BC">
      <w:pPr>
        <w:tabs>
          <w:tab w:val="left" w:pos="740"/>
        </w:tabs>
        <w:spacing w:line="440" w:lineRule="exact"/>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优先采购    </w:t>
      </w:r>
    </w:p>
    <w:p w14:paraId="5C03B8A3">
      <w:pPr>
        <w:tabs>
          <w:tab w:val="left" w:pos="740"/>
        </w:tabs>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否</w:t>
      </w:r>
    </w:p>
    <w:p w14:paraId="45D46299">
      <w:pPr>
        <w:pStyle w:val="35"/>
        <w:snapToGrid w:val="0"/>
        <w:spacing w:line="440" w:lineRule="exact"/>
        <w:ind w:firstLine="0" w:firstLineChars="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是否涉及绿色产品： </w:t>
      </w:r>
    </w:p>
    <w:p w14:paraId="5BE8EB03">
      <w:pPr>
        <w:pStyle w:val="35"/>
        <w:spacing w:line="440" w:lineRule="exact"/>
        <w:ind w:firstLine="420" w:firstLineChars="0"/>
        <w:rPr>
          <w:rFonts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是，绿色产品政府采购相关政策确定的底级品目名称：</w:t>
      </w:r>
    </w:p>
    <w:p w14:paraId="33BD23B3">
      <w:pPr>
        <w:tabs>
          <w:tab w:val="left" w:pos="740"/>
        </w:tabs>
        <w:spacing w:line="440" w:lineRule="exact"/>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优先采购    </w:t>
      </w:r>
    </w:p>
    <w:p w14:paraId="38208C87">
      <w:pPr>
        <w:pStyle w:val="35"/>
        <w:spacing w:line="440" w:lineRule="exact"/>
        <w:ind w:firstLine="420" w:firstLineChars="0"/>
        <w:rPr>
          <w:rFonts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否</w:t>
      </w:r>
    </w:p>
    <w:p w14:paraId="3FB40147">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（9）涉及商品包装和快递包装的，是否参考《商品包装政府采购需求标准（试行）》、《快递包装政府采购需求标准（试行）》明确产品及相关快递服务的具体包装要求：</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否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不涉及</w:t>
      </w:r>
    </w:p>
    <w:p w14:paraId="330ECAB3">
      <w:pPr>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2.合同金额</w:t>
      </w:r>
    </w:p>
    <w:p w14:paraId="34208E32">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（1）合同金额小写：</w:t>
      </w:r>
    </w:p>
    <w:p w14:paraId="477D16E5">
      <w:pPr>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 xml:space="preserve">                 大写：</w:t>
      </w:r>
    </w:p>
    <w:p w14:paraId="677F9DC1">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分包金额（如有）小写：</w:t>
      </w:r>
    </w:p>
    <w:p w14:paraId="6B6A4990">
      <w:pPr>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 xml:space="preserve">                     大写：</w:t>
      </w:r>
    </w:p>
    <w:p w14:paraId="6EC22770">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（注：固定单价合同应填写单价和最高限价）</w:t>
      </w:r>
    </w:p>
    <w:p w14:paraId="7D3571F4">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（2）合同定价方式（采用组合定价方式的，可以勾选多项）：</w:t>
      </w:r>
    </w:p>
    <w:p w14:paraId="2A2925FD">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固定总价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固定单价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固定费率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成本补偿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绩效激励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其他</w:t>
      </w:r>
    </w:p>
    <w:p w14:paraId="5041E4C7">
      <w:pPr>
        <w:pStyle w:val="36"/>
        <w:spacing w:line="440" w:lineRule="exact"/>
        <w:ind w:firstLine="480"/>
        <w:rPr>
          <w:rFonts w:ascii="仿宋" w:hAnsi="仿宋" w:eastAsia="仿宋" w:cs="仿宋"/>
          <w:color w:val="auto"/>
          <w:highlight w:val="none"/>
          <w:lang w:eastAsia="zh-CN"/>
        </w:rPr>
      </w:pPr>
      <w:r>
        <w:rPr>
          <w:rFonts w:hint="eastAsia" w:ascii="仿宋" w:hAnsi="仿宋" w:eastAsia="仿宋" w:cs="仿宋"/>
          <w:color w:val="auto"/>
          <w:highlight w:val="none"/>
          <w:lang w:eastAsia="zh-CN"/>
        </w:rPr>
        <w:t>（3）付款方式（按项目实际勾选填写）：</w:t>
      </w:r>
    </w:p>
    <w:p w14:paraId="32573F45">
      <w:pPr>
        <w:spacing w:line="440" w:lineRule="exact"/>
        <w:ind w:firstLine="720" w:firstLineChars="30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全额付款：</w:t>
      </w:r>
      <w:r>
        <w:rPr>
          <w:rFonts w:hint="eastAsia" w:ascii="仿宋" w:hAnsi="仿宋" w:eastAsia="仿宋" w:cs="仿宋"/>
          <w:color w:val="auto"/>
          <w:sz w:val="24"/>
          <w:highlight w:val="none"/>
          <w:u w:val="single"/>
          <w:lang w:eastAsia="zh-CN"/>
        </w:rPr>
        <w:t xml:space="preserve">     （应明确一次性支付合同款项的条件）                    </w:t>
      </w:r>
    </w:p>
    <w:p w14:paraId="4D00D269">
      <w:pPr>
        <w:spacing w:line="440" w:lineRule="exact"/>
        <w:ind w:firstLine="720" w:firstLineChars="300"/>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分期付款：</w:t>
      </w:r>
      <w:r>
        <w:rPr>
          <w:rFonts w:hint="eastAsia" w:ascii="仿宋" w:hAnsi="仿宋" w:eastAsia="仿宋" w:cs="仿宋"/>
          <w:color w:val="auto"/>
          <w:sz w:val="24"/>
          <w:highlight w:val="none"/>
          <w:u w:val="single"/>
          <w:lang w:eastAsia="zh-CN"/>
        </w:rPr>
        <w:t xml:space="preserve">  （应明确分期支付合同款项的各期比例和支付条件，各期支付条件应与分期履约验收情况挂钩） </w:t>
      </w:r>
      <w:r>
        <w:rPr>
          <w:rFonts w:hint="eastAsia" w:ascii="仿宋" w:hAnsi="仿宋" w:eastAsia="仿宋" w:cs="仿宋"/>
          <w:color w:val="auto"/>
          <w:sz w:val="24"/>
          <w:highlight w:val="none"/>
          <w:lang w:eastAsia="zh-CN"/>
        </w:rPr>
        <w:t>，其中涉及预付款的：</w:t>
      </w:r>
      <w:r>
        <w:rPr>
          <w:rFonts w:hint="eastAsia" w:ascii="仿宋" w:hAnsi="仿宋" w:eastAsia="仿宋" w:cs="仿宋"/>
          <w:color w:val="auto"/>
          <w:sz w:val="24"/>
          <w:highlight w:val="none"/>
          <w:u w:val="single"/>
          <w:lang w:eastAsia="zh-CN"/>
        </w:rPr>
        <w:t xml:space="preserve"> （应明确预付款的支付比例和支付条件） </w:t>
      </w:r>
    </w:p>
    <w:p w14:paraId="5B545EE2">
      <w:pPr>
        <w:spacing w:line="440" w:lineRule="exact"/>
        <w:ind w:firstLine="720" w:firstLineChars="30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成本补偿：</w:t>
      </w:r>
      <w:r>
        <w:rPr>
          <w:rFonts w:hint="eastAsia" w:ascii="仿宋" w:hAnsi="仿宋" w:eastAsia="仿宋" w:cs="仿宋"/>
          <w:color w:val="auto"/>
          <w:sz w:val="24"/>
          <w:highlight w:val="none"/>
          <w:u w:val="single"/>
          <w:lang w:eastAsia="zh-CN"/>
        </w:rPr>
        <w:t xml:space="preserve">      （应明确按照成本补偿方式的支付方式和支付条件）   </w:t>
      </w:r>
    </w:p>
    <w:p w14:paraId="06F67008">
      <w:pPr>
        <w:spacing w:line="440" w:lineRule="exact"/>
        <w:ind w:firstLine="720" w:firstLineChars="300"/>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绩效激励：</w:t>
      </w:r>
      <w:r>
        <w:rPr>
          <w:rFonts w:hint="eastAsia" w:ascii="仿宋" w:hAnsi="仿宋" w:eastAsia="仿宋" w:cs="仿宋"/>
          <w:color w:val="auto"/>
          <w:sz w:val="24"/>
          <w:highlight w:val="none"/>
          <w:u w:val="single"/>
          <w:lang w:eastAsia="zh-CN"/>
        </w:rPr>
        <w:t xml:space="preserve">      （应明确按照绩效激励方式的支付方式和支付条件）   </w:t>
      </w:r>
    </w:p>
    <w:p w14:paraId="34452C13">
      <w:pP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3.合同履行</w:t>
      </w:r>
    </w:p>
    <w:p w14:paraId="6D9ECCDE">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（1）起始日期：年月日，完成日期：年月日。</w:t>
      </w:r>
    </w:p>
    <w:p w14:paraId="33A8E81C">
      <w:pPr>
        <w:spacing w:line="440" w:lineRule="exact"/>
        <w:ind w:firstLine="480" w:firstLineChars="20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（2）履约地点</w:t>
      </w:r>
      <w:r>
        <w:rPr>
          <w:rFonts w:hint="eastAsia" w:ascii="仿宋" w:hAnsi="仿宋" w:eastAsia="仿宋" w:cs="仿宋"/>
          <w:bCs/>
          <w:color w:val="auto"/>
          <w:sz w:val="24"/>
          <w:highlight w:val="none"/>
          <w:lang w:eastAsia="zh-CN"/>
        </w:rPr>
        <w:t>：</w:t>
      </w:r>
    </w:p>
    <w:p w14:paraId="18039FE2">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（3）履约担保：</w:t>
      </w:r>
      <w:r>
        <w:rPr>
          <w:rFonts w:hint="eastAsia" w:ascii="仿宋" w:hAnsi="仿宋" w:eastAsia="仿宋" w:cs="仿宋"/>
          <w:color w:val="auto"/>
          <w:sz w:val="24"/>
          <w:highlight w:val="none"/>
          <w:lang w:eastAsia="zh-CN"/>
        </w:rPr>
        <w:t>是否收取履约保证金：</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否</w:t>
      </w:r>
    </w:p>
    <w:p w14:paraId="1044621F">
      <w:pPr>
        <w:pStyle w:val="35"/>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收取履约保证金形式：</w:t>
      </w:r>
    </w:p>
    <w:p w14:paraId="3925E5E6">
      <w:pPr>
        <w:pStyle w:val="35"/>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收取履约保证金金额：</w:t>
      </w:r>
    </w:p>
    <w:p w14:paraId="5576AF94">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 xml:space="preserve">    履约担保期限：</w:t>
      </w:r>
    </w:p>
    <w:p w14:paraId="6274B735">
      <w:pPr>
        <w:spacing w:line="44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（4）分期履行要求：</w:t>
      </w:r>
    </w:p>
    <w:p w14:paraId="171CBAA5">
      <w:pPr>
        <w:spacing w:line="440" w:lineRule="exact"/>
        <w:ind w:firstLine="480" w:firstLineChars="200"/>
        <w:rPr>
          <w:rFonts w:ascii="仿宋" w:hAnsi="仿宋" w:eastAsia="仿宋" w:cs="仿宋"/>
          <w:color w:val="auto"/>
          <w:sz w:val="24"/>
          <w:highlight w:val="none"/>
          <w:u w:val="single"/>
          <w:lang w:eastAsia="zh-CN"/>
        </w:rPr>
      </w:pPr>
      <w:r>
        <w:rPr>
          <w:rFonts w:hint="eastAsia" w:ascii="仿宋" w:hAnsi="仿宋" w:eastAsia="仿宋" w:cs="仿宋"/>
          <w:bCs/>
          <w:color w:val="auto"/>
          <w:sz w:val="24"/>
          <w:highlight w:val="none"/>
          <w:lang w:eastAsia="zh-CN"/>
        </w:rPr>
        <w:t>（5）风险处置措施和替代方案：</w:t>
      </w:r>
    </w:p>
    <w:p w14:paraId="426F1343">
      <w:pP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4.合同验收</w:t>
      </w:r>
    </w:p>
    <w:p w14:paraId="72C0560F">
      <w:pPr>
        <w:numPr>
          <w:ilvl w:val="0"/>
          <w:numId w:val="20"/>
        </w:numPr>
        <w:spacing w:line="44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验收组织方式：</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自行组织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委托第三方组织</w:t>
      </w:r>
    </w:p>
    <w:p w14:paraId="401494AE">
      <w:pPr>
        <w:spacing w:line="440" w:lineRule="exact"/>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 xml:space="preserve">         验收主体：</w:t>
      </w:r>
    </w:p>
    <w:p w14:paraId="1D2273A8">
      <w:pPr>
        <w:spacing w:line="440" w:lineRule="exact"/>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 xml:space="preserve">        是否邀请本项目的其他供应商参加验收：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1B0F1BA6">
      <w:pPr>
        <w:spacing w:line="440" w:lineRule="exact"/>
        <w:ind w:firstLine="960" w:firstLineChars="4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是否邀请专家参加验收：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503748C4">
      <w:pPr>
        <w:spacing w:line="440" w:lineRule="exact"/>
        <w:ind w:firstLine="960" w:firstLineChars="4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是否邀请服务对象参加验收：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658FA2E2">
      <w:pPr>
        <w:spacing w:line="440" w:lineRule="exact"/>
        <w:ind w:firstLine="960" w:firstLineChars="4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是否邀请第三方检测机构参加验收：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242A4DF2">
      <w:pPr>
        <w:spacing w:line="440" w:lineRule="exact"/>
        <w:ind w:firstLine="960" w:firstLineChars="4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是否进行抽查检测：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是，抽查比例：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6B864EBC">
      <w:pPr>
        <w:spacing w:line="440" w:lineRule="exact"/>
        <w:ind w:firstLine="960" w:firstLineChars="4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是否存在破坏性检测：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是，</w:t>
      </w:r>
      <w:r>
        <w:rPr>
          <w:rFonts w:hint="eastAsia" w:ascii="仿宋" w:hAnsi="仿宋" w:eastAsia="仿宋" w:cs="仿宋"/>
          <w:bCs/>
          <w:color w:val="auto"/>
          <w:sz w:val="24"/>
          <w:highlight w:val="none"/>
          <w:u w:val="single"/>
          <w:lang w:eastAsia="zh-CN"/>
        </w:rPr>
        <w:t>（应明确对被破坏的检测产品的处理方式）</w:t>
      </w:r>
    </w:p>
    <w:p w14:paraId="24F5865B">
      <w:pPr>
        <w:spacing w:line="440" w:lineRule="exact"/>
        <w:ind w:firstLine="960" w:firstLineChars="400"/>
        <w:rPr>
          <w:rFonts w:ascii="仿宋" w:hAnsi="仿宋" w:eastAsia="仿宋" w:cs="仿宋"/>
          <w:bCs/>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64BFD973">
      <w:pPr>
        <w:spacing w:line="440" w:lineRule="exact"/>
        <w:ind w:firstLine="960" w:firstLineChars="4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验收组织的其他事项：</w:t>
      </w:r>
    </w:p>
    <w:p w14:paraId="2EC03F3A">
      <w:pPr>
        <w:spacing w:line="440" w:lineRule="exact"/>
        <w:ind w:firstLine="480" w:firstLineChars="2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（2）履约验收时间：</w:t>
      </w:r>
      <w:r>
        <w:rPr>
          <w:rFonts w:hint="eastAsia" w:ascii="仿宋" w:hAnsi="仿宋" w:eastAsia="仿宋" w:cs="仿宋"/>
          <w:bCs/>
          <w:color w:val="auto"/>
          <w:sz w:val="24"/>
          <w:highlight w:val="none"/>
          <w:u w:val="single"/>
          <w:lang w:eastAsia="zh-CN"/>
        </w:rPr>
        <w:t xml:space="preserve">（计划于何时验收/供应商提出验收申请之日起   日内组织验收） </w:t>
      </w:r>
    </w:p>
    <w:p w14:paraId="3D9FDED4">
      <w:pPr>
        <w:spacing w:line="44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（3）履约验收方式：</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一次性验收         </w:t>
      </w:r>
    </w:p>
    <w:p w14:paraId="540E0F4A">
      <w:pPr>
        <w:spacing w:line="440" w:lineRule="exact"/>
        <w:rPr>
          <w:rFonts w:ascii="仿宋" w:hAnsi="仿宋" w:eastAsia="仿宋" w:cs="仿宋"/>
          <w:bCs/>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分期/分项验收：</w:t>
      </w:r>
      <w:r>
        <w:rPr>
          <w:rFonts w:hint="eastAsia" w:ascii="仿宋" w:hAnsi="仿宋" w:eastAsia="仿宋" w:cs="仿宋"/>
          <w:bCs/>
          <w:color w:val="auto"/>
          <w:sz w:val="24"/>
          <w:highlight w:val="none"/>
          <w:u w:val="single"/>
          <w:lang w:eastAsia="zh-CN"/>
        </w:rPr>
        <w:t xml:space="preserve"> （应明确分期/分项验收的工作安排）  </w:t>
      </w:r>
    </w:p>
    <w:p w14:paraId="48C6C20C">
      <w:pPr>
        <w:spacing w:line="44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（4）履约验收程序：</w:t>
      </w:r>
    </w:p>
    <w:p w14:paraId="0FB07622">
      <w:pPr>
        <w:spacing w:line="440" w:lineRule="exact"/>
        <w:ind w:firstLine="480" w:firstLineChars="2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（5）履约验收的内容：</w:t>
      </w:r>
      <w:r>
        <w:rPr>
          <w:rFonts w:hint="eastAsia" w:ascii="仿宋" w:hAnsi="仿宋" w:eastAsia="仿宋" w:cs="仿宋"/>
          <w:bCs/>
          <w:color w:val="auto"/>
          <w:sz w:val="24"/>
          <w:highlight w:val="none"/>
          <w:u w:val="single"/>
          <w:lang w:eastAsia="zh-CN"/>
        </w:rPr>
        <w:t xml:space="preserve"> （应当包括每一项技术和商务要求的履约情况，特别是落实政府采购扶持中小企业，支持绿色发展和乡村振兴等政策情况）                                      </w:t>
      </w:r>
    </w:p>
    <w:p w14:paraId="50679753">
      <w:pPr>
        <w:spacing w:line="440" w:lineRule="exact"/>
        <w:ind w:firstLine="480" w:firstLineChars="2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（6）履约验收标准：</w:t>
      </w:r>
    </w:p>
    <w:p w14:paraId="021920CD">
      <w:pPr>
        <w:pStyle w:val="35"/>
        <w:spacing w:line="440" w:lineRule="exact"/>
        <w:ind w:firstLine="48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（7）是否以采购活动中供应商提供的样品作为参考：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33543431">
      <w:pPr>
        <w:spacing w:line="440" w:lineRule="exact"/>
        <w:ind w:firstLine="480" w:firstLineChars="2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（8）履约验收其他事项：</w:t>
      </w:r>
      <w:r>
        <w:rPr>
          <w:rFonts w:hint="eastAsia" w:ascii="仿宋" w:hAnsi="仿宋" w:eastAsia="仿宋" w:cs="仿宋"/>
          <w:bCs/>
          <w:color w:val="auto"/>
          <w:sz w:val="24"/>
          <w:highlight w:val="none"/>
          <w:u w:val="single"/>
          <w:lang w:eastAsia="zh-CN"/>
        </w:rPr>
        <w:t xml:space="preserve">      （产权过户登记等）          </w:t>
      </w:r>
    </w:p>
    <w:p w14:paraId="1B2FA3A5">
      <w:pPr>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5.组成合同的文件</w:t>
      </w:r>
    </w:p>
    <w:p w14:paraId="46648CBE">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本协议书与下列文件一起构成合同文件，如下述文件之间有任何抵触、矛盾或歧义，应按以下顺序解释：</w:t>
      </w:r>
    </w:p>
    <w:p w14:paraId="07C2EBCA">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（1）政府采购合同协议书及其变更、补充协议</w:t>
      </w:r>
    </w:p>
    <w:p w14:paraId="6D20388F">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（2）政府采购合同专用条款</w:t>
      </w:r>
    </w:p>
    <w:p w14:paraId="07522E3E">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（3）政府采购合同通用条款</w:t>
      </w:r>
    </w:p>
    <w:p w14:paraId="73CFBF20">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（4）中标（成交）通知书</w:t>
      </w:r>
    </w:p>
    <w:p w14:paraId="27EA7F7D">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（5）投标（响应）文件</w:t>
      </w:r>
    </w:p>
    <w:p w14:paraId="19B8B5C5">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（6）采购文件</w:t>
      </w:r>
    </w:p>
    <w:p w14:paraId="4432B2AB">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（7）有关技术文件，图纸</w:t>
      </w:r>
    </w:p>
    <w:p w14:paraId="54F12497">
      <w:pPr>
        <w:pStyle w:val="35"/>
        <w:spacing w:line="440" w:lineRule="exact"/>
        <w:ind w:firstLine="480"/>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kern w:val="2"/>
          <w:sz w:val="24"/>
          <w:szCs w:val="24"/>
          <w:highlight w:val="none"/>
        </w:rPr>
        <w:t>国家法律、行政法规和规章制度规定或合同约定的作为合同组成部分的其他文件</w:t>
      </w:r>
    </w:p>
    <w:p w14:paraId="73433144">
      <w:pPr>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6.合同生效</w:t>
      </w:r>
    </w:p>
    <w:p w14:paraId="183EAECC">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本合同自生效。</w:t>
      </w:r>
    </w:p>
    <w:p w14:paraId="0866005F">
      <w:pPr>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7.合同份数</w:t>
      </w:r>
    </w:p>
    <w:p w14:paraId="7330B740">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本合同一式份，甲方执份，乙方执份，均具有同等法律效力。</w:t>
      </w:r>
    </w:p>
    <w:p w14:paraId="3EDAEDB6">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合同订立时间：年月日</w:t>
      </w:r>
    </w:p>
    <w:p w14:paraId="12B5E306">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合同订立地点：</w:t>
      </w:r>
    </w:p>
    <w:p w14:paraId="62FC08A4">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附件：具体标的及其技术要求和商务要求、联合协议、分包意向协议等。</w:t>
      </w:r>
    </w:p>
    <w:p w14:paraId="5717B0A1">
      <w:pP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br w:type="page"/>
      </w:r>
    </w:p>
    <w:p w14:paraId="1D6EEA1E">
      <w:pPr>
        <w:pStyle w:val="36"/>
        <w:ind w:firstLine="480"/>
        <w:rPr>
          <w:rFonts w:ascii="仿宋" w:hAnsi="仿宋" w:eastAsia="仿宋" w:cs="仿宋"/>
          <w:color w:val="auto"/>
          <w:highlight w:val="none"/>
          <w:lang w:eastAsia="zh-CN"/>
        </w:rPr>
      </w:pPr>
    </w:p>
    <w:tbl>
      <w:tblPr>
        <w:tblStyle w:val="20"/>
        <w:tblW w:w="9464" w:type="dxa"/>
        <w:tblInd w:w="-176"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518"/>
        <w:gridCol w:w="2069"/>
        <w:gridCol w:w="3138"/>
        <w:gridCol w:w="1739"/>
      </w:tblGrid>
      <w:tr w14:paraId="12A39B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587" w:type="dxa"/>
            <w:gridSpan w:val="2"/>
            <w:tcBorders>
              <w:bottom w:val="single" w:color="auto" w:sz="2" w:space="0"/>
              <w:right w:val="single" w:color="auto" w:sz="2" w:space="0"/>
            </w:tcBorders>
            <w:noWrap/>
            <w:vAlign w:val="center"/>
          </w:tcPr>
          <w:p w14:paraId="72B773E5">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甲方（采购人、受采购人委托签订合同的单位或采购文件约定的合同甲方）</w:t>
            </w:r>
          </w:p>
        </w:tc>
        <w:tc>
          <w:tcPr>
            <w:tcW w:w="4877" w:type="dxa"/>
            <w:gridSpan w:val="2"/>
            <w:tcBorders>
              <w:left w:val="single" w:color="auto" w:sz="2" w:space="0"/>
              <w:bottom w:val="single" w:color="auto" w:sz="2" w:space="0"/>
            </w:tcBorders>
            <w:noWrap/>
            <w:vAlign w:val="center"/>
          </w:tcPr>
          <w:p w14:paraId="70C8DFCD">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乙方（供应商）</w:t>
            </w:r>
          </w:p>
        </w:tc>
      </w:tr>
      <w:tr w14:paraId="398705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518" w:type="dxa"/>
            <w:tcBorders>
              <w:top w:val="single" w:color="auto" w:sz="2" w:space="0"/>
              <w:bottom w:val="single" w:color="auto" w:sz="2" w:space="0"/>
              <w:right w:val="single" w:color="auto" w:sz="2" w:space="0"/>
            </w:tcBorders>
            <w:noWrap/>
            <w:vAlign w:val="center"/>
          </w:tcPr>
          <w:p w14:paraId="17CCE1AB">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单位名称（公章或合同章）</w:t>
            </w:r>
          </w:p>
        </w:tc>
        <w:tc>
          <w:tcPr>
            <w:tcW w:w="2069" w:type="dxa"/>
            <w:tcBorders>
              <w:top w:val="single" w:color="auto" w:sz="2" w:space="0"/>
              <w:left w:val="single" w:color="auto" w:sz="2" w:space="0"/>
              <w:bottom w:val="single" w:color="auto" w:sz="2" w:space="0"/>
              <w:right w:val="single" w:color="auto" w:sz="2" w:space="0"/>
            </w:tcBorders>
            <w:noWrap/>
            <w:vAlign w:val="center"/>
          </w:tcPr>
          <w:p w14:paraId="520FCFA8">
            <w:pPr>
              <w:spacing w:line="300" w:lineRule="exact"/>
              <w:jc w:val="center"/>
              <w:rPr>
                <w:rFonts w:ascii="仿宋" w:hAnsi="仿宋" w:eastAsia="仿宋" w:cs="仿宋"/>
                <w:color w:val="auto"/>
                <w:sz w:val="24"/>
                <w:highlight w:val="none"/>
                <w:lang w:eastAsia="zh-CN"/>
              </w:rPr>
            </w:pPr>
          </w:p>
        </w:tc>
        <w:tc>
          <w:tcPr>
            <w:tcW w:w="3138" w:type="dxa"/>
            <w:tcBorders>
              <w:top w:val="single" w:color="auto" w:sz="2" w:space="0"/>
              <w:left w:val="single" w:color="auto" w:sz="2" w:space="0"/>
              <w:bottom w:val="single" w:color="auto" w:sz="2" w:space="0"/>
              <w:right w:val="single" w:color="auto" w:sz="2" w:space="0"/>
            </w:tcBorders>
            <w:noWrap/>
            <w:vAlign w:val="center"/>
          </w:tcPr>
          <w:p w14:paraId="2787316E">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单位名称（公章或合同章）</w:t>
            </w:r>
          </w:p>
        </w:tc>
        <w:tc>
          <w:tcPr>
            <w:tcW w:w="1739" w:type="dxa"/>
            <w:tcBorders>
              <w:top w:val="single" w:color="auto" w:sz="2" w:space="0"/>
              <w:left w:val="single" w:color="auto" w:sz="2" w:space="0"/>
              <w:bottom w:val="single" w:color="auto" w:sz="2" w:space="0"/>
            </w:tcBorders>
            <w:noWrap/>
            <w:vAlign w:val="center"/>
          </w:tcPr>
          <w:p w14:paraId="4C21B19A">
            <w:pPr>
              <w:spacing w:line="300" w:lineRule="exact"/>
              <w:jc w:val="center"/>
              <w:rPr>
                <w:rFonts w:ascii="仿宋" w:hAnsi="仿宋" w:eastAsia="仿宋" w:cs="仿宋"/>
                <w:color w:val="auto"/>
                <w:spacing w:val="20"/>
                <w:sz w:val="24"/>
                <w:highlight w:val="none"/>
                <w:lang w:eastAsia="zh-CN"/>
              </w:rPr>
            </w:pPr>
          </w:p>
        </w:tc>
      </w:tr>
      <w:tr w14:paraId="415890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518" w:type="dxa"/>
            <w:vMerge w:val="restart"/>
            <w:tcBorders>
              <w:top w:val="single" w:color="auto" w:sz="2" w:space="0"/>
              <w:right w:val="single" w:color="auto" w:sz="2" w:space="0"/>
            </w:tcBorders>
            <w:noWrap/>
            <w:vAlign w:val="center"/>
          </w:tcPr>
          <w:p w14:paraId="10A95523">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w:t>
            </w:r>
          </w:p>
          <w:p w14:paraId="77860E4D">
            <w:pPr>
              <w:spacing w:line="300" w:lineRule="exact"/>
              <w:ind w:firstLine="115" w:firstLineChars="48"/>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或其委托代理人（签章）</w:t>
            </w:r>
          </w:p>
        </w:tc>
        <w:tc>
          <w:tcPr>
            <w:tcW w:w="2069" w:type="dxa"/>
            <w:vMerge w:val="restart"/>
            <w:tcBorders>
              <w:top w:val="single" w:color="auto" w:sz="2" w:space="0"/>
              <w:left w:val="single" w:color="auto" w:sz="2" w:space="0"/>
              <w:right w:val="single" w:color="auto" w:sz="2" w:space="0"/>
            </w:tcBorders>
            <w:noWrap/>
            <w:vAlign w:val="center"/>
          </w:tcPr>
          <w:p w14:paraId="31CD6530">
            <w:pPr>
              <w:spacing w:line="300" w:lineRule="exact"/>
              <w:jc w:val="center"/>
              <w:rPr>
                <w:rFonts w:ascii="仿宋" w:hAnsi="仿宋" w:eastAsia="仿宋" w:cs="仿宋"/>
                <w:color w:val="auto"/>
                <w:sz w:val="24"/>
                <w:highlight w:val="none"/>
                <w:lang w:eastAsia="zh-CN"/>
              </w:rPr>
            </w:pPr>
          </w:p>
        </w:tc>
        <w:tc>
          <w:tcPr>
            <w:tcW w:w="3138" w:type="dxa"/>
            <w:tcBorders>
              <w:top w:val="single" w:color="auto" w:sz="2" w:space="0"/>
              <w:left w:val="single" w:color="auto" w:sz="2" w:space="0"/>
              <w:right w:val="single" w:color="auto" w:sz="2" w:space="0"/>
            </w:tcBorders>
            <w:noWrap/>
            <w:vAlign w:val="center"/>
          </w:tcPr>
          <w:p w14:paraId="29D8B279">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w:t>
            </w:r>
          </w:p>
          <w:p w14:paraId="7511ABD8">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或其委托代理人（签章）</w:t>
            </w:r>
          </w:p>
        </w:tc>
        <w:tc>
          <w:tcPr>
            <w:tcW w:w="1739" w:type="dxa"/>
            <w:tcBorders>
              <w:top w:val="single" w:color="auto" w:sz="2" w:space="0"/>
              <w:left w:val="single" w:color="auto" w:sz="2" w:space="0"/>
              <w:bottom w:val="single" w:color="auto" w:sz="2" w:space="0"/>
            </w:tcBorders>
            <w:noWrap/>
            <w:vAlign w:val="center"/>
          </w:tcPr>
          <w:p w14:paraId="46F166A2">
            <w:pPr>
              <w:spacing w:line="300" w:lineRule="exact"/>
              <w:jc w:val="center"/>
              <w:rPr>
                <w:rFonts w:ascii="仿宋" w:hAnsi="仿宋" w:eastAsia="仿宋" w:cs="仿宋"/>
                <w:color w:val="auto"/>
                <w:sz w:val="24"/>
                <w:highlight w:val="none"/>
                <w:lang w:eastAsia="zh-CN"/>
              </w:rPr>
            </w:pPr>
          </w:p>
        </w:tc>
      </w:tr>
      <w:tr w14:paraId="62C97D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518" w:type="dxa"/>
            <w:vMerge w:val="continue"/>
            <w:tcBorders>
              <w:bottom w:val="single" w:color="auto" w:sz="2" w:space="0"/>
              <w:right w:val="single" w:color="auto" w:sz="2" w:space="0"/>
            </w:tcBorders>
            <w:noWrap/>
            <w:vAlign w:val="center"/>
          </w:tcPr>
          <w:p w14:paraId="7FC0B876">
            <w:pPr>
              <w:spacing w:line="300" w:lineRule="exact"/>
              <w:jc w:val="center"/>
              <w:rPr>
                <w:rFonts w:ascii="仿宋" w:hAnsi="仿宋" w:eastAsia="仿宋" w:cs="仿宋"/>
                <w:color w:val="auto"/>
                <w:sz w:val="24"/>
                <w:highlight w:val="none"/>
                <w:lang w:eastAsia="zh-CN"/>
              </w:rPr>
            </w:pPr>
          </w:p>
        </w:tc>
        <w:tc>
          <w:tcPr>
            <w:tcW w:w="2069" w:type="dxa"/>
            <w:vMerge w:val="continue"/>
            <w:tcBorders>
              <w:left w:val="single" w:color="auto" w:sz="2" w:space="0"/>
              <w:bottom w:val="single" w:color="auto" w:sz="2" w:space="0"/>
              <w:right w:val="single" w:color="auto" w:sz="2" w:space="0"/>
            </w:tcBorders>
            <w:noWrap/>
            <w:vAlign w:val="center"/>
          </w:tcPr>
          <w:p w14:paraId="6C7DBA2D">
            <w:pPr>
              <w:spacing w:line="300" w:lineRule="exact"/>
              <w:jc w:val="center"/>
              <w:rPr>
                <w:rFonts w:ascii="仿宋" w:hAnsi="仿宋" w:eastAsia="仿宋" w:cs="仿宋"/>
                <w:color w:val="auto"/>
                <w:sz w:val="24"/>
                <w:highlight w:val="none"/>
                <w:lang w:eastAsia="zh-CN"/>
              </w:rPr>
            </w:pPr>
          </w:p>
        </w:tc>
        <w:tc>
          <w:tcPr>
            <w:tcW w:w="3138" w:type="dxa"/>
            <w:tcBorders>
              <w:top w:val="single" w:color="auto" w:sz="2" w:space="0"/>
              <w:left w:val="single" w:color="auto" w:sz="2" w:space="0"/>
              <w:bottom w:val="single" w:color="auto" w:sz="2" w:space="0"/>
              <w:right w:val="single" w:color="auto" w:sz="2" w:space="0"/>
            </w:tcBorders>
            <w:noWrap/>
            <w:vAlign w:val="center"/>
          </w:tcPr>
          <w:p w14:paraId="1E180964">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拥有者性别</w:t>
            </w:r>
          </w:p>
        </w:tc>
        <w:tc>
          <w:tcPr>
            <w:tcW w:w="1739" w:type="dxa"/>
            <w:tcBorders>
              <w:top w:val="single" w:color="auto" w:sz="2" w:space="0"/>
              <w:left w:val="single" w:color="auto" w:sz="2" w:space="0"/>
              <w:bottom w:val="single" w:color="auto" w:sz="2" w:space="0"/>
            </w:tcBorders>
            <w:noWrap/>
            <w:vAlign w:val="center"/>
          </w:tcPr>
          <w:p w14:paraId="64874C0A">
            <w:pPr>
              <w:spacing w:line="300" w:lineRule="exact"/>
              <w:jc w:val="center"/>
              <w:rPr>
                <w:rFonts w:ascii="仿宋" w:hAnsi="仿宋" w:eastAsia="仿宋" w:cs="仿宋"/>
                <w:color w:val="auto"/>
                <w:spacing w:val="20"/>
                <w:sz w:val="24"/>
                <w:highlight w:val="none"/>
              </w:rPr>
            </w:pPr>
          </w:p>
        </w:tc>
      </w:tr>
      <w:tr w14:paraId="516B7C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518" w:type="dxa"/>
            <w:tcBorders>
              <w:top w:val="single" w:color="auto" w:sz="2" w:space="0"/>
              <w:bottom w:val="single" w:color="auto" w:sz="2" w:space="0"/>
              <w:right w:val="single" w:color="auto" w:sz="2" w:space="0"/>
            </w:tcBorders>
            <w:noWrap/>
            <w:vAlign w:val="center"/>
          </w:tcPr>
          <w:p w14:paraId="3D7504C7">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住  所</w:t>
            </w:r>
          </w:p>
        </w:tc>
        <w:tc>
          <w:tcPr>
            <w:tcW w:w="2069" w:type="dxa"/>
            <w:tcBorders>
              <w:top w:val="single" w:color="auto" w:sz="2" w:space="0"/>
              <w:left w:val="single" w:color="auto" w:sz="2" w:space="0"/>
              <w:bottom w:val="single" w:color="auto" w:sz="2" w:space="0"/>
              <w:right w:val="single" w:color="auto" w:sz="2" w:space="0"/>
            </w:tcBorders>
            <w:noWrap/>
            <w:vAlign w:val="center"/>
          </w:tcPr>
          <w:p w14:paraId="3A207E75">
            <w:pPr>
              <w:spacing w:line="300" w:lineRule="exact"/>
              <w:jc w:val="center"/>
              <w:rPr>
                <w:rFonts w:ascii="仿宋" w:hAnsi="仿宋" w:eastAsia="仿宋" w:cs="仿宋"/>
                <w:color w:val="auto"/>
                <w:sz w:val="24"/>
                <w:highlight w:val="none"/>
              </w:rPr>
            </w:pPr>
          </w:p>
        </w:tc>
        <w:tc>
          <w:tcPr>
            <w:tcW w:w="3138" w:type="dxa"/>
            <w:tcBorders>
              <w:top w:val="single" w:color="auto" w:sz="2" w:space="0"/>
              <w:left w:val="single" w:color="auto" w:sz="2" w:space="0"/>
              <w:bottom w:val="single" w:color="auto" w:sz="2" w:space="0"/>
              <w:right w:val="single" w:color="auto" w:sz="2" w:space="0"/>
            </w:tcBorders>
            <w:noWrap/>
            <w:vAlign w:val="center"/>
          </w:tcPr>
          <w:p w14:paraId="3F2E98AD">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住  所</w:t>
            </w:r>
          </w:p>
        </w:tc>
        <w:tc>
          <w:tcPr>
            <w:tcW w:w="1739" w:type="dxa"/>
            <w:tcBorders>
              <w:top w:val="single" w:color="auto" w:sz="2" w:space="0"/>
              <w:left w:val="single" w:color="auto" w:sz="2" w:space="0"/>
              <w:bottom w:val="single" w:color="auto" w:sz="2" w:space="0"/>
            </w:tcBorders>
            <w:noWrap/>
            <w:vAlign w:val="center"/>
          </w:tcPr>
          <w:p w14:paraId="78A57A76">
            <w:pPr>
              <w:spacing w:line="300" w:lineRule="exact"/>
              <w:jc w:val="center"/>
              <w:rPr>
                <w:rFonts w:ascii="仿宋" w:hAnsi="仿宋" w:eastAsia="仿宋" w:cs="仿宋"/>
                <w:color w:val="auto"/>
                <w:spacing w:val="20"/>
                <w:sz w:val="24"/>
                <w:highlight w:val="none"/>
              </w:rPr>
            </w:pPr>
          </w:p>
        </w:tc>
      </w:tr>
      <w:tr w14:paraId="40946F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518" w:type="dxa"/>
            <w:tcBorders>
              <w:top w:val="single" w:color="auto" w:sz="2" w:space="0"/>
              <w:bottom w:val="single" w:color="auto" w:sz="2" w:space="0"/>
              <w:right w:val="single" w:color="auto" w:sz="2" w:space="0"/>
            </w:tcBorders>
            <w:noWrap/>
            <w:vAlign w:val="center"/>
          </w:tcPr>
          <w:p w14:paraId="4DEBCF58">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 系 人</w:t>
            </w:r>
          </w:p>
        </w:tc>
        <w:tc>
          <w:tcPr>
            <w:tcW w:w="2069" w:type="dxa"/>
            <w:tcBorders>
              <w:top w:val="single" w:color="auto" w:sz="2" w:space="0"/>
              <w:left w:val="single" w:color="auto" w:sz="2" w:space="0"/>
              <w:bottom w:val="single" w:color="auto" w:sz="2" w:space="0"/>
              <w:right w:val="single" w:color="auto" w:sz="2" w:space="0"/>
            </w:tcBorders>
            <w:noWrap/>
            <w:vAlign w:val="center"/>
          </w:tcPr>
          <w:p w14:paraId="1D3FA29E">
            <w:pPr>
              <w:spacing w:line="300" w:lineRule="exact"/>
              <w:jc w:val="center"/>
              <w:rPr>
                <w:rFonts w:ascii="仿宋" w:hAnsi="仿宋" w:eastAsia="仿宋" w:cs="仿宋"/>
                <w:color w:val="auto"/>
                <w:sz w:val="24"/>
                <w:highlight w:val="none"/>
              </w:rPr>
            </w:pPr>
          </w:p>
        </w:tc>
        <w:tc>
          <w:tcPr>
            <w:tcW w:w="3138" w:type="dxa"/>
            <w:tcBorders>
              <w:top w:val="single" w:color="auto" w:sz="2" w:space="0"/>
              <w:left w:val="single" w:color="auto" w:sz="2" w:space="0"/>
              <w:bottom w:val="single" w:color="auto" w:sz="2" w:space="0"/>
              <w:right w:val="single" w:color="auto" w:sz="2" w:space="0"/>
            </w:tcBorders>
            <w:noWrap/>
            <w:vAlign w:val="center"/>
          </w:tcPr>
          <w:p w14:paraId="6C16D9BD">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 系 人</w:t>
            </w:r>
          </w:p>
        </w:tc>
        <w:tc>
          <w:tcPr>
            <w:tcW w:w="1739" w:type="dxa"/>
            <w:tcBorders>
              <w:top w:val="single" w:color="auto" w:sz="2" w:space="0"/>
              <w:left w:val="single" w:color="auto" w:sz="2" w:space="0"/>
              <w:bottom w:val="single" w:color="auto" w:sz="2" w:space="0"/>
            </w:tcBorders>
            <w:noWrap/>
            <w:vAlign w:val="center"/>
          </w:tcPr>
          <w:p w14:paraId="14BB7B5E">
            <w:pPr>
              <w:spacing w:line="300" w:lineRule="exact"/>
              <w:jc w:val="center"/>
              <w:rPr>
                <w:rFonts w:ascii="仿宋" w:hAnsi="仿宋" w:eastAsia="仿宋" w:cs="仿宋"/>
                <w:color w:val="auto"/>
                <w:spacing w:val="20"/>
                <w:sz w:val="24"/>
                <w:highlight w:val="none"/>
              </w:rPr>
            </w:pPr>
          </w:p>
        </w:tc>
      </w:tr>
      <w:tr w14:paraId="5C766E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518" w:type="dxa"/>
            <w:tcBorders>
              <w:top w:val="single" w:color="auto" w:sz="2" w:space="0"/>
              <w:bottom w:val="single" w:color="auto" w:sz="2" w:space="0"/>
              <w:right w:val="single" w:color="auto" w:sz="2" w:space="0"/>
            </w:tcBorders>
            <w:noWrap/>
            <w:vAlign w:val="center"/>
          </w:tcPr>
          <w:p w14:paraId="45FC7BED">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069" w:type="dxa"/>
            <w:tcBorders>
              <w:top w:val="single" w:color="auto" w:sz="2" w:space="0"/>
              <w:left w:val="single" w:color="auto" w:sz="2" w:space="0"/>
              <w:bottom w:val="single" w:color="auto" w:sz="2" w:space="0"/>
              <w:right w:val="single" w:color="auto" w:sz="2" w:space="0"/>
            </w:tcBorders>
            <w:noWrap/>
            <w:vAlign w:val="center"/>
          </w:tcPr>
          <w:p w14:paraId="2127894B">
            <w:pPr>
              <w:spacing w:line="300" w:lineRule="exact"/>
              <w:jc w:val="center"/>
              <w:rPr>
                <w:rFonts w:ascii="仿宋" w:hAnsi="仿宋" w:eastAsia="仿宋" w:cs="仿宋"/>
                <w:color w:val="auto"/>
                <w:sz w:val="24"/>
                <w:highlight w:val="none"/>
              </w:rPr>
            </w:pPr>
          </w:p>
        </w:tc>
        <w:tc>
          <w:tcPr>
            <w:tcW w:w="3138" w:type="dxa"/>
            <w:tcBorders>
              <w:top w:val="single" w:color="auto" w:sz="2" w:space="0"/>
              <w:left w:val="single" w:color="auto" w:sz="2" w:space="0"/>
              <w:bottom w:val="single" w:color="auto" w:sz="2" w:space="0"/>
              <w:right w:val="single" w:color="auto" w:sz="2" w:space="0"/>
            </w:tcBorders>
            <w:noWrap/>
            <w:vAlign w:val="center"/>
          </w:tcPr>
          <w:p w14:paraId="2E3C1054">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739" w:type="dxa"/>
            <w:tcBorders>
              <w:top w:val="single" w:color="auto" w:sz="2" w:space="0"/>
              <w:left w:val="single" w:color="auto" w:sz="2" w:space="0"/>
              <w:bottom w:val="single" w:color="auto" w:sz="2" w:space="0"/>
            </w:tcBorders>
            <w:noWrap/>
            <w:vAlign w:val="center"/>
          </w:tcPr>
          <w:p w14:paraId="0EA5B63D">
            <w:pPr>
              <w:spacing w:line="300" w:lineRule="exact"/>
              <w:jc w:val="center"/>
              <w:rPr>
                <w:rFonts w:ascii="仿宋" w:hAnsi="仿宋" w:eastAsia="仿宋" w:cs="仿宋"/>
                <w:color w:val="auto"/>
                <w:spacing w:val="20"/>
                <w:sz w:val="24"/>
                <w:highlight w:val="none"/>
              </w:rPr>
            </w:pPr>
          </w:p>
        </w:tc>
      </w:tr>
      <w:tr w14:paraId="7CD79F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518" w:type="dxa"/>
            <w:tcBorders>
              <w:top w:val="single" w:color="auto" w:sz="2" w:space="0"/>
              <w:bottom w:val="single" w:color="auto" w:sz="2" w:space="0"/>
              <w:right w:val="single" w:color="auto" w:sz="2" w:space="0"/>
            </w:tcBorders>
            <w:noWrap/>
            <w:vAlign w:val="center"/>
          </w:tcPr>
          <w:p w14:paraId="3409A77E">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通信地址</w:t>
            </w:r>
          </w:p>
        </w:tc>
        <w:tc>
          <w:tcPr>
            <w:tcW w:w="2069" w:type="dxa"/>
            <w:tcBorders>
              <w:top w:val="single" w:color="auto" w:sz="2" w:space="0"/>
              <w:left w:val="single" w:color="auto" w:sz="2" w:space="0"/>
              <w:bottom w:val="single" w:color="auto" w:sz="2" w:space="0"/>
              <w:right w:val="single" w:color="auto" w:sz="2" w:space="0"/>
            </w:tcBorders>
            <w:noWrap/>
            <w:vAlign w:val="center"/>
          </w:tcPr>
          <w:p w14:paraId="1A211E5F">
            <w:pPr>
              <w:spacing w:line="300" w:lineRule="exact"/>
              <w:jc w:val="center"/>
              <w:rPr>
                <w:rFonts w:ascii="仿宋" w:hAnsi="仿宋" w:eastAsia="仿宋" w:cs="仿宋"/>
                <w:color w:val="auto"/>
                <w:sz w:val="24"/>
                <w:highlight w:val="none"/>
              </w:rPr>
            </w:pPr>
          </w:p>
        </w:tc>
        <w:tc>
          <w:tcPr>
            <w:tcW w:w="3138" w:type="dxa"/>
            <w:tcBorders>
              <w:top w:val="single" w:color="auto" w:sz="2" w:space="0"/>
              <w:left w:val="single" w:color="auto" w:sz="2" w:space="0"/>
              <w:bottom w:val="single" w:color="auto" w:sz="2" w:space="0"/>
              <w:right w:val="single" w:color="auto" w:sz="2" w:space="0"/>
            </w:tcBorders>
            <w:noWrap/>
            <w:vAlign w:val="center"/>
          </w:tcPr>
          <w:p w14:paraId="5EE001F6">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通信地址</w:t>
            </w:r>
          </w:p>
        </w:tc>
        <w:tc>
          <w:tcPr>
            <w:tcW w:w="1739" w:type="dxa"/>
            <w:tcBorders>
              <w:top w:val="single" w:color="auto" w:sz="2" w:space="0"/>
              <w:left w:val="single" w:color="auto" w:sz="2" w:space="0"/>
              <w:bottom w:val="single" w:color="auto" w:sz="2" w:space="0"/>
            </w:tcBorders>
            <w:noWrap/>
            <w:vAlign w:val="center"/>
          </w:tcPr>
          <w:p w14:paraId="7B3009D8">
            <w:pPr>
              <w:spacing w:line="300" w:lineRule="exact"/>
              <w:jc w:val="center"/>
              <w:rPr>
                <w:rFonts w:ascii="仿宋" w:hAnsi="仿宋" w:eastAsia="仿宋" w:cs="仿宋"/>
                <w:color w:val="auto"/>
                <w:spacing w:val="20"/>
                <w:sz w:val="24"/>
                <w:highlight w:val="none"/>
              </w:rPr>
            </w:pPr>
          </w:p>
        </w:tc>
      </w:tr>
      <w:tr w14:paraId="2A4610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518" w:type="dxa"/>
            <w:tcBorders>
              <w:top w:val="single" w:color="auto" w:sz="2" w:space="0"/>
              <w:bottom w:val="single" w:color="auto" w:sz="2" w:space="0"/>
              <w:right w:val="single" w:color="auto" w:sz="2" w:space="0"/>
            </w:tcBorders>
            <w:noWrap/>
            <w:vAlign w:val="center"/>
          </w:tcPr>
          <w:p w14:paraId="795F5D2D">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2069" w:type="dxa"/>
            <w:tcBorders>
              <w:top w:val="single" w:color="auto" w:sz="2" w:space="0"/>
              <w:left w:val="single" w:color="auto" w:sz="2" w:space="0"/>
              <w:bottom w:val="single" w:color="auto" w:sz="2" w:space="0"/>
              <w:right w:val="single" w:color="auto" w:sz="2" w:space="0"/>
            </w:tcBorders>
            <w:noWrap/>
            <w:vAlign w:val="center"/>
          </w:tcPr>
          <w:p w14:paraId="14D40719">
            <w:pPr>
              <w:spacing w:line="300" w:lineRule="exact"/>
              <w:jc w:val="center"/>
              <w:rPr>
                <w:rFonts w:ascii="仿宋" w:hAnsi="仿宋" w:eastAsia="仿宋" w:cs="仿宋"/>
                <w:color w:val="auto"/>
                <w:sz w:val="24"/>
                <w:highlight w:val="none"/>
              </w:rPr>
            </w:pPr>
          </w:p>
        </w:tc>
        <w:tc>
          <w:tcPr>
            <w:tcW w:w="3138" w:type="dxa"/>
            <w:tcBorders>
              <w:top w:val="single" w:color="auto" w:sz="2" w:space="0"/>
              <w:left w:val="single" w:color="auto" w:sz="2" w:space="0"/>
              <w:bottom w:val="single" w:color="auto" w:sz="2" w:space="0"/>
              <w:right w:val="single" w:color="auto" w:sz="2" w:space="0"/>
            </w:tcBorders>
            <w:noWrap/>
            <w:vAlign w:val="center"/>
          </w:tcPr>
          <w:p w14:paraId="3EC6DBF7">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1739" w:type="dxa"/>
            <w:tcBorders>
              <w:top w:val="single" w:color="auto" w:sz="2" w:space="0"/>
              <w:left w:val="single" w:color="auto" w:sz="2" w:space="0"/>
              <w:bottom w:val="single" w:color="auto" w:sz="2" w:space="0"/>
            </w:tcBorders>
            <w:noWrap/>
            <w:vAlign w:val="center"/>
          </w:tcPr>
          <w:p w14:paraId="7FD729C5">
            <w:pPr>
              <w:spacing w:line="300" w:lineRule="exact"/>
              <w:jc w:val="center"/>
              <w:rPr>
                <w:rFonts w:ascii="仿宋" w:hAnsi="仿宋" w:eastAsia="仿宋" w:cs="仿宋"/>
                <w:color w:val="auto"/>
                <w:spacing w:val="20"/>
                <w:sz w:val="24"/>
                <w:highlight w:val="none"/>
              </w:rPr>
            </w:pPr>
          </w:p>
        </w:tc>
      </w:tr>
      <w:tr w14:paraId="33D3CA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518" w:type="dxa"/>
            <w:tcBorders>
              <w:top w:val="single" w:color="auto" w:sz="2" w:space="0"/>
              <w:bottom w:val="single" w:color="auto" w:sz="2" w:space="0"/>
              <w:right w:val="single" w:color="auto" w:sz="2" w:space="0"/>
            </w:tcBorders>
            <w:noWrap/>
            <w:vAlign w:val="center"/>
          </w:tcPr>
          <w:p w14:paraId="37779682">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2069" w:type="dxa"/>
            <w:tcBorders>
              <w:top w:val="single" w:color="auto" w:sz="2" w:space="0"/>
              <w:left w:val="single" w:color="auto" w:sz="2" w:space="0"/>
              <w:bottom w:val="single" w:color="auto" w:sz="2" w:space="0"/>
              <w:right w:val="single" w:color="auto" w:sz="2" w:space="0"/>
            </w:tcBorders>
            <w:noWrap/>
            <w:vAlign w:val="center"/>
          </w:tcPr>
          <w:p w14:paraId="5022C14E">
            <w:pPr>
              <w:spacing w:line="300" w:lineRule="exact"/>
              <w:jc w:val="center"/>
              <w:rPr>
                <w:rFonts w:ascii="仿宋" w:hAnsi="仿宋" w:eastAsia="仿宋" w:cs="仿宋"/>
                <w:color w:val="auto"/>
                <w:sz w:val="24"/>
                <w:highlight w:val="none"/>
              </w:rPr>
            </w:pPr>
          </w:p>
        </w:tc>
        <w:tc>
          <w:tcPr>
            <w:tcW w:w="3138" w:type="dxa"/>
            <w:tcBorders>
              <w:top w:val="single" w:color="auto" w:sz="2" w:space="0"/>
              <w:left w:val="single" w:color="auto" w:sz="2" w:space="0"/>
              <w:bottom w:val="single" w:color="auto" w:sz="2" w:space="0"/>
              <w:right w:val="single" w:color="auto" w:sz="2" w:space="0"/>
            </w:tcBorders>
            <w:noWrap/>
            <w:vAlign w:val="center"/>
          </w:tcPr>
          <w:p w14:paraId="3FE60A65">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1739" w:type="dxa"/>
            <w:tcBorders>
              <w:top w:val="single" w:color="auto" w:sz="2" w:space="0"/>
              <w:left w:val="single" w:color="auto" w:sz="2" w:space="0"/>
              <w:bottom w:val="single" w:color="auto" w:sz="2" w:space="0"/>
            </w:tcBorders>
            <w:noWrap/>
            <w:vAlign w:val="center"/>
          </w:tcPr>
          <w:p w14:paraId="12D47CE8">
            <w:pPr>
              <w:spacing w:line="300" w:lineRule="exact"/>
              <w:jc w:val="center"/>
              <w:rPr>
                <w:rFonts w:ascii="仿宋" w:hAnsi="仿宋" w:eastAsia="仿宋" w:cs="仿宋"/>
                <w:color w:val="auto"/>
                <w:spacing w:val="20"/>
                <w:sz w:val="24"/>
                <w:highlight w:val="none"/>
              </w:rPr>
            </w:pPr>
          </w:p>
        </w:tc>
      </w:tr>
      <w:tr w14:paraId="2D0CA3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518" w:type="dxa"/>
            <w:tcBorders>
              <w:top w:val="single" w:color="auto" w:sz="2" w:space="0"/>
              <w:bottom w:val="single" w:color="auto" w:sz="2" w:space="0"/>
              <w:right w:val="single" w:color="auto" w:sz="2" w:space="0"/>
            </w:tcBorders>
            <w:noWrap/>
            <w:vAlign w:val="center"/>
          </w:tcPr>
          <w:p w14:paraId="1E4DFCDC">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2069" w:type="dxa"/>
            <w:tcBorders>
              <w:top w:val="single" w:color="auto" w:sz="2" w:space="0"/>
              <w:left w:val="single" w:color="auto" w:sz="2" w:space="0"/>
              <w:bottom w:val="single" w:color="auto" w:sz="2" w:space="0"/>
              <w:right w:val="single" w:color="auto" w:sz="2" w:space="0"/>
            </w:tcBorders>
            <w:noWrap/>
            <w:vAlign w:val="center"/>
          </w:tcPr>
          <w:p w14:paraId="5A9B959D">
            <w:pPr>
              <w:spacing w:line="300" w:lineRule="exact"/>
              <w:jc w:val="center"/>
              <w:rPr>
                <w:rFonts w:ascii="仿宋" w:hAnsi="仿宋" w:eastAsia="仿宋" w:cs="仿宋"/>
                <w:color w:val="auto"/>
                <w:sz w:val="24"/>
                <w:highlight w:val="none"/>
              </w:rPr>
            </w:pPr>
          </w:p>
        </w:tc>
        <w:tc>
          <w:tcPr>
            <w:tcW w:w="3138" w:type="dxa"/>
            <w:tcBorders>
              <w:top w:val="single" w:color="auto" w:sz="2" w:space="0"/>
              <w:left w:val="single" w:color="auto" w:sz="2" w:space="0"/>
              <w:bottom w:val="single" w:color="auto" w:sz="2" w:space="0"/>
              <w:right w:val="single" w:color="auto" w:sz="2" w:space="0"/>
            </w:tcBorders>
            <w:noWrap/>
            <w:vAlign w:val="center"/>
          </w:tcPr>
          <w:p w14:paraId="67B447B9">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1739" w:type="dxa"/>
            <w:tcBorders>
              <w:top w:val="single" w:color="auto" w:sz="2" w:space="0"/>
              <w:left w:val="single" w:color="auto" w:sz="2" w:space="0"/>
              <w:bottom w:val="single" w:color="auto" w:sz="2" w:space="0"/>
            </w:tcBorders>
            <w:noWrap/>
            <w:vAlign w:val="center"/>
          </w:tcPr>
          <w:p w14:paraId="68B37753">
            <w:pPr>
              <w:spacing w:line="300" w:lineRule="exact"/>
              <w:jc w:val="center"/>
              <w:rPr>
                <w:rFonts w:ascii="仿宋" w:hAnsi="仿宋" w:eastAsia="仿宋" w:cs="仿宋"/>
                <w:color w:val="auto"/>
                <w:spacing w:val="20"/>
                <w:sz w:val="24"/>
                <w:highlight w:val="none"/>
              </w:rPr>
            </w:pPr>
          </w:p>
        </w:tc>
      </w:tr>
      <w:tr w14:paraId="3524F0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518" w:type="dxa"/>
            <w:tcBorders>
              <w:top w:val="single" w:color="auto" w:sz="2" w:space="0"/>
              <w:bottom w:val="single" w:color="auto" w:sz="2" w:space="0"/>
              <w:right w:val="single" w:color="auto" w:sz="2" w:space="0"/>
            </w:tcBorders>
            <w:noWrap/>
            <w:vAlign w:val="center"/>
          </w:tcPr>
          <w:p w14:paraId="7C2E9A17">
            <w:pPr>
              <w:spacing w:line="300" w:lineRule="exact"/>
              <w:jc w:val="center"/>
              <w:rPr>
                <w:rFonts w:ascii="仿宋" w:hAnsi="仿宋" w:eastAsia="仿宋" w:cs="仿宋"/>
                <w:color w:val="auto"/>
                <w:sz w:val="24"/>
                <w:highlight w:val="none"/>
              </w:rPr>
            </w:pPr>
          </w:p>
        </w:tc>
        <w:tc>
          <w:tcPr>
            <w:tcW w:w="2069" w:type="dxa"/>
            <w:tcBorders>
              <w:top w:val="single" w:color="auto" w:sz="2" w:space="0"/>
              <w:left w:val="single" w:color="auto" w:sz="2" w:space="0"/>
              <w:bottom w:val="single" w:color="auto" w:sz="2" w:space="0"/>
              <w:right w:val="single" w:color="auto" w:sz="2" w:space="0"/>
            </w:tcBorders>
            <w:noWrap/>
            <w:vAlign w:val="center"/>
          </w:tcPr>
          <w:p w14:paraId="75743BBC">
            <w:pPr>
              <w:spacing w:line="300" w:lineRule="exact"/>
              <w:jc w:val="center"/>
              <w:rPr>
                <w:rFonts w:ascii="仿宋" w:hAnsi="仿宋" w:eastAsia="仿宋" w:cs="仿宋"/>
                <w:color w:val="auto"/>
                <w:sz w:val="24"/>
                <w:highlight w:val="none"/>
              </w:rPr>
            </w:pPr>
          </w:p>
        </w:tc>
        <w:tc>
          <w:tcPr>
            <w:tcW w:w="3138" w:type="dxa"/>
            <w:tcBorders>
              <w:top w:val="single" w:color="auto" w:sz="2" w:space="0"/>
              <w:left w:val="single" w:color="auto" w:sz="2" w:space="0"/>
              <w:bottom w:val="single" w:color="auto" w:sz="2" w:space="0"/>
              <w:right w:val="single" w:color="auto" w:sz="2" w:space="0"/>
            </w:tcBorders>
            <w:noWrap/>
            <w:vAlign w:val="center"/>
          </w:tcPr>
          <w:p w14:paraId="0CA1D0CC">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开户名称</w:t>
            </w:r>
          </w:p>
        </w:tc>
        <w:tc>
          <w:tcPr>
            <w:tcW w:w="1739" w:type="dxa"/>
            <w:tcBorders>
              <w:top w:val="single" w:color="auto" w:sz="2" w:space="0"/>
              <w:left w:val="single" w:color="auto" w:sz="2" w:space="0"/>
              <w:bottom w:val="single" w:color="auto" w:sz="2" w:space="0"/>
            </w:tcBorders>
            <w:noWrap/>
            <w:vAlign w:val="center"/>
          </w:tcPr>
          <w:p w14:paraId="14636F0B">
            <w:pPr>
              <w:spacing w:line="300" w:lineRule="exact"/>
              <w:jc w:val="center"/>
              <w:rPr>
                <w:rFonts w:ascii="仿宋" w:hAnsi="仿宋" w:eastAsia="仿宋" w:cs="仿宋"/>
                <w:color w:val="auto"/>
                <w:spacing w:val="20"/>
                <w:sz w:val="24"/>
                <w:highlight w:val="none"/>
              </w:rPr>
            </w:pPr>
          </w:p>
        </w:tc>
      </w:tr>
      <w:tr w14:paraId="37046E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518" w:type="dxa"/>
            <w:tcBorders>
              <w:top w:val="single" w:color="auto" w:sz="2" w:space="0"/>
              <w:bottom w:val="single" w:color="auto" w:sz="2" w:space="0"/>
              <w:right w:val="single" w:color="auto" w:sz="2" w:space="0"/>
            </w:tcBorders>
            <w:noWrap/>
            <w:vAlign w:val="center"/>
          </w:tcPr>
          <w:p w14:paraId="7C9CC317">
            <w:pPr>
              <w:spacing w:line="300" w:lineRule="exact"/>
              <w:jc w:val="center"/>
              <w:rPr>
                <w:rFonts w:ascii="仿宋" w:hAnsi="仿宋" w:eastAsia="仿宋" w:cs="仿宋"/>
                <w:color w:val="auto"/>
                <w:sz w:val="24"/>
                <w:highlight w:val="none"/>
              </w:rPr>
            </w:pPr>
          </w:p>
        </w:tc>
        <w:tc>
          <w:tcPr>
            <w:tcW w:w="2069" w:type="dxa"/>
            <w:tcBorders>
              <w:top w:val="single" w:color="auto" w:sz="2" w:space="0"/>
              <w:left w:val="single" w:color="auto" w:sz="2" w:space="0"/>
              <w:bottom w:val="single" w:color="auto" w:sz="2" w:space="0"/>
              <w:right w:val="single" w:color="auto" w:sz="2" w:space="0"/>
            </w:tcBorders>
            <w:noWrap/>
            <w:vAlign w:val="center"/>
          </w:tcPr>
          <w:p w14:paraId="1AAA77D7">
            <w:pPr>
              <w:spacing w:line="300" w:lineRule="exact"/>
              <w:jc w:val="center"/>
              <w:rPr>
                <w:rFonts w:ascii="仿宋" w:hAnsi="仿宋" w:eastAsia="仿宋" w:cs="仿宋"/>
                <w:color w:val="auto"/>
                <w:sz w:val="24"/>
                <w:highlight w:val="none"/>
              </w:rPr>
            </w:pPr>
          </w:p>
        </w:tc>
        <w:tc>
          <w:tcPr>
            <w:tcW w:w="3138" w:type="dxa"/>
            <w:tcBorders>
              <w:top w:val="single" w:color="auto" w:sz="2" w:space="0"/>
              <w:left w:val="single" w:color="auto" w:sz="2" w:space="0"/>
              <w:bottom w:val="single" w:color="auto" w:sz="2" w:space="0"/>
              <w:right w:val="single" w:color="auto" w:sz="2" w:space="0"/>
            </w:tcBorders>
            <w:noWrap/>
            <w:vAlign w:val="center"/>
          </w:tcPr>
          <w:p w14:paraId="7858DE05">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1739" w:type="dxa"/>
            <w:tcBorders>
              <w:top w:val="single" w:color="auto" w:sz="2" w:space="0"/>
              <w:left w:val="single" w:color="auto" w:sz="2" w:space="0"/>
              <w:bottom w:val="single" w:color="auto" w:sz="2" w:space="0"/>
            </w:tcBorders>
            <w:noWrap/>
            <w:vAlign w:val="center"/>
          </w:tcPr>
          <w:p w14:paraId="3094DD7F">
            <w:pPr>
              <w:spacing w:line="300" w:lineRule="exact"/>
              <w:jc w:val="center"/>
              <w:rPr>
                <w:rFonts w:ascii="仿宋" w:hAnsi="仿宋" w:eastAsia="仿宋" w:cs="仿宋"/>
                <w:color w:val="auto"/>
                <w:spacing w:val="20"/>
                <w:sz w:val="24"/>
                <w:highlight w:val="none"/>
              </w:rPr>
            </w:pPr>
          </w:p>
        </w:tc>
      </w:tr>
      <w:tr w14:paraId="11F8A3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518" w:type="dxa"/>
            <w:tcBorders>
              <w:top w:val="single" w:color="auto" w:sz="2" w:space="0"/>
              <w:bottom w:val="single" w:color="auto" w:sz="2" w:space="0"/>
              <w:right w:val="single" w:color="auto" w:sz="2" w:space="0"/>
            </w:tcBorders>
            <w:noWrap/>
            <w:vAlign w:val="center"/>
          </w:tcPr>
          <w:p w14:paraId="4B188517">
            <w:pPr>
              <w:spacing w:line="300" w:lineRule="exact"/>
              <w:jc w:val="center"/>
              <w:rPr>
                <w:rFonts w:ascii="仿宋" w:hAnsi="仿宋" w:eastAsia="仿宋" w:cs="仿宋"/>
                <w:color w:val="auto"/>
                <w:sz w:val="24"/>
                <w:highlight w:val="none"/>
              </w:rPr>
            </w:pPr>
          </w:p>
        </w:tc>
        <w:tc>
          <w:tcPr>
            <w:tcW w:w="2069" w:type="dxa"/>
            <w:tcBorders>
              <w:top w:val="single" w:color="auto" w:sz="2" w:space="0"/>
              <w:left w:val="single" w:color="auto" w:sz="2" w:space="0"/>
              <w:bottom w:val="single" w:color="auto" w:sz="2" w:space="0"/>
              <w:right w:val="single" w:color="auto" w:sz="2" w:space="0"/>
            </w:tcBorders>
            <w:noWrap/>
            <w:vAlign w:val="center"/>
          </w:tcPr>
          <w:p w14:paraId="142C5A71">
            <w:pPr>
              <w:spacing w:line="300" w:lineRule="exact"/>
              <w:jc w:val="center"/>
              <w:rPr>
                <w:rFonts w:ascii="仿宋" w:hAnsi="仿宋" w:eastAsia="仿宋" w:cs="仿宋"/>
                <w:color w:val="auto"/>
                <w:sz w:val="24"/>
                <w:highlight w:val="none"/>
              </w:rPr>
            </w:pPr>
          </w:p>
        </w:tc>
        <w:tc>
          <w:tcPr>
            <w:tcW w:w="3138" w:type="dxa"/>
            <w:tcBorders>
              <w:top w:val="single" w:color="auto" w:sz="2" w:space="0"/>
              <w:left w:val="single" w:color="auto" w:sz="2" w:space="0"/>
              <w:bottom w:val="single" w:color="auto" w:sz="2" w:space="0"/>
              <w:right w:val="single" w:color="auto" w:sz="2" w:space="0"/>
            </w:tcBorders>
            <w:noWrap/>
            <w:vAlign w:val="center"/>
          </w:tcPr>
          <w:p w14:paraId="026C3C22">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银行账号</w:t>
            </w:r>
          </w:p>
        </w:tc>
        <w:tc>
          <w:tcPr>
            <w:tcW w:w="1739" w:type="dxa"/>
            <w:tcBorders>
              <w:top w:val="single" w:color="auto" w:sz="2" w:space="0"/>
              <w:left w:val="single" w:color="auto" w:sz="2" w:space="0"/>
              <w:bottom w:val="single" w:color="auto" w:sz="2" w:space="0"/>
            </w:tcBorders>
            <w:noWrap/>
            <w:vAlign w:val="center"/>
          </w:tcPr>
          <w:p w14:paraId="6DF8C569">
            <w:pPr>
              <w:spacing w:line="300" w:lineRule="exact"/>
              <w:jc w:val="center"/>
              <w:rPr>
                <w:rFonts w:ascii="仿宋" w:hAnsi="仿宋" w:eastAsia="仿宋" w:cs="仿宋"/>
                <w:color w:val="auto"/>
                <w:spacing w:val="20"/>
                <w:sz w:val="24"/>
                <w:highlight w:val="none"/>
              </w:rPr>
            </w:pPr>
          </w:p>
        </w:tc>
      </w:tr>
      <w:tr w14:paraId="508000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464" w:type="dxa"/>
            <w:gridSpan w:val="4"/>
            <w:tcBorders>
              <w:top w:val="single" w:color="auto" w:sz="2" w:space="0"/>
            </w:tcBorders>
            <w:noWrap/>
            <w:vAlign w:val="center"/>
          </w:tcPr>
          <w:p w14:paraId="00E14207">
            <w:pPr>
              <w:pStyle w:val="10"/>
              <w:spacing w:beforeLines="50"/>
              <w:rPr>
                <w:rFonts w:ascii="仿宋" w:hAnsi="仿宋" w:eastAsia="仿宋" w:cs="仿宋"/>
                <w:color w:val="auto"/>
                <w:spacing w:val="20"/>
                <w:highlight w:val="none"/>
                <w:lang w:eastAsia="zh-CN"/>
              </w:rPr>
            </w:pPr>
            <w:r>
              <w:rPr>
                <w:rFonts w:hint="eastAsia" w:ascii="仿宋" w:hAnsi="仿宋" w:eastAsia="仿宋" w:cs="仿宋"/>
                <w:color w:val="auto"/>
                <w:highlight w:val="none"/>
                <w:lang w:eastAsia="zh-CN"/>
              </w:rPr>
              <w:t>注：涉及联合体或其他合同主体的信息应按上表格式加列。</w:t>
            </w:r>
          </w:p>
        </w:tc>
      </w:tr>
    </w:tbl>
    <w:p w14:paraId="214DDF91">
      <w:pPr>
        <w:pStyle w:val="4"/>
        <w:spacing w:beforeLines="50"/>
        <w:rPr>
          <w:rFonts w:ascii="仿宋" w:hAnsi="仿宋" w:eastAsia="仿宋" w:cs="仿宋"/>
          <w:color w:val="auto"/>
          <w:sz w:val="28"/>
          <w:szCs w:val="28"/>
          <w:highlight w:val="none"/>
          <w:lang w:eastAsia="zh-CN"/>
        </w:rPr>
      </w:pPr>
      <w:r>
        <w:rPr>
          <w:rFonts w:hint="eastAsia" w:ascii="仿宋" w:hAnsi="仿宋" w:eastAsia="仿宋" w:cs="仿宋"/>
          <w:color w:val="auto"/>
          <w:sz w:val="21"/>
          <w:szCs w:val="21"/>
          <w:highlight w:val="none"/>
          <w:u w:val="single"/>
          <w:lang w:eastAsia="zh-CN"/>
        </w:rPr>
        <w:br w:type="page"/>
      </w:r>
      <w:bookmarkStart w:id="396" w:name="_Toc10065"/>
      <w:bookmarkStart w:id="397" w:name="_Toc27624"/>
      <w:r>
        <w:rPr>
          <w:rFonts w:hint="eastAsia" w:ascii="仿宋" w:hAnsi="仿宋" w:eastAsia="仿宋" w:cs="仿宋"/>
          <w:b w:val="0"/>
          <w:color w:val="auto"/>
          <w:sz w:val="28"/>
          <w:szCs w:val="28"/>
          <w:highlight w:val="none"/>
          <w:lang w:eastAsia="zh-CN"/>
        </w:rPr>
        <w:t>第二节 政府采购合同通用条款</w:t>
      </w:r>
      <w:bookmarkEnd w:id="396"/>
      <w:bookmarkEnd w:id="397"/>
    </w:p>
    <w:p w14:paraId="797B178C">
      <w:pPr>
        <w:tabs>
          <w:tab w:val="left" w:pos="8820"/>
          <w:tab w:val="left" w:pos="9345"/>
          <w:tab w:val="left" w:pos="9765"/>
        </w:tabs>
        <w:spacing w:line="400" w:lineRule="exact"/>
        <w:rPr>
          <w:rFonts w:ascii="仿宋" w:hAnsi="仿宋" w:eastAsia="仿宋" w:cs="仿宋"/>
          <w:b/>
          <w:bCs/>
          <w:color w:val="auto"/>
          <w:sz w:val="24"/>
          <w:highlight w:val="none"/>
          <w:lang w:eastAsia="zh-CN"/>
        </w:rPr>
      </w:pPr>
      <w:r>
        <w:rPr>
          <w:rFonts w:hint="eastAsia" w:ascii="仿宋" w:hAnsi="仿宋" w:eastAsia="仿宋" w:cs="仿宋"/>
          <w:b/>
          <w:color w:val="auto"/>
          <w:sz w:val="24"/>
          <w:highlight w:val="none"/>
          <w:lang w:eastAsia="zh-CN"/>
        </w:rPr>
        <w:t xml:space="preserve">1. </w:t>
      </w:r>
      <w:r>
        <w:rPr>
          <w:rFonts w:hint="eastAsia" w:ascii="仿宋" w:hAnsi="仿宋" w:eastAsia="仿宋" w:cs="仿宋"/>
          <w:b/>
          <w:bCs/>
          <w:color w:val="auto"/>
          <w:sz w:val="24"/>
          <w:highlight w:val="none"/>
          <w:lang w:eastAsia="zh-CN"/>
        </w:rPr>
        <w:t>定义</w:t>
      </w:r>
    </w:p>
    <w:p w14:paraId="35FE7FE0">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1.1合同当事人</w:t>
      </w:r>
    </w:p>
    <w:p w14:paraId="5B12BC58">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（1）采购人（以下称甲方）是指使用财政性资金，通过政府采购方式向供应商购买货物及其相关服务的国家机关、事业单位、团体组织。</w:t>
      </w:r>
    </w:p>
    <w:p w14:paraId="03B4784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（2）供应商（以下称乙方）是指参加政府采购活动并且中标（成交），向采购人提供合同约定的货物及其相关服务的法人、非法人组织或者自然人。</w:t>
      </w:r>
    </w:p>
    <w:p w14:paraId="49831680">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（3）其他合同主体是指除采购人和供应商以外，</w:t>
      </w:r>
      <w:r>
        <w:rPr>
          <w:rFonts w:hint="eastAsia" w:ascii="仿宋" w:hAnsi="仿宋" w:eastAsia="仿宋" w:cs="仿宋"/>
          <w:bCs/>
          <w:color w:val="auto"/>
          <w:sz w:val="24"/>
          <w:highlight w:val="none"/>
          <w:lang w:eastAsia="zh-CN"/>
        </w:rPr>
        <w:t>依法参与合同缔结或履行，享有权利、承担义务的合同当事人</w:t>
      </w:r>
      <w:r>
        <w:rPr>
          <w:rFonts w:hint="eastAsia" w:ascii="仿宋" w:hAnsi="仿宋" w:eastAsia="仿宋" w:cs="仿宋"/>
          <w:color w:val="auto"/>
          <w:sz w:val="24"/>
          <w:highlight w:val="none"/>
          <w:lang w:eastAsia="zh-CN"/>
        </w:rPr>
        <w:t>。</w:t>
      </w:r>
    </w:p>
    <w:p w14:paraId="60034434">
      <w:pPr>
        <w:tabs>
          <w:tab w:val="left" w:pos="570"/>
          <w:tab w:val="left" w:pos="9240"/>
          <w:tab w:val="left" w:pos="9555"/>
        </w:tabs>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1.2本合同下列术语应解释为：</w:t>
      </w:r>
    </w:p>
    <w:p w14:paraId="0F1454E1">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（1）“合同”系指</w:t>
      </w:r>
      <w:r>
        <w:rPr>
          <w:rFonts w:hint="eastAsia" w:ascii="仿宋" w:hAnsi="仿宋" w:eastAsia="仿宋" w:cs="仿宋"/>
          <w:bCs/>
          <w:color w:val="auto"/>
          <w:sz w:val="24"/>
          <w:highlight w:val="none"/>
          <w:lang w:eastAsia="zh-CN"/>
        </w:rPr>
        <w:t>合同当事人意思表示达成一致的任何协议，包括签署的</w:t>
      </w:r>
      <w:r>
        <w:rPr>
          <w:rFonts w:hint="eastAsia" w:ascii="仿宋" w:hAnsi="仿宋" w:eastAsia="仿宋" w:cs="仿宋"/>
          <w:color w:val="auto"/>
          <w:sz w:val="24"/>
          <w:highlight w:val="none"/>
          <w:lang w:eastAsia="zh-CN"/>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2222EF5">
      <w:pPr>
        <w:tabs>
          <w:tab w:val="left" w:pos="570"/>
          <w:tab w:val="left" w:pos="9240"/>
          <w:tab w:val="left" w:pos="9555"/>
        </w:tabs>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（2）“合同价款”系指根据本合同规定乙方在全面履行合同义务后甲方应支付给乙方的价款。</w:t>
      </w:r>
    </w:p>
    <w:p w14:paraId="0F40E2C6">
      <w:pPr>
        <w:tabs>
          <w:tab w:val="left" w:pos="570"/>
          <w:tab w:val="left" w:pos="9240"/>
          <w:tab w:val="left" w:pos="9555"/>
        </w:tabs>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（3）“货物”系指乙方根据本合同规定须向甲方提供的各种形态和种类的物品，包括原材料、设备、产品（包括软件）及相关的其备品备件、工具、手册及其他技术资料和材料等。</w:t>
      </w:r>
    </w:p>
    <w:p w14:paraId="1DAEB3E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BCAAB4F">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（5）“分包”系指中标（成交）供应商按采购文件、投标（响应）文件的规定，根据分包意向协议，将中标（成交）项目中的部分履约内容，分给具有相应资质条件的供应商履行合同的行为。</w:t>
      </w:r>
    </w:p>
    <w:p w14:paraId="413D200C">
      <w:pPr>
        <w:tabs>
          <w:tab w:val="left" w:pos="570"/>
          <w:tab w:val="left" w:pos="9240"/>
          <w:tab w:val="left" w:pos="9555"/>
        </w:tabs>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w:t>
      </w:r>
    </w:p>
    <w:p w14:paraId="6BCCD449">
      <w:pPr>
        <w:tabs>
          <w:tab w:val="left" w:pos="570"/>
          <w:tab w:val="left" w:pos="9240"/>
          <w:tab w:val="left" w:pos="9555"/>
        </w:tabs>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（7）其他术语解释，见【</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w:t>
      </w:r>
    </w:p>
    <w:p w14:paraId="1941C79F">
      <w:pPr>
        <w:numPr>
          <w:ilvl w:val="0"/>
          <w:numId w:val="21"/>
        </w:numPr>
        <w:spacing w:line="400" w:lineRule="exact"/>
        <w:rPr>
          <w:rFonts w:ascii="仿宋" w:hAnsi="仿宋" w:eastAsia="仿宋" w:cs="仿宋"/>
          <w:b/>
          <w:bCs/>
          <w:color w:val="auto"/>
          <w:sz w:val="24"/>
          <w:highlight w:val="none"/>
        </w:rPr>
      </w:pPr>
      <w:r>
        <w:rPr>
          <w:rFonts w:hint="eastAsia" w:ascii="仿宋" w:hAnsi="仿宋" w:eastAsia="仿宋" w:cs="仿宋"/>
          <w:b/>
          <w:color w:val="auto"/>
          <w:sz w:val="24"/>
          <w:highlight w:val="none"/>
        </w:rPr>
        <w:t>合同标的及金额</w:t>
      </w:r>
    </w:p>
    <w:p w14:paraId="57961CC1">
      <w:pPr>
        <w:spacing w:line="400" w:lineRule="exact"/>
        <w:ind w:firstLine="480" w:firstLineChars="200"/>
        <w:rPr>
          <w:rFonts w:ascii="仿宋" w:hAnsi="仿宋" w:eastAsia="仿宋" w:cs="仿宋"/>
          <w:b/>
          <w:bCs/>
          <w:i/>
          <w:iCs/>
          <w:color w:val="auto"/>
          <w:sz w:val="24"/>
          <w:highlight w:val="none"/>
          <w:lang w:eastAsia="zh-CN"/>
        </w:rPr>
      </w:pPr>
      <w:r>
        <w:rPr>
          <w:rFonts w:hint="eastAsia" w:ascii="仿宋" w:hAnsi="仿宋" w:eastAsia="仿宋" w:cs="仿宋"/>
          <w:color w:val="auto"/>
          <w:sz w:val="24"/>
          <w:highlight w:val="none"/>
          <w:lang w:eastAsia="zh-CN"/>
        </w:rPr>
        <w:t>2.1 合同标的及金额应与中标（成交）结果一致。乙方为履行本合同而发生的所有费用均应包含在合同价款中，甲方不再另行支付其他任何费用。</w:t>
      </w:r>
    </w:p>
    <w:p w14:paraId="4DC043FF">
      <w:pPr>
        <w:spacing w:line="400" w:lineRule="exact"/>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3. 履行合同的时间、地点和方式</w:t>
      </w:r>
    </w:p>
    <w:p w14:paraId="42998BE0">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3.1 乙方应当在约定的时间、地点，按照约定方式履行合同。</w:t>
      </w:r>
    </w:p>
    <w:p w14:paraId="266C4381">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4. 甲方的权利和义务</w:t>
      </w:r>
    </w:p>
    <w:p w14:paraId="1815CBA1">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4.1 签署合同后，甲方应确定项目负责人（或项目联系人），负责与本合同有关的事务。甲方有权对乙方的履约行为进行检查，并及时确认乙方提交的事项。甲方应当配合乙方完成相关项目实施工作。</w:t>
      </w:r>
    </w:p>
    <w:p w14:paraId="172218F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4.2 甲方有权要求乙方按时提交各阶段有关安排计划，并有权定期核对乙方提供货物数量、规格、质量等内容。甲方有权督促乙方工作并要求乙方更换不符合要求的货物。</w:t>
      </w:r>
    </w:p>
    <w:p w14:paraId="597373EC">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4.3 甲方有权要求乙方对缺陷部分予以修复，并按合同约定享有货物保修及其他合同约定的权利。</w:t>
      </w:r>
    </w:p>
    <w:p w14:paraId="2F1E350D">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4.4 甲方应当按照合同约定及时对交付的货物进行验收，未在</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约定的期限内对乙方履约提出任何异议或者向乙方作出任何说明的，视为验收通过。</w:t>
      </w:r>
    </w:p>
    <w:p w14:paraId="662BD126">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4.5 甲方应当根据合同约定及时向乙方支付合同价款，不得以内部人员变更、履行内部付款流程等为由，拒绝或迟延支付。</w:t>
      </w:r>
    </w:p>
    <w:p w14:paraId="4E4C4E9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4.6 国家法律法规规定及</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约定应由甲方承担的其他义务和责任。</w:t>
      </w:r>
    </w:p>
    <w:p w14:paraId="296EA4DF">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5. 乙方的权利和义务</w:t>
      </w:r>
    </w:p>
    <w:p w14:paraId="103FE224">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5.1 签署合同后，乙方应确定项目负责人（或项目联系人），负责与本合同有关的事务。</w:t>
      </w:r>
    </w:p>
    <w:p w14:paraId="2DE0385A">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EDC7B7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5.3乙方有权根据合同约定向甲方收取合同价款。</w:t>
      </w:r>
    </w:p>
    <w:p w14:paraId="06BC245D">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5.4国家法律法规规定及【政府采购合同专用条款】约定应由乙方承担的其他义务和责任。</w:t>
      </w:r>
    </w:p>
    <w:p w14:paraId="39AB0935">
      <w:pPr>
        <w:numPr>
          <w:ilvl w:val="0"/>
          <w:numId w:val="22"/>
        </w:num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合同履行</w:t>
      </w:r>
    </w:p>
    <w:p w14:paraId="68806DA9">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6.1 甲乙双方应当按照</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约定顺序履行合同义务；如果没有先后顺序的，应当同时履行。</w:t>
      </w:r>
    </w:p>
    <w:p w14:paraId="6C709C36">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6.2 甲乙双方按照合同约定顺序履行合同义务时，应当先履行一方未履行的，后履行一方有权拒绝其履行请求。先履行一方履行不符合约定的，后履行一方有权拒绝其相应的履行请求。</w:t>
      </w:r>
    </w:p>
    <w:p w14:paraId="75749CA5">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7. 货物包装、运输、保险和交付要求</w:t>
      </w:r>
    </w:p>
    <w:p w14:paraId="2CF0A446">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7.1 本合同</w:t>
      </w:r>
      <w:r>
        <w:rPr>
          <w:rFonts w:hint="eastAsia" w:ascii="仿宋" w:hAnsi="仿宋" w:eastAsia="仿宋" w:cs="仿宋"/>
          <w:bCs/>
          <w:color w:val="auto"/>
          <w:sz w:val="24"/>
          <w:highlight w:val="none"/>
          <w:lang w:eastAsia="zh-CN"/>
        </w:rPr>
        <w:t>涉及商品包装、快递包装的，</w:t>
      </w:r>
      <w:r>
        <w:rPr>
          <w:rFonts w:hint="eastAsia" w:ascii="仿宋" w:hAnsi="仿宋" w:eastAsia="仿宋" w:cs="仿宋"/>
          <w:color w:val="auto"/>
          <w:sz w:val="24"/>
          <w:highlight w:val="none"/>
          <w:lang w:eastAsia="zh-CN"/>
        </w:rPr>
        <w:t>除</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另有约定外，</w:t>
      </w:r>
      <w:r>
        <w:rPr>
          <w:rFonts w:hint="eastAsia" w:ascii="仿宋" w:hAnsi="仿宋" w:eastAsia="仿宋" w:cs="仿宋"/>
          <w:color w:val="auto"/>
          <w:sz w:val="24"/>
          <w:highlight w:val="none"/>
          <w:lang w:eastAsia="zh-CN"/>
        </w:rPr>
        <w:t>包装应适应远距离运输、防潮、防震、防锈和防野蛮装卸等要求，确保货物安全无损地运抵</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约定的</w:t>
      </w:r>
      <w:r>
        <w:rPr>
          <w:rFonts w:hint="eastAsia" w:ascii="仿宋" w:hAnsi="仿宋" w:eastAsia="仿宋" w:cs="仿宋"/>
          <w:color w:val="auto"/>
          <w:sz w:val="24"/>
          <w:highlight w:val="none"/>
          <w:lang w:eastAsia="zh-CN"/>
        </w:rPr>
        <w:t>指定现场。</w:t>
      </w:r>
    </w:p>
    <w:p w14:paraId="6067CA8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7.2 除</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另有约定外，</w:t>
      </w:r>
      <w:r>
        <w:rPr>
          <w:rFonts w:hint="eastAsia" w:ascii="仿宋" w:hAnsi="仿宋" w:eastAsia="仿宋" w:cs="仿宋"/>
          <w:color w:val="auto"/>
          <w:sz w:val="24"/>
          <w:highlight w:val="none"/>
          <w:lang w:eastAsia="zh-CN"/>
        </w:rPr>
        <w:t>乙方负责办理将货物运抵本合同规定的交货地点，并装卸、交付至甲方的一切运输事项，相关费用应包含在合同价款中。</w:t>
      </w:r>
    </w:p>
    <w:p w14:paraId="2E48271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7.3 货物保险要求按</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规定执行</w:t>
      </w:r>
      <w:r>
        <w:rPr>
          <w:rFonts w:hint="eastAsia" w:ascii="仿宋" w:hAnsi="仿宋" w:eastAsia="仿宋" w:cs="仿宋"/>
          <w:color w:val="auto"/>
          <w:sz w:val="24"/>
          <w:highlight w:val="none"/>
          <w:lang w:eastAsia="zh-CN"/>
        </w:rPr>
        <w:t>。</w:t>
      </w:r>
    </w:p>
    <w:p w14:paraId="2FCFA181">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3B55933">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7.5 乙方在运输到达之前应提前通知甲方，并提示货物运输装卸的注意事项，甲方配合乙方做好货物的接收工作。</w:t>
      </w:r>
    </w:p>
    <w:p w14:paraId="6194F9AD">
      <w:pPr>
        <w:pStyle w:val="35"/>
        <w:ind w:firstLine="480"/>
        <w:rPr>
          <w:rFonts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7.6 如因包装、运输问题导致货物损毁、丢失或者品质下降，甲方有权要求降价、换货、拒收部分或整批货物，由此产生的费用和损失，均由乙方承担。</w:t>
      </w:r>
    </w:p>
    <w:p w14:paraId="53F7EDC2">
      <w:pPr>
        <w:spacing w:line="400" w:lineRule="exact"/>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8. 质量标准和保证</w:t>
      </w:r>
    </w:p>
    <w:p w14:paraId="6DB4A51B">
      <w:pPr>
        <w:pStyle w:val="12"/>
        <w:spacing w:line="400" w:lineRule="exact"/>
        <w:ind w:firstLine="480" w:firstLineChars="200"/>
        <w:rPr>
          <w:rFonts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eastAsia="zh-CN"/>
        </w:rPr>
        <w:t>8.1 质量标准</w:t>
      </w:r>
    </w:p>
    <w:p w14:paraId="53556828">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237D7D4">
      <w:pPr>
        <w:pStyle w:val="12"/>
        <w:spacing w:line="4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（2）采用中华人民共和国法定计量单位。</w:t>
      </w:r>
    </w:p>
    <w:p w14:paraId="39BA5BF8">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（3）乙方所提供的货物应符合国家有关安全、环保、卫生的规定。</w:t>
      </w:r>
    </w:p>
    <w:p w14:paraId="1844177D">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（4）乙方应向甲方提交所提供货物的技术文件，包括相应的中文技术文件，如：产品目录、图纸、操作手册、使用说明、维护手册或服务指南等。上述文件应包装好随货物一同发运。</w:t>
      </w:r>
    </w:p>
    <w:p w14:paraId="0F965EB4">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8.2 保证</w:t>
      </w:r>
    </w:p>
    <w:p w14:paraId="7CC90DC0">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规定或乙方书面承诺（两者以较长的为准）的质量保证期内，本保证保持有效。</w:t>
      </w:r>
    </w:p>
    <w:p w14:paraId="3EA26711">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（2）在质量保证期内所发现的缺陷，甲方应尽快以书面形式通知乙方。</w:t>
      </w:r>
    </w:p>
    <w:p w14:paraId="7980783D">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（3）乙方收到通知后，应在</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规定的响应时间内以合理的速度免费维修或更换有缺陷的货物或部件。</w:t>
      </w:r>
    </w:p>
    <w:p w14:paraId="20B2DC09">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7D1B856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（5）乙方在约定的时间内未能弥补缺陷，甲方可采取必要的补救措施，但其风险和费用将由乙方承担，甲方根据合同约定对乙方行使的其他权利不受影响。</w:t>
      </w:r>
    </w:p>
    <w:p w14:paraId="0B401498">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9. 权利瑕疵担保</w:t>
      </w:r>
    </w:p>
    <w:p w14:paraId="4EF82014">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9.1 乙方保证对其出售的货物享有合法的权利。</w:t>
      </w:r>
    </w:p>
    <w:p w14:paraId="6FE367B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9.2 乙方保证在交付的货物上不存在抵押权等担保物权。</w:t>
      </w:r>
    </w:p>
    <w:p w14:paraId="19F55520">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9.3 如甲方使用上述货物构成对第三人侵权的，则由乙方承担全部责任。</w:t>
      </w:r>
    </w:p>
    <w:p w14:paraId="0A3C8F73">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10. 知识产权保护</w:t>
      </w:r>
    </w:p>
    <w:p w14:paraId="486472BD">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10.1 乙方对其所销售的货物应当享有知识产权或经权利人合法授权，保证没有侵犯任何第三人的知识产权等权利。</w:t>
      </w:r>
      <w:bookmarkStart w:id="398" w:name="_Hlk163047038"/>
      <w:r>
        <w:rPr>
          <w:rFonts w:hint="eastAsia" w:ascii="仿宋" w:hAnsi="仿宋" w:eastAsia="仿宋" w:cs="仿宋"/>
          <w:color w:val="auto"/>
          <w:sz w:val="24"/>
          <w:highlight w:val="none"/>
          <w:lang w:eastAsia="zh-CN"/>
        </w:rPr>
        <w:t>因违反前述约定对第三人构成侵权的，应当由乙方向第三人承担法律责任；甲方依法向第三人赔偿后，有权向乙方追偿。甲方有其他损失的，乙方应当赔偿</w:t>
      </w:r>
      <w:bookmarkEnd w:id="398"/>
      <w:r>
        <w:rPr>
          <w:rFonts w:hint="eastAsia" w:ascii="仿宋" w:hAnsi="仿宋" w:eastAsia="仿宋" w:cs="仿宋"/>
          <w:color w:val="auto"/>
          <w:sz w:val="24"/>
          <w:highlight w:val="none"/>
          <w:lang w:eastAsia="zh-CN"/>
        </w:rPr>
        <w:t>。</w:t>
      </w:r>
    </w:p>
    <w:p w14:paraId="57008B83">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11. 保密义务</w:t>
      </w:r>
    </w:p>
    <w:p w14:paraId="06371F28">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中约定。</w:t>
      </w:r>
    </w:p>
    <w:p w14:paraId="7E24D80A">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12. 合同价款支付</w:t>
      </w:r>
    </w:p>
    <w:p w14:paraId="09053F5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12.1 合同价款支付按照国库集中支付制度及财政管理相关规定执行。</w:t>
      </w:r>
    </w:p>
    <w:p w14:paraId="2BD9756B">
      <w:pPr>
        <w:pStyle w:val="4"/>
        <w:spacing w:line="400" w:lineRule="exact"/>
        <w:ind w:firstLine="480" w:firstLineChars="200"/>
        <w:rPr>
          <w:rFonts w:ascii="仿宋" w:hAnsi="仿宋" w:eastAsia="仿宋" w:cs="仿宋"/>
          <w:color w:val="auto"/>
          <w:sz w:val="24"/>
          <w:szCs w:val="24"/>
          <w:highlight w:val="none"/>
          <w:lang w:eastAsia="zh-CN"/>
        </w:rPr>
      </w:pPr>
      <w:bookmarkStart w:id="399" w:name="_Toc32208"/>
      <w:r>
        <w:rPr>
          <w:rFonts w:hint="eastAsia" w:ascii="仿宋" w:hAnsi="仿宋" w:eastAsia="仿宋" w:cs="仿宋"/>
          <w:b w:val="0"/>
          <w:color w:val="auto"/>
          <w:sz w:val="24"/>
          <w:szCs w:val="24"/>
          <w:highlight w:val="none"/>
          <w:lang w:eastAsia="zh-CN"/>
        </w:rPr>
        <w:t xml:space="preserve">12.2 </w:t>
      </w:r>
      <w:r>
        <w:rPr>
          <w:rFonts w:hint="eastAsia" w:ascii="仿宋" w:hAnsi="仿宋" w:eastAsia="仿宋" w:cs="仿宋"/>
          <w:b w:val="0"/>
          <w:color w:val="auto"/>
          <w:kern w:val="2"/>
          <w:sz w:val="24"/>
          <w:szCs w:val="24"/>
          <w:highlight w:val="none"/>
          <w:lang w:eastAsia="zh-CN"/>
        </w:rPr>
        <w:t>对于满足合同约定支付条件的，甲方</w:t>
      </w:r>
      <w:r>
        <w:rPr>
          <w:rFonts w:hint="eastAsia" w:ascii="仿宋" w:hAnsi="仿宋" w:eastAsia="仿宋" w:cs="仿宋"/>
          <w:b w:val="0"/>
          <w:color w:val="auto"/>
          <w:sz w:val="24"/>
          <w:szCs w:val="24"/>
          <w:highlight w:val="none"/>
          <w:lang w:eastAsia="zh-CN"/>
        </w:rPr>
        <w:t>原则上应当自收到发票后10个工作日内</w:t>
      </w:r>
      <w:r>
        <w:rPr>
          <w:rFonts w:hint="eastAsia" w:ascii="仿宋" w:hAnsi="仿宋" w:eastAsia="仿宋" w:cs="仿宋"/>
          <w:b w:val="0"/>
          <w:color w:val="auto"/>
          <w:kern w:val="2"/>
          <w:sz w:val="24"/>
          <w:szCs w:val="24"/>
          <w:highlight w:val="none"/>
          <w:lang w:eastAsia="zh-CN"/>
        </w:rPr>
        <w:t>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Cs/>
          <w:color w:val="auto"/>
          <w:kern w:val="2"/>
          <w:sz w:val="24"/>
          <w:szCs w:val="24"/>
          <w:highlight w:val="none"/>
          <w:lang w:eastAsia="zh-CN"/>
        </w:rPr>
        <w:t>政府采购合同专用条款</w:t>
      </w:r>
      <w:r>
        <w:rPr>
          <w:rFonts w:hint="eastAsia" w:ascii="仿宋" w:hAnsi="仿宋" w:eastAsia="仿宋" w:cs="仿宋"/>
          <w:b w:val="0"/>
          <w:color w:val="auto"/>
          <w:kern w:val="2"/>
          <w:sz w:val="24"/>
          <w:szCs w:val="24"/>
          <w:highlight w:val="none"/>
          <w:lang w:eastAsia="zh-CN"/>
        </w:rPr>
        <w:t>】中约定。</w:t>
      </w:r>
      <w:bookmarkEnd w:id="399"/>
    </w:p>
    <w:p w14:paraId="51B9F7F3">
      <w:pPr>
        <w:pStyle w:val="9"/>
        <w:tabs>
          <w:tab w:val="left" w:pos="567"/>
        </w:tabs>
        <w:spacing w:line="400" w:lineRule="exact"/>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13. 履约保证金</w:t>
      </w:r>
    </w:p>
    <w:p w14:paraId="46F03CAC">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13.1 乙方应当以支票、汇票、本票或者金融机构、担保机构出具的保函等非现金形式提交。</w:t>
      </w:r>
    </w:p>
    <w:p w14:paraId="33830F8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13.2 如果乙方出现</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14:paraId="3EE0B470">
      <w:pPr>
        <w:widowControl w:val="0"/>
        <w:spacing w:line="400" w:lineRule="exact"/>
        <w:ind w:firstLine="42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13.3 甲方在项目通过验收后按照</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规定的时间内将履约保证金退还乙方；逾期退还的，乙方可要求甲方支付违约金，违约金按照</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规定支付。</w:t>
      </w:r>
    </w:p>
    <w:p w14:paraId="26F3E161">
      <w:pPr>
        <w:spacing w:line="400" w:lineRule="exact"/>
        <w:rPr>
          <w:rFonts w:ascii="仿宋" w:hAnsi="仿宋" w:eastAsia="仿宋" w:cs="仿宋"/>
          <w:b/>
          <w:color w:val="auto"/>
          <w:sz w:val="24"/>
          <w:highlight w:val="none"/>
          <w:lang w:eastAsia="zh-CN"/>
        </w:rPr>
      </w:pPr>
      <w:r>
        <w:rPr>
          <w:rFonts w:hint="eastAsia" w:ascii="仿宋" w:hAnsi="仿宋" w:eastAsia="仿宋" w:cs="仿宋"/>
          <w:b/>
          <w:bCs/>
          <w:color w:val="auto"/>
          <w:sz w:val="24"/>
          <w:highlight w:val="none"/>
          <w:lang w:eastAsia="zh-CN"/>
        </w:rPr>
        <w:t xml:space="preserve">14. </w:t>
      </w:r>
      <w:r>
        <w:rPr>
          <w:rFonts w:hint="eastAsia" w:ascii="仿宋" w:hAnsi="仿宋" w:eastAsia="仿宋" w:cs="仿宋"/>
          <w:b/>
          <w:color w:val="auto"/>
          <w:sz w:val="24"/>
          <w:highlight w:val="none"/>
          <w:lang w:eastAsia="zh-CN"/>
        </w:rPr>
        <w:t>售后服务</w:t>
      </w:r>
    </w:p>
    <w:p w14:paraId="3F54F2EF">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14.1 除项目不涉及或采购活动中明确约定无须承担外，乙方还应提供下列服务：</w:t>
      </w:r>
    </w:p>
    <w:p w14:paraId="02E342E0">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（1）货物的现场移动、安装、调试、启动监督及技术支持；</w:t>
      </w:r>
    </w:p>
    <w:p w14:paraId="73B1B79F">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（2）提供货物组装和维修所需的专用工具和辅助材料；</w:t>
      </w:r>
    </w:p>
    <w:p w14:paraId="3A74447C">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（3）在</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约定的期限内对所有的货物实施运行监督、维修，但前提条件是该服务并不能免除乙方在质量保证期内所承担的义务；</w:t>
      </w:r>
    </w:p>
    <w:p w14:paraId="36BFD46D">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（4）在制造商所在地或指定现场就货物的安装、启动、运营、维护、废弃处置等对甲方操作人员进行培训；</w:t>
      </w:r>
    </w:p>
    <w:p w14:paraId="08C6AEB5">
      <w:pPr>
        <w:pStyle w:val="35"/>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0AD90BAA">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规定由乙方提供的其他服务。</w:t>
      </w:r>
    </w:p>
    <w:p w14:paraId="3364C80D">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14.2 乙方提供的售后服务的费用已包含在合同价款中，甲方不再另行支付。</w:t>
      </w:r>
    </w:p>
    <w:p w14:paraId="608B6BDA">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15. 违约责任</w:t>
      </w:r>
    </w:p>
    <w:p w14:paraId="0F5831A6">
      <w:pPr>
        <w:spacing w:line="40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15.1质量瑕疵的违约责任</w:t>
      </w:r>
    </w:p>
    <w:p w14:paraId="78D9008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乙方提供的产品不符合合同约定的质量标准或存在产品质量缺陷，甲方有权要求乙方根据</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要求</w:t>
      </w:r>
      <w:r>
        <w:rPr>
          <w:rFonts w:hint="eastAsia" w:ascii="仿宋" w:hAnsi="仿宋" w:eastAsia="仿宋" w:cs="仿宋"/>
          <w:color w:val="auto"/>
          <w:sz w:val="24"/>
          <w:highlight w:val="none"/>
          <w:lang w:eastAsia="zh-CN"/>
        </w:rPr>
        <w:t>及时修理、重作、更换，并承担由此给甲方造成的损失。</w:t>
      </w:r>
    </w:p>
    <w:p w14:paraId="5F02A690">
      <w:pPr>
        <w:spacing w:line="40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15.2 迟延交货的违约责任</w:t>
      </w:r>
    </w:p>
    <w:p w14:paraId="5C738A2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CA425D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规定执行。如果涉及公共利益，且赔偿金额无法弥补公共利益损失，甲方可要求继续履行或者采取其他补救措施。</w:t>
      </w:r>
    </w:p>
    <w:p w14:paraId="3D1A090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15.3 迟延支付的违约责任</w:t>
      </w:r>
    </w:p>
    <w:p w14:paraId="7D871CEE">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甲方存在迟延支付乙方合同款项的，应当承担</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规定的逾期付款利息。</w:t>
      </w:r>
    </w:p>
    <w:p w14:paraId="5BBC4CEE">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15.4其他违约责任根据项目实际需要按</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规定执行。</w:t>
      </w:r>
    </w:p>
    <w:p w14:paraId="3C1E16FF">
      <w:pPr>
        <w:numPr>
          <w:ilvl w:val="0"/>
          <w:numId w:val="23"/>
        </w:numPr>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合同变更、中止与终止</w:t>
      </w:r>
    </w:p>
    <w:p w14:paraId="4FE69AE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16.1合同的变更</w:t>
      </w:r>
    </w:p>
    <w:p w14:paraId="194F5767">
      <w:pPr>
        <w:widowControl w:val="0"/>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政府采购合同履行中，在不改变合同其他条款的前提下，甲方可以在合同价款10%的范围内追加与合同标的相同的货物，并就此与乙方协商一致后签订补充协议。</w:t>
      </w:r>
    </w:p>
    <w:p w14:paraId="406AD6DA">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16.2合同的中止</w:t>
      </w:r>
    </w:p>
    <w:p w14:paraId="25F597A9">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（1）合同履行过程中因供应商就采购文件、采购过程或结果提起投诉的，甲方认为有必要的，可以中止合同的履行。</w:t>
      </w:r>
    </w:p>
    <w:p w14:paraId="6D24B818">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2077448">
      <w:pPr>
        <w:pStyle w:val="35"/>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1E7F4429">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（4）甲方不得以行政区划调整、政府换届、机构或者职能调整以及相关责任人更替为由中止合同。</w:t>
      </w:r>
    </w:p>
    <w:p w14:paraId="5811790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16.3合同的终止</w:t>
      </w:r>
    </w:p>
    <w:p w14:paraId="56B4F4CE">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（1）合同因有效期限届满而终止；</w:t>
      </w:r>
    </w:p>
    <w:p w14:paraId="7DDCBC2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（2）乙方未按合同约定履行，构成根本性违约的，甲方有权终止合同，并追究乙方的违约责任。</w:t>
      </w:r>
    </w:p>
    <w:p w14:paraId="2FE5AA91">
      <w:pPr>
        <w:pStyle w:val="35"/>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16.4 </w:t>
      </w:r>
      <w:r>
        <w:rPr>
          <w:rFonts w:hint="eastAsia" w:ascii="仿宋" w:hAnsi="仿宋" w:eastAsia="仿宋" w:cs="仿宋"/>
          <w:color w:val="auto"/>
          <w:kern w:val="2"/>
          <w:sz w:val="24"/>
          <w:szCs w:val="24"/>
          <w:highlight w:val="none"/>
        </w:rPr>
        <w:t>涉及国家利益、社会公共利益的情形</w:t>
      </w:r>
    </w:p>
    <w:p w14:paraId="214A8C79">
      <w:pPr>
        <w:pStyle w:val="35"/>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1B0DFE88">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17. 合同分包</w:t>
      </w:r>
    </w:p>
    <w:p w14:paraId="44605DC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17.1 乙方不得将合同转包给其他供应商。涉及合同分包的，乙方应根据采购文件和投标（响应）文件规定进行合同分包。</w:t>
      </w:r>
    </w:p>
    <w:p w14:paraId="0A1E9C8A">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17.2 乙方执行政府采购政策向中小企业依法分包的，乙方应当按采购文件和投标（响应）文件签订分包意向协议，分包意向协议属于本合同组成部分。</w:t>
      </w:r>
    </w:p>
    <w:p w14:paraId="3A1D1955">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18. 不可抗力</w:t>
      </w:r>
    </w:p>
    <w:p w14:paraId="4084F08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18.1 不可抗力是指合同双方不能预见、不能避免且不能克服的客观情况。</w:t>
      </w:r>
    </w:p>
    <w:p w14:paraId="1E48666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18.2 任何一方对由于不可抗力造成的部分或全部不能履行合同不承担违约责任。但迟延履行后发生不可抗力的，不能免除责任。</w:t>
      </w:r>
    </w:p>
    <w:p w14:paraId="07B8724E">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60A775E">
      <w:pPr>
        <w:spacing w:line="38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19. 解决争议的方法</w:t>
      </w:r>
    </w:p>
    <w:p w14:paraId="4ADD6F0E">
      <w:pPr>
        <w:pStyle w:val="35"/>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739F422">
      <w:pPr>
        <w:pStyle w:val="35"/>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32EE7E2F">
      <w:pPr>
        <w:pStyle w:val="35"/>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19.3 如甲乙双方有争议的事项不影响合同其他部分的履行，在争议解决期间，合同其他部分应当继续履行。</w:t>
      </w:r>
    </w:p>
    <w:p w14:paraId="231A013C">
      <w:pPr>
        <w:spacing w:line="380" w:lineRule="exact"/>
        <w:rPr>
          <w:rFonts w:ascii="仿宋" w:hAnsi="仿宋" w:eastAsia="仿宋" w:cs="仿宋"/>
          <w:color w:val="auto"/>
          <w:sz w:val="24"/>
          <w:highlight w:val="none"/>
          <w:lang w:eastAsia="zh-CN"/>
        </w:rPr>
      </w:pPr>
      <w:r>
        <w:rPr>
          <w:rFonts w:hint="eastAsia" w:ascii="仿宋" w:hAnsi="仿宋" w:eastAsia="仿宋" w:cs="仿宋"/>
          <w:b/>
          <w:color w:val="auto"/>
          <w:sz w:val="24"/>
          <w:highlight w:val="none"/>
          <w:lang w:eastAsia="zh-CN"/>
        </w:rPr>
        <w:t>20. 政府采购政策</w:t>
      </w:r>
    </w:p>
    <w:p w14:paraId="44D4BE4D">
      <w:pPr>
        <w:spacing w:line="38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20.1 </w:t>
      </w:r>
      <w:r>
        <w:rPr>
          <w:rFonts w:hint="eastAsia" w:ascii="仿宋" w:hAnsi="仿宋" w:eastAsia="仿宋" w:cs="仿宋"/>
          <w:color w:val="auto"/>
          <w:sz w:val="24"/>
          <w:highlight w:val="none"/>
          <w:lang w:val="en-GB" w:eastAsia="zh-CN"/>
        </w:rPr>
        <w:t>本合同应当按照规定执行政府采购政策。</w:t>
      </w:r>
    </w:p>
    <w:p w14:paraId="1B730CF4">
      <w:pPr>
        <w:spacing w:line="38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 本合同依法执行政府采购政策的方式和内容，属于合同履约验收的范围。甲乙双方</w:t>
      </w:r>
      <w:r>
        <w:rPr>
          <w:rFonts w:hint="eastAsia" w:ascii="仿宋" w:hAnsi="仿宋" w:eastAsia="仿宋" w:cs="仿宋"/>
          <w:color w:val="auto"/>
          <w:sz w:val="24"/>
          <w:highlight w:val="none"/>
          <w:lang w:val="en-GB" w:eastAsia="zh-CN"/>
        </w:rPr>
        <w:t>未按规定要求执行政府采购政策造成损失的</w:t>
      </w:r>
      <w:r>
        <w:rPr>
          <w:rFonts w:hint="eastAsia" w:ascii="仿宋" w:hAnsi="仿宋" w:eastAsia="仿宋" w:cs="仿宋"/>
          <w:color w:val="auto"/>
          <w:sz w:val="24"/>
          <w:highlight w:val="none"/>
          <w:lang w:eastAsia="zh-CN"/>
        </w:rPr>
        <w:t>，有过错的一方应当承担赔偿责任，双方都有过错的，各自承担相应的责任。</w:t>
      </w:r>
    </w:p>
    <w:p w14:paraId="5FFB2410">
      <w:pPr>
        <w:spacing w:line="38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DC2370B">
      <w:pPr>
        <w:spacing w:line="380" w:lineRule="exact"/>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21. 法律适用</w:t>
      </w:r>
    </w:p>
    <w:p w14:paraId="05B0CDEB">
      <w:pPr>
        <w:pStyle w:val="35"/>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21.1 本合同的订立、生效、解释、履行及与本合同有关的争议解决，均适用法律、行政法规。</w:t>
      </w:r>
    </w:p>
    <w:p w14:paraId="60EECDF7">
      <w:pPr>
        <w:pStyle w:val="35"/>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21.2 本合同条款与法律、行政法规的强制性规定不一致的，双方当事人应按照法律、行政法规的强制性规定修改本合同的相关条款。</w:t>
      </w:r>
    </w:p>
    <w:p w14:paraId="51B9DC06">
      <w:pPr>
        <w:spacing w:line="380" w:lineRule="exact"/>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22. 通知</w:t>
      </w:r>
    </w:p>
    <w:p w14:paraId="245063EA">
      <w:pPr>
        <w:pStyle w:val="35"/>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769F0B9A">
      <w:pPr>
        <w:pStyle w:val="35"/>
        <w:spacing w:line="380" w:lineRule="exact"/>
        <w:ind w:firstLine="0" w:firstLineChars="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4A3AB820">
      <w:pPr>
        <w:spacing w:line="38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22.3本合同一方给另一方的通知均应采用书面形式，传真或快递送到本合同中规定的对方的地址和办理签收手续。</w:t>
      </w:r>
    </w:p>
    <w:p w14:paraId="256049C5">
      <w:pPr>
        <w:spacing w:line="38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22.4通知以送达之日或通知书中规定的生效之日起生效，两者中以较迟之日为准。</w:t>
      </w:r>
    </w:p>
    <w:p w14:paraId="0D772EE9">
      <w:pPr>
        <w:numPr>
          <w:ilvl w:val="0"/>
          <w:numId w:val="24"/>
        </w:numPr>
        <w:spacing w:line="38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1D34A0E5">
      <w:pPr>
        <w:spacing w:line="38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23.1合同未尽事项见</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w:t>
      </w:r>
    </w:p>
    <w:p w14:paraId="7FE992E2">
      <w:pPr>
        <w:spacing w:line="380" w:lineRule="exact"/>
        <w:rPr>
          <w:rFonts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 xml:space="preserve">    23.2 合同附件与合同正文具有同等的法律效力。</w:t>
      </w:r>
      <w:bookmarkStart w:id="400" w:name="_Toc20313"/>
    </w:p>
    <w:p w14:paraId="3619FBBB">
      <w:pPr>
        <w:jc w:val="center"/>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br w:type="page"/>
      </w:r>
    </w:p>
    <w:p w14:paraId="6667766C">
      <w:pPr>
        <w:pStyle w:val="4"/>
        <w:rPr>
          <w:rFonts w:ascii="仿宋" w:hAnsi="仿宋" w:eastAsia="仿宋" w:cs="仿宋"/>
          <w:b w:val="0"/>
          <w:color w:val="auto"/>
          <w:sz w:val="28"/>
          <w:szCs w:val="28"/>
          <w:highlight w:val="none"/>
          <w:lang w:eastAsia="zh-CN"/>
        </w:rPr>
      </w:pPr>
      <w:bookmarkStart w:id="401" w:name="_Toc8274"/>
      <w:r>
        <w:rPr>
          <w:rFonts w:hint="eastAsia" w:ascii="仿宋" w:hAnsi="仿宋" w:eastAsia="仿宋" w:cs="仿宋"/>
          <w:b w:val="0"/>
          <w:color w:val="auto"/>
          <w:sz w:val="28"/>
          <w:szCs w:val="28"/>
          <w:highlight w:val="none"/>
          <w:lang w:eastAsia="zh-CN"/>
        </w:rPr>
        <w:t>第三节 政府采购合同专用条款</w:t>
      </w:r>
      <w:bookmarkEnd w:id="400"/>
      <w:bookmarkEnd w:id="401"/>
    </w:p>
    <w:tbl>
      <w:tblPr>
        <w:tblStyle w:val="2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6B5C9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229AEC0D">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2507C40D">
            <w:pPr>
              <w:jc w:val="center"/>
              <w:rPr>
                <w:rFonts w:ascii="仿宋" w:hAnsi="仿宋" w:eastAsia="仿宋" w:cs="仿宋"/>
                <w:color w:val="auto"/>
                <w:highlight w:val="none"/>
              </w:rPr>
            </w:pPr>
            <w:r>
              <w:rPr>
                <w:rFonts w:hint="eastAsia" w:ascii="仿宋" w:hAnsi="仿宋" w:eastAsia="仿宋" w:cs="仿宋"/>
                <w:color w:val="auto"/>
                <w:highlight w:val="none"/>
              </w:rPr>
              <w:t>第1.2（6）项</w:t>
            </w:r>
          </w:p>
        </w:tc>
        <w:tc>
          <w:tcPr>
            <w:tcW w:w="1742" w:type="dxa"/>
            <w:noWrap/>
            <w:vAlign w:val="center"/>
          </w:tcPr>
          <w:p w14:paraId="1D876EE9">
            <w:pPr>
              <w:rPr>
                <w:rFonts w:ascii="仿宋" w:hAnsi="仿宋" w:eastAsia="仿宋" w:cs="仿宋"/>
                <w:color w:val="auto"/>
                <w:highlight w:val="none"/>
              </w:rPr>
            </w:pPr>
            <w:r>
              <w:rPr>
                <w:rFonts w:hint="eastAsia" w:ascii="仿宋" w:hAnsi="仿宋" w:eastAsia="仿宋" w:cs="仿宋"/>
                <w:color w:val="auto"/>
                <w:highlight w:val="none"/>
              </w:rPr>
              <w:t>联合体具体要求</w:t>
            </w:r>
          </w:p>
        </w:tc>
        <w:tc>
          <w:tcPr>
            <w:tcW w:w="5170" w:type="dxa"/>
            <w:noWrap/>
            <w:vAlign w:val="center"/>
          </w:tcPr>
          <w:p w14:paraId="15B3944C">
            <w:pPr>
              <w:rPr>
                <w:rFonts w:ascii="仿宋" w:hAnsi="仿宋" w:eastAsia="仿宋" w:cs="仿宋"/>
                <w:color w:val="auto"/>
                <w:highlight w:val="none"/>
              </w:rPr>
            </w:pPr>
          </w:p>
        </w:tc>
      </w:tr>
      <w:tr w14:paraId="50D1D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ign w:val="center"/>
          </w:tcPr>
          <w:p w14:paraId="1D200377">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28CA3718">
            <w:pPr>
              <w:jc w:val="center"/>
              <w:rPr>
                <w:rFonts w:ascii="仿宋" w:hAnsi="仿宋" w:eastAsia="仿宋" w:cs="仿宋"/>
                <w:color w:val="auto"/>
                <w:highlight w:val="none"/>
              </w:rPr>
            </w:pPr>
            <w:r>
              <w:rPr>
                <w:rFonts w:hint="eastAsia" w:ascii="仿宋" w:hAnsi="仿宋" w:eastAsia="仿宋" w:cs="仿宋"/>
                <w:color w:val="auto"/>
                <w:highlight w:val="none"/>
              </w:rPr>
              <w:t>第1.2（7）项</w:t>
            </w:r>
          </w:p>
        </w:tc>
        <w:tc>
          <w:tcPr>
            <w:tcW w:w="1742" w:type="dxa"/>
            <w:noWrap/>
            <w:vAlign w:val="center"/>
          </w:tcPr>
          <w:p w14:paraId="7E7D2FAB">
            <w:pPr>
              <w:rPr>
                <w:rFonts w:ascii="仿宋" w:hAnsi="仿宋" w:eastAsia="仿宋" w:cs="仿宋"/>
                <w:color w:val="auto"/>
                <w:highlight w:val="none"/>
              </w:rPr>
            </w:pPr>
            <w:r>
              <w:rPr>
                <w:rFonts w:hint="eastAsia" w:ascii="仿宋" w:hAnsi="仿宋" w:eastAsia="仿宋" w:cs="仿宋"/>
                <w:color w:val="auto"/>
                <w:highlight w:val="none"/>
              </w:rPr>
              <w:t>其他术语解释</w:t>
            </w:r>
          </w:p>
        </w:tc>
        <w:tc>
          <w:tcPr>
            <w:tcW w:w="5170" w:type="dxa"/>
            <w:noWrap/>
            <w:vAlign w:val="center"/>
          </w:tcPr>
          <w:p w14:paraId="200D2EE9">
            <w:pPr>
              <w:rPr>
                <w:rFonts w:ascii="仿宋" w:hAnsi="仿宋" w:eastAsia="仿宋" w:cs="仿宋"/>
                <w:color w:val="auto"/>
                <w:highlight w:val="none"/>
              </w:rPr>
            </w:pPr>
          </w:p>
        </w:tc>
      </w:tr>
      <w:tr w14:paraId="7B5C75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305BA21C">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3866CEE1">
            <w:pPr>
              <w:jc w:val="center"/>
              <w:rPr>
                <w:rFonts w:ascii="仿宋" w:hAnsi="仿宋" w:eastAsia="仿宋" w:cs="仿宋"/>
                <w:color w:val="auto"/>
                <w:highlight w:val="none"/>
              </w:rPr>
            </w:pPr>
            <w:r>
              <w:rPr>
                <w:rFonts w:hint="eastAsia" w:ascii="仿宋" w:hAnsi="仿宋" w:eastAsia="仿宋" w:cs="仿宋"/>
                <w:color w:val="auto"/>
                <w:highlight w:val="none"/>
              </w:rPr>
              <w:t>第4.4款</w:t>
            </w:r>
          </w:p>
        </w:tc>
        <w:tc>
          <w:tcPr>
            <w:tcW w:w="1742" w:type="dxa"/>
            <w:noWrap/>
            <w:vAlign w:val="center"/>
          </w:tcPr>
          <w:p w14:paraId="520FDA3D">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履约验收中甲方提出异议或作出说明的期限</w:t>
            </w:r>
          </w:p>
        </w:tc>
        <w:tc>
          <w:tcPr>
            <w:tcW w:w="5170" w:type="dxa"/>
            <w:noWrap/>
            <w:vAlign w:val="center"/>
          </w:tcPr>
          <w:p w14:paraId="08B96438">
            <w:pPr>
              <w:rPr>
                <w:rFonts w:ascii="仿宋" w:hAnsi="仿宋" w:eastAsia="仿宋" w:cs="仿宋"/>
                <w:color w:val="auto"/>
                <w:highlight w:val="none"/>
                <w:lang w:eastAsia="zh-CN"/>
              </w:rPr>
            </w:pPr>
          </w:p>
        </w:tc>
      </w:tr>
      <w:tr w14:paraId="03534D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5CF51AD7">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284D5F17">
            <w:pPr>
              <w:jc w:val="center"/>
              <w:rPr>
                <w:rFonts w:ascii="仿宋" w:hAnsi="仿宋" w:eastAsia="仿宋" w:cs="仿宋"/>
                <w:color w:val="auto"/>
                <w:highlight w:val="none"/>
              </w:rPr>
            </w:pPr>
            <w:r>
              <w:rPr>
                <w:rFonts w:hint="eastAsia" w:ascii="仿宋" w:hAnsi="仿宋" w:eastAsia="仿宋" w:cs="仿宋"/>
                <w:color w:val="auto"/>
                <w:highlight w:val="none"/>
              </w:rPr>
              <w:t>第4.6款</w:t>
            </w:r>
          </w:p>
        </w:tc>
        <w:tc>
          <w:tcPr>
            <w:tcW w:w="1742" w:type="dxa"/>
            <w:noWrap/>
            <w:vAlign w:val="center"/>
          </w:tcPr>
          <w:p w14:paraId="6795CA82">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约定甲方承担的其他义务和责任</w:t>
            </w:r>
          </w:p>
        </w:tc>
        <w:tc>
          <w:tcPr>
            <w:tcW w:w="5170" w:type="dxa"/>
            <w:noWrap/>
            <w:vAlign w:val="center"/>
          </w:tcPr>
          <w:p w14:paraId="10C26A7C">
            <w:pPr>
              <w:rPr>
                <w:rFonts w:ascii="仿宋" w:hAnsi="仿宋" w:eastAsia="仿宋" w:cs="仿宋"/>
                <w:color w:val="auto"/>
                <w:highlight w:val="none"/>
                <w:lang w:eastAsia="zh-CN"/>
              </w:rPr>
            </w:pPr>
          </w:p>
        </w:tc>
      </w:tr>
      <w:tr w14:paraId="6F8B71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6F440D6F">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1467AC10">
            <w:pPr>
              <w:jc w:val="center"/>
              <w:rPr>
                <w:rFonts w:ascii="仿宋" w:hAnsi="仿宋" w:eastAsia="仿宋" w:cs="仿宋"/>
                <w:color w:val="auto"/>
                <w:highlight w:val="none"/>
              </w:rPr>
            </w:pPr>
            <w:r>
              <w:rPr>
                <w:rFonts w:hint="eastAsia" w:ascii="仿宋" w:hAnsi="仿宋" w:eastAsia="仿宋" w:cs="仿宋"/>
                <w:color w:val="auto"/>
                <w:highlight w:val="none"/>
              </w:rPr>
              <w:t>第5.4款</w:t>
            </w:r>
          </w:p>
        </w:tc>
        <w:tc>
          <w:tcPr>
            <w:tcW w:w="1742" w:type="dxa"/>
            <w:noWrap/>
            <w:vAlign w:val="center"/>
          </w:tcPr>
          <w:p w14:paraId="66A3E61A">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约定乙方承担的其他义务和责任</w:t>
            </w:r>
          </w:p>
        </w:tc>
        <w:tc>
          <w:tcPr>
            <w:tcW w:w="5170" w:type="dxa"/>
            <w:noWrap/>
            <w:vAlign w:val="center"/>
          </w:tcPr>
          <w:p w14:paraId="216C73EB">
            <w:pPr>
              <w:rPr>
                <w:rFonts w:ascii="仿宋" w:hAnsi="仿宋" w:eastAsia="仿宋" w:cs="仿宋"/>
                <w:color w:val="auto"/>
                <w:highlight w:val="none"/>
                <w:lang w:eastAsia="zh-CN"/>
              </w:rPr>
            </w:pPr>
          </w:p>
        </w:tc>
      </w:tr>
      <w:tr w14:paraId="7D923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418994C0">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4DA55CC8">
            <w:pPr>
              <w:jc w:val="center"/>
              <w:rPr>
                <w:rFonts w:ascii="仿宋" w:hAnsi="仿宋" w:eastAsia="仿宋" w:cs="仿宋"/>
                <w:color w:val="auto"/>
                <w:highlight w:val="none"/>
              </w:rPr>
            </w:pPr>
            <w:r>
              <w:rPr>
                <w:rFonts w:hint="eastAsia" w:ascii="仿宋" w:hAnsi="仿宋" w:eastAsia="仿宋" w:cs="仿宋"/>
                <w:color w:val="auto"/>
                <w:highlight w:val="none"/>
              </w:rPr>
              <w:t>第6.1款</w:t>
            </w:r>
          </w:p>
        </w:tc>
        <w:tc>
          <w:tcPr>
            <w:tcW w:w="1742" w:type="dxa"/>
            <w:noWrap/>
            <w:vAlign w:val="center"/>
          </w:tcPr>
          <w:p w14:paraId="469D1F0E">
            <w:pPr>
              <w:rPr>
                <w:rFonts w:ascii="仿宋" w:hAnsi="仿宋" w:eastAsia="仿宋" w:cs="仿宋"/>
                <w:color w:val="auto"/>
                <w:highlight w:val="none"/>
              </w:rPr>
            </w:pPr>
            <w:r>
              <w:rPr>
                <w:rFonts w:hint="eastAsia" w:ascii="仿宋" w:hAnsi="仿宋" w:eastAsia="仿宋" w:cs="仿宋"/>
                <w:color w:val="auto"/>
                <w:highlight w:val="none"/>
              </w:rPr>
              <w:t>履行合同义务的顺序</w:t>
            </w:r>
          </w:p>
        </w:tc>
        <w:tc>
          <w:tcPr>
            <w:tcW w:w="5170" w:type="dxa"/>
            <w:noWrap/>
            <w:vAlign w:val="center"/>
          </w:tcPr>
          <w:p w14:paraId="553132FD">
            <w:pPr>
              <w:rPr>
                <w:rFonts w:ascii="仿宋" w:hAnsi="仿宋" w:eastAsia="仿宋" w:cs="仿宋"/>
                <w:color w:val="auto"/>
                <w:highlight w:val="none"/>
              </w:rPr>
            </w:pPr>
          </w:p>
        </w:tc>
      </w:tr>
      <w:tr w14:paraId="28D494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ign w:val="center"/>
          </w:tcPr>
          <w:p w14:paraId="048FF759">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4B3DE6D1">
            <w:pPr>
              <w:jc w:val="center"/>
              <w:rPr>
                <w:rFonts w:ascii="仿宋" w:hAnsi="仿宋" w:eastAsia="仿宋" w:cs="仿宋"/>
                <w:color w:val="auto"/>
                <w:highlight w:val="none"/>
              </w:rPr>
            </w:pPr>
            <w:r>
              <w:rPr>
                <w:rFonts w:hint="eastAsia" w:ascii="仿宋" w:hAnsi="仿宋" w:eastAsia="仿宋" w:cs="仿宋"/>
                <w:color w:val="auto"/>
                <w:highlight w:val="none"/>
              </w:rPr>
              <w:t>第7.1款</w:t>
            </w:r>
          </w:p>
        </w:tc>
        <w:tc>
          <w:tcPr>
            <w:tcW w:w="1742" w:type="dxa"/>
            <w:noWrap/>
            <w:vAlign w:val="center"/>
          </w:tcPr>
          <w:p w14:paraId="2727EEAB">
            <w:pPr>
              <w:rPr>
                <w:rFonts w:ascii="仿宋" w:hAnsi="仿宋" w:eastAsia="仿宋" w:cs="仿宋"/>
                <w:color w:val="auto"/>
                <w:highlight w:val="none"/>
              </w:rPr>
            </w:pPr>
            <w:r>
              <w:rPr>
                <w:rFonts w:hint="eastAsia" w:ascii="仿宋" w:hAnsi="仿宋" w:eastAsia="仿宋" w:cs="仿宋"/>
                <w:color w:val="auto"/>
                <w:highlight w:val="none"/>
              </w:rPr>
              <w:t>包装特殊要求</w:t>
            </w:r>
          </w:p>
        </w:tc>
        <w:tc>
          <w:tcPr>
            <w:tcW w:w="5170" w:type="dxa"/>
            <w:noWrap/>
            <w:vAlign w:val="center"/>
          </w:tcPr>
          <w:p w14:paraId="3A3C3603">
            <w:pPr>
              <w:rPr>
                <w:rFonts w:ascii="仿宋" w:hAnsi="仿宋" w:eastAsia="仿宋" w:cs="仿宋"/>
                <w:color w:val="auto"/>
                <w:highlight w:val="none"/>
              </w:rPr>
            </w:pPr>
          </w:p>
        </w:tc>
      </w:tr>
      <w:tr w14:paraId="04B9D1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ign w:val="center"/>
          </w:tcPr>
          <w:p w14:paraId="18003339">
            <w:pPr>
              <w:jc w:val="center"/>
              <w:rPr>
                <w:rFonts w:ascii="仿宋" w:hAnsi="仿宋" w:eastAsia="仿宋" w:cs="仿宋"/>
                <w:color w:val="auto"/>
                <w:highlight w:val="none"/>
              </w:rPr>
            </w:pPr>
          </w:p>
        </w:tc>
        <w:tc>
          <w:tcPr>
            <w:tcW w:w="1742" w:type="dxa"/>
            <w:noWrap/>
            <w:vAlign w:val="center"/>
          </w:tcPr>
          <w:p w14:paraId="74B3F74A">
            <w:pPr>
              <w:rPr>
                <w:rFonts w:ascii="仿宋" w:hAnsi="仿宋" w:eastAsia="仿宋" w:cs="仿宋"/>
                <w:color w:val="auto"/>
                <w:highlight w:val="none"/>
              </w:rPr>
            </w:pPr>
            <w:r>
              <w:rPr>
                <w:rFonts w:hint="eastAsia" w:ascii="仿宋" w:hAnsi="仿宋" w:eastAsia="仿宋" w:cs="仿宋"/>
                <w:color w:val="auto"/>
                <w:highlight w:val="none"/>
              </w:rPr>
              <w:t>指定现场</w:t>
            </w:r>
          </w:p>
        </w:tc>
        <w:tc>
          <w:tcPr>
            <w:tcW w:w="5170" w:type="dxa"/>
            <w:noWrap/>
            <w:vAlign w:val="center"/>
          </w:tcPr>
          <w:p w14:paraId="44D03E09">
            <w:pPr>
              <w:rPr>
                <w:rFonts w:ascii="仿宋" w:hAnsi="仿宋" w:eastAsia="仿宋" w:cs="仿宋"/>
                <w:color w:val="auto"/>
                <w:highlight w:val="none"/>
              </w:rPr>
            </w:pPr>
          </w:p>
        </w:tc>
      </w:tr>
      <w:tr w14:paraId="61A5B0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ign w:val="center"/>
          </w:tcPr>
          <w:p w14:paraId="23A526C7">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0EC45C25">
            <w:pPr>
              <w:jc w:val="center"/>
              <w:rPr>
                <w:rFonts w:ascii="仿宋" w:hAnsi="仿宋" w:eastAsia="仿宋" w:cs="仿宋"/>
                <w:color w:val="auto"/>
                <w:highlight w:val="none"/>
              </w:rPr>
            </w:pPr>
            <w:r>
              <w:rPr>
                <w:rFonts w:hint="eastAsia" w:ascii="仿宋" w:hAnsi="仿宋" w:eastAsia="仿宋" w:cs="仿宋"/>
                <w:color w:val="auto"/>
                <w:highlight w:val="none"/>
              </w:rPr>
              <w:t>第7.2款</w:t>
            </w:r>
          </w:p>
        </w:tc>
        <w:tc>
          <w:tcPr>
            <w:tcW w:w="1742" w:type="dxa"/>
            <w:noWrap/>
            <w:vAlign w:val="center"/>
          </w:tcPr>
          <w:p w14:paraId="046A65F2">
            <w:pPr>
              <w:rPr>
                <w:rFonts w:ascii="仿宋" w:hAnsi="仿宋" w:eastAsia="仿宋" w:cs="仿宋"/>
                <w:color w:val="auto"/>
                <w:highlight w:val="none"/>
              </w:rPr>
            </w:pPr>
            <w:r>
              <w:rPr>
                <w:rFonts w:hint="eastAsia" w:ascii="仿宋" w:hAnsi="仿宋" w:eastAsia="仿宋" w:cs="仿宋"/>
                <w:color w:val="auto"/>
                <w:highlight w:val="none"/>
              </w:rPr>
              <w:t>运输特殊要求</w:t>
            </w:r>
          </w:p>
        </w:tc>
        <w:tc>
          <w:tcPr>
            <w:tcW w:w="5170" w:type="dxa"/>
            <w:noWrap/>
            <w:vAlign w:val="center"/>
          </w:tcPr>
          <w:p w14:paraId="76AC95B9">
            <w:pPr>
              <w:rPr>
                <w:rFonts w:ascii="仿宋" w:hAnsi="仿宋" w:eastAsia="仿宋" w:cs="仿宋"/>
                <w:color w:val="auto"/>
                <w:highlight w:val="none"/>
              </w:rPr>
            </w:pPr>
          </w:p>
        </w:tc>
      </w:tr>
      <w:tr w14:paraId="3FC092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ign w:val="center"/>
          </w:tcPr>
          <w:p w14:paraId="7AAACCBF">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6AAF25BB">
            <w:pPr>
              <w:jc w:val="center"/>
              <w:rPr>
                <w:rFonts w:ascii="仿宋" w:hAnsi="仿宋" w:eastAsia="仿宋" w:cs="仿宋"/>
                <w:color w:val="auto"/>
                <w:highlight w:val="none"/>
              </w:rPr>
            </w:pPr>
            <w:r>
              <w:rPr>
                <w:rFonts w:hint="eastAsia" w:ascii="仿宋" w:hAnsi="仿宋" w:eastAsia="仿宋" w:cs="仿宋"/>
                <w:color w:val="auto"/>
                <w:highlight w:val="none"/>
              </w:rPr>
              <w:t>第7.3款</w:t>
            </w:r>
          </w:p>
        </w:tc>
        <w:tc>
          <w:tcPr>
            <w:tcW w:w="1742" w:type="dxa"/>
            <w:noWrap/>
            <w:vAlign w:val="center"/>
          </w:tcPr>
          <w:p w14:paraId="2E7D33A1">
            <w:pPr>
              <w:rPr>
                <w:rFonts w:ascii="仿宋" w:hAnsi="仿宋" w:eastAsia="仿宋" w:cs="仿宋"/>
                <w:color w:val="auto"/>
                <w:highlight w:val="none"/>
              </w:rPr>
            </w:pPr>
            <w:r>
              <w:rPr>
                <w:rFonts w:hint="eastAsia" w:ascii="仿宋" w:hAnsi="仿宋" w:eastAsia="仿宋" w:cs="仿宋"/>
                <w:color w:val="auto"/>
                <w:highlight w:val="none"/>
              </w:rPr>
              <w:t>保险要求</w:t>
            </w:r>
          </w:p>
        </w:tc>
        <w:tc>
          <w:tcPr>
            <w:tcW w:w="5170" w:type="dxa"/>
            <w:noWrap/>
            <w:vAlign w:val="center"/>
          </w:tcPr>
          <w:p w14:paraId="55506A65">
            <w:pPr>
              <w:rPr>
                <w:rFonts w:ascii="仿宋" w:hAnsi="仿宋" w:eastAsia="仿宋" w:cs="仿宋"/>
                <w:color w:val="auto"/>
                <w:highlight w:val="none"/>
              </w:rPr>
            </w:pPr>
          </w:p>
        </w:tc>
      </w:tr>
      <w:tr w14:paraId="57926A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64C51969">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7146D6C1">
            <w:pPr>
              <w:jc w:val="center"/>
              <w:rPr>
                <w:rFonts w:ascii="仿宋" w:hAnsi="仿宋" w:eastAsia="仿宋" w:cs="仿宋"/>
                <w:color w:val="auto"/>
                <w:highlight w:val="none"/>
              </w:rPr>
            </w:pPr>
            <w:r>
              <w:rPr>
                <w:rFonts w:hint="eastAsia" w:ascii="仿宋" w:hAnsi="仿宋" w:eastAsia="仿宋" w:cs="仿宋"/>
                <w:color w:val="auto"/>
                <w:highlight w:val="none"/>
              </w:rPr>
              <w:t>第8.2（1）项</w:t>
            </w:r>
          </w:p>
        </w:tc>
        <w:tc>
          <w:tcPr>
            <w:tcW w:w="1742" w:type="dxa"/>
            <w:noWrap/>
            <w:vAlign w:val="center"/>
          </w:tcPr>
          <w:p w14:paraId="1D1EBDEE">
            <w:pPr>
              <w:rPr>
                <w:rFonts w:ascii="仿宋" w:hAnsi="仿宋" w:eastAsia="仿宋" w:cs="仿宋"/>
                <w:color w:val="auto"/>
                <w:highlight w:val="none"/>
              </w:rPr>
            </w:pPr>
            <w:r>
              <w:rPr>
                <w:rFonts w:hint="eastAsia" w:ascii="仿宋" w:hAnsi="仿宋" w:eastAsia="仿宋" w:cs="仿宋"/>
                <w:color w:val="auto"/>
                <w:highlight w:val="none"/>
              </w:rPr>
              <w:t>质量保证期</w:t>
            </w:r>
          </w:p>
        </w:tc>
        <w:tc>
          <w:tcPr>
            <w:tcW w:w="5170" w:type="dxa"/>
            <w:noWrap/>
            <w:vAlign w:val="center"/>
          </w:tcPr>
          <w:p w14:paraId="2AEC7C25">
            <w:pPr>
              <w:ind w:firstLine="420" w:firstLineChars="200"/>
              <w:rPr>
                <w:rFonts w:ascii="仿宋" w:hAnsi="仿宋" w:eastAsia="仿宋" w:cs="仿宋"/>
                <w:color w:val="auto"/>
                <w:highlight w:val="none"/>
              </w:rPr>
            </w:pPr>
          </w:p>
        </w:tc>
      </w:tr>
      <w:tr w14:paraId="4316C9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6E1DF62C">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20923FB4">
            <w:pPr>
              <w:jc w:val="center"/>
              <w:rPr>
                <w:rFonts w:ascii="仿宋" w:hAnsi="仿宋" w:eastAsia="仿宋" w:cs="仿宋"/>
                <w:color w:val="auto"/>
                <w:highlight w:val="none"/>
              </w:rPr>
            </w:pPr>
            <w:r>
              <w:rPr>
                <w:rFonts w:hint="eastAsia" w:ascii="仿宋" w:hAnsi="仿宋" w:eastAsia="仿宋" w:cs="仿宋"/>
                <w:color w:val="auto"/>
                <w:highlight w:val="none"/>
              </w:rPr>
              <w:t>第8.2（3）项</w:t>
            </w:r>
          </w:p>
        </w:tc>
        <w:tc>
          <w:tcPr>
            <w:tcW w:w="1742" w:type="dxa"/>
            <w:noWrap/>
            <w:vAlign w:val="center"/>
          </w:tcPr>
          <w:p w14:paraId="01943867">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货物质量缺陷</w:t>
            </w:r>
          </w:p>
          <w:p w14:paraId="25603818">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响应时间</w:t>
            </w:r>
          </w:p>
        </w:tc>
        <w:tc>
          <w:tcPr>
            <w:tcW w:w="5170" w:type="dxa"/>
            <w:noWrap/>
            <w:vAlign w:val="center"/>
          </w:tcPr>
          <w:p w14:paraId="060E1D87">
            <w:pPr>
              <w:rPr>
                <w:rFonts w:ascii="仿宋" w:hAnsi="仿宋" w:eastAsia="仿宋" w:cs="仿宋"/>
                <w:color w:val="auto"/>
                <w:highlight w:val="none"/>
                <w:lang w:eastAsia="zh-CN"/>
              </w:rPr>
            </w:pPr>
          </w:p>
        </w:tc>
      </w:tr>
      <w:tr w14:paraId="44343C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24CDC54C">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3636F0B3">
            <w:pPr>
              <w:pStyle w:val="35"/>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第11.1款</w:t>
            </w:r>
          </w:p>
        </w:tc>
        <w:tc>
          <w:tcPr>
            <w:tcW w:w="1742" w:type="dxa"/>
            <w:noWrap/>
            <w:vAlign w:val="center"/>
          </w:tcPr>
          <w:p w14:paraId="684BB103">
            <w:pPr>
              <w:rPr>
                <w:rFonts w:ascii="仿宋" w:hAnsi="仿宋" w:eastAsia="仿宋" w:cs="仿宋"/>
                <w:color w:val="auto"/>
                <w:highlight w:val="none"/>
              </w:rPr>
            </w:pPr>
            <w:r>
              <w:rPr>
                <w:rFonts w:hint="eastAsia" w:ascii="仿宋" w:hAnsi="仿宋" w:eastAsia="仿宋" w:cs="仿宋"/>
                <w:color w:val="auto"/>
                <w:highlight w:val="none"/>
              </w:rPr>
              <w:t>其他应当保密的信息</w:t>
            </w:r>
          </w:p>
        </w:tc>
        <w:tc>
          <w:tcPr>
            <w:tcW w:w="5170" w:type="dxa"/>
            <w:noWrap/>
            <w:vAlign w:val="center"/>
          </w:tcPr>
          <w:p w14:paraId="7686B4C4">
            <w:pPr>
              <w:rPr>
                <w:rFonts w:ascii="仿宋" w:hAnsi="仿宋" w:eastAsia="仿宋" w:cs="仿宋"/>
                <w:color w:val="auto"/>
                <w:highlight w:val="none"/>
              </w:rPr>
            </w:pPr>
          </w:p>
        </w:tc>
      </w:tr>
      <w:tr w14:paraId="5EF23F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58163A58">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294E9E0E">
            <w:pPr>
              <w:jc w:val="center"/>
              <w:rPr>
                <w:rFonts w:ascii="仿宋" w:hAnsi="仿宋" w:eastAsia="仿宋" w:cs="仿宋"/>
                <w:color w:val="auto"/>
                <w:highlight w:val="none"/>
              </w:rPr>
            </w:pPr>
            <w:r>
              <w:rPr>
                <w:rFonts w:hint="eastAsia" w:ascii="仿宋" w:hAnsi="仿宋" w:eastAsia="仿宋" w:cs="仿宋"/>
                <w:color w:val="auto"/>
                <w:highlight w:val="none"/>
              </w:rPr>
              <w:t>第12.2款</w:t>
            </w:r>
          </w:p>
        </w:tc>
        <w:tc>
          <w:tcPr>
            <w:tcW w:w="1742" w:type="dxa"/>
            <w:noWrap/>
            <w:vAlign w:val="center"/>
          </w:tcPr>
          <w:p w14:paraId="40584E5A">
            <w:pPr>
              <w:rPr>
                <w:rFonts w:ascii="仿宋" w:hAnsi="仿宋" w:eastAsia="仿宋" w:cs="仿宋"/>
                <w:color w:val="auto"/>
                <w:highlight w:val="none"/>
              </w:rPr>
            </w:pPr>
            <w:r>
              <w:rPr>
                <w:rFonts w:hint="eastAsia" w:ascii="仿宋" w:hAnsi="仿宋" w:eastAsia="仿宋" w:cs="仿宋"/>
                <w:color w:val="auto"/>
                <w:highlight w:val="none"/>
              </w:rPr>
              <w:t>合同价款支付时间</w:t>
            </w:r>
          </w:p>
        </w:tc>
        <w:tc>
          <w:tcPr>
            <w:tcW w:w="5170" w:type="dxa"/>
            <w:noWrap/>
            <w:vAlign w:val="center"/>
          </w:tcPr>
          <w:p w14:paraId="71E38F5C">
            <w:pPr>
              <w:rPr>
                <w:rFonts w:ascii="仿宋" w:hAnsi="仿宋" w:eastAsia="仿宋" w:cs="仿宋"/>
                <w:color w:val="auto"/>
                <w:highlight w:val="none"/>
              </w:rPr>
            </w:pPr>
          </w:p>
        </w:tc>
      </w:tr>
      <w:tr w14:paraId="4B1447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78F96885">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6C7B1549">
            <w:pPr>
              <w:jc w:val="center"/>
              <w:rPr>
                <w:rFonts w:ascii="仿宋" w:hAnsi="仿宋" w:eastAsia="仿宋" w:cs="仿宋"/>
                <w:color w:val="auto"/>
                <w:highlight w:val="none"/>
              </w:rPr>
            </w:pPr>
            <w:r>
              <w:rPr>
                <w:rFonts w:hint="eastAsia" w:ascii="仿宋" w:hAnsi="仿宋" w:eastAsia="仿宋" w:cs="仿宋"/>
                <w:color w:val="auto"/>
                <w:highlight w:val="none"/>
              </w:rPr>
              <w:t>第13.2款</w:t>
            </w:r>
          </w:p>
        </w:tc>
        <w:tc>
          <w:tcPr>
            <w:tcW w:w="1742" w:type="dxa"/>
            <w:noWrap/>
            <w:vAlign w:val="center"/>
          </w:tcPr>
          <w:p w14:paraId="550AD8AB">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履约保证金不予退还的情形</w:t>
            </w:r>
          </w:p>
        </w:tc>
        <w:tc>
          <w:tcPr>
            <w:tcW w:w="5170" w:type="dxa"/>
            <w:noWrap/>
            <w:vAlign w:val="center"/>
          </w:tcPr>
          <w:p w14:paraId="18F79DA2">
            <w:pPr>
              <w:rPr>
                <w:rFonts w:ascii="仿宋" w:hAnsi="仿宋" w:eastAsia="仿宋" w:cs="仿宋"/>
                <w:color w:val="auto"/>
                <w:highlight w:val="none"/>
                <w:lang w:eastAsia="zh-CN"/>
              </w:rPr>
            </w:pPr>
          </w:p>
        </w:tc>
      </w:tr>
      <w:tr w14:paraId="728FC5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530EAE5B">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40AD419F">
            <w:pPr>
              <w:jc w:val="center"/>
              <w:rPr>
                <w:rFonts w:ascii="仿宋" w:hAnsi="仿宋" w:eastAsia="仿宋" w:cs="仿宋"/>
                <w:color w:val="auto"/>
                <w:highlight w:val="none"/>
              </w:rPr>
            </w:pPr>
            <w:r>
              <w:rPr>
                <w:rFonts w:hint="eastAsia" w:ascii="仿宋" w:hAnsi="仿宋" w:eastAsia="仿宋" w:cs="仿宋"/>
                <w:color w:val="auto"/>
                <w:highlight w:val="none"/>
              </w:rPr>
              <w:t>第13.3款</w:t>
            </w:r>
          </w:p>
        </w:tc>
        <w:tc>
          <w:tcPr>
            <w:tcW w:w="1742" w:type="dxa"/>
            <w:noWrap/>
            <w:vAlign w:val="center"/>
          </w:tcPr>
          <w:p w14:paraId="68D6D3D4">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履约保证金退还时间及逾期退还的违约金</w:t>
            </w:r>
          </w:p>
        </w:tc>
        <w:tc>
          <w:tcPr>
            <w:tcW w:w="5170" w:type="dxa"/>
            <w:noWrap/>
            <w:vAlign w:val="center"/>
          </w:tcPr>
          <w:p w14:paraId="3616BF09">
            <w:pPr>
              <w:rPr>
                <w:rFonts w:ascii="仿宋" w:hAnsi="仿宋" w:eastAsia="仿宋" w:cs="仿宋"/>
                <w:color w:val="auto"/>
                <w:highlight w:val="none"/>
                <w:lang w:eastAsia="zh-CN"/>
              </w:rPr>
            </w:pPr>
          </w:p>
        </w:tc>
      </w:tr>
      <w:tr w14:paraId="2F3771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14:paraId="58E6F967">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1C57FA6C">
            <w:pPr>
              <w:jc w:val="center"/>
              <w:rPr>
                <w:rFonts w:ascii="仿宋" w:hAnsi="仿宋" w:eastAsia="仿宋" w:cs="仿宋"/>
                <w:color w:val="auto"/>
                <w:highlight w:val="none"/>
              </w:rPr>
            </w:pPr>
            <w:r>
              <w:rPr>
                <w:rFonts w:hint="eastAsia" w:ascii="仿宋" w:hAnsi="仿宋" w:eastAsia="仿宋" w:cs="仿宋"/>
                <w:color w:val="auto"/>
                <w:highlight w:val="none"/>
              </w:rPr>
              <w:t>第14.1（3）项</w:t>
            </w:r>
          </w:p>
        </w:tc>
        <w:tc>
          <w:tcPr>
            <w:tcW w:w="1742" w:type="dxa"/>
            <w:noWrap/>
            <w:vAlign w:val="center"/>
          </w:tcPr>
          <w:p w14:paraId="432EA11D">
            <w:pPr>
              <w:rPr>
                <w:rFonts w:ascii="仿宋" w:hAnsi="仿宋" w:eastAsia="仿宋" w:cs="仿宋"/>
                <w:color w:val="auto"/>
                <w:highlight w:val="none"/>
              </w:rPr>
            </w:pPr>
            <w:r>
              <w:rPr>
                <w:rFonts w:hint="eastAsia" w:ascii="仿宋" w:hAnsi="仿宋" w:eastAsia="仿宋" w:cs="仿宋"/>
                <w:color w:val="auto"/>
                <w:highlight w:val="none"/>
              </w:rPr>
              <w:t>运行监督、维修期限</w:t>
            </w:r>
          </w:p>
        </w:tc>
        <w:tc>
          <w:tcPr>
            <w:tcW w:w="5170" w:type="dxa"/>
            <w:noWrap/>
            <w:vAlign w:val="center"/>
          </w:tcPr>
          <w:p w14:paraId="05F58FDF">
            <w:pPr>
              <w:rPr>
                <w:rFonts w:ascii="仿宋" w:hAnsi="仿宋" w:eastAsia="仿宋" w:cs="仿宋"/>
                <w:color w:val="auto"/>
                <w:highlight w:val="none"/>
              </w:rPr>
            </w:pPr>
          </w:p>
        </w:tc>
      </w:tr>
      <w:tr w14:paraId="4790B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14:paraId="377B3FCF">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5AC93FEC">
            <w:pPr>
              <w:jc w:val="center"/>
              <w:rPr>
                <w:rFonts w:ascii="仿宋" w:hAnsi="仿宋" w:eastAsia="仿宋" w:cs="仿宋"/>
                <w:color w:val="auto"/>
                <w:highlight w:val="none"/>
              </w:rPr>
            </w:pPr>
            <w:r>
              <w:rPr>
                <w:rFonts w:hint="eastAsia" w:ascii="仿宋" w:hAnsi="仿宋" w:eastAsia="仿宋" w:cs="仿宋"/>
                <w:color w:val="auto"/>
                <w:highlight w:val="none"/>
              </w:rPr>
              <w:t>第14.1（5）项</w:t>
            </w:r>
          </w:p>
        </w:tc>
        <w:tc>
          <w:tcPr>
            <w:tcW w:w="1742" w:type="dxa"/>
            <w:noWrap/>
            <w:vAlign w:val="center"/>
          </w:tcPr>
          <w:p w14:paraId="02DCE16B">
            <w:pPr>
              <w:rPr>
                <w:rFonts w:ascii="仿宋" w:hAnsi="仿宋" w:eastAsia="仿宋" w:cs="仿宋"/>
                <w:color w:val="auto"/>
                <w:highlight w:val="none"/>
              </w:rPr>
            </w:pPr>
            <w:r>
              <w:rPr>
                <w:rFonts w:hint="eastAsia" w:ascii="仿宋" w:hAnsi="仿宋" w:eastAsia="仿宋" w:cs="仿宋"/>
                <w:color w:val="auto"/>
                <w:highlight w:val="none"/>
              </w:rPr>
              <w:t>货物回收的约定</w:t>
            </w:r>
          </w:p>
        </w:tc>
        <w:tc>
          <w:tcPr>
            <w:tcW w:w="5170" w:type="dxa"/>
            <w:noWrap/>
            <w:vAlign w:val="center"/>
          </w:tcPr>
          <w:p w14:paraId="55D89F79">
            <w:pPr>
              <w:rPr>
                <w:rFonts w:ascii="仿宋" w:hAnsi="仿宋" w:eastAsia="仿宋" w:cs="仿宋"/>
                <w:color w:val="auto"/>
                <w:highlight w:val="none"/>
              </w:rPr>
            </w:pPr>
          </w:p>
        </w:tc>
      </w:tr>
      <w:tr w14:paraId="49A2A2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54D20254">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1D6EF0B0">
            <w:pPr>
              <w:jc w:val="center"/>
              <w:rPr>
                <w:rFonts w:ascii="仿宋" w:hAnsi="仿宋" w:eastAsia="仿宋" w:cs="仿宋"/>
                <w:color w:val="auto"/>
                <w:highlight w:val="none"/>
              </w:rPr>
            </w:pPr>
            <w:r>
              <w:rPr>
                <w:rFonts w:hint="eastAsia" w:ascii="仿宋" w:hAnsi="仿宋" w:eastAsia="仿宋" w:cs="仿宋"/>
                <w:color w:val="auto"/>
                <w:highlight w:val="none"/>
              </w:rPr>
              <w:t>第14.1（6）项</w:t>
            </w:r>
          </w:p>
        </w:tc>
        <w:tc>
          <w:tcPr>
            <w:tcW w:w="1742" w:type="dxa"/>
            <w:noWrap/>
            <w:vAlign w:val="center"/>
          </w:tcPr>
          <w:p w14:paraId="6B025791">
            <w:pPr>
              <w:rPr>
                <w:rFonts w:ascii="仿宋" w:hAnsi="仿宋" w:eastAsia="仿宋" w:cs="仿宋"/>
                <w:color w:val="auto"/>
                <w:highlight w:val="none"/>
              </w:rPr>
            </w:pPr>
            <w:r>
              <w:rPr>
                <w:rFonts w:hint="eastAsia" w:ascii="仿宋" w:hAnsi="仿宋" w:eastAsia="仿宋" w:cs="仿宋"/>
                <w:color w:val="auto"/>
                <w:highlight w:val="none"/>
              </w:rPr>
              <w:t>乙方提供的其他服务</w:t>
            </w:r>
          </w:p>
        </w:tc>
        <w:tc>
          <w:tcPr>
            <w:tcW w:w="5170" w:type="dxa"/>
            <w:noWrap/>
            <w:vAlign w:val="center"/>
          </w:tcPr>
          <w:p w14:paraId="7158896E">
            <w:pPr>
              <w:rPr>
                <w:rFonts w:ascii="仿宋" w:hAnsi="仿宋" w:eastAsia="仿宋" w:cs="仿宋"/>
                <w:color w:val="auto"/>
                <w:highlight w:val="none"/>
              </w:rPr>
            </w:pPr>
          </w:p>
        </w:tc>
      </w:tr>
      <w:tr w14:paraId="46A651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2D2E9E7E">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1972E5FC">
            <w:pPr>
              <w:jc w:val="center"/>
              <w:rPr>
                <w:rFonts w:ascii="仿宋" w:hAnsi="仿宋" w:eastAsia="仿宋" w:cs="仿宋"/>
                <w:color w:val="auto"/>
                <w:highlight w:val="none"/>
              </w:rPr>
            </w:pPr>
            <w:r>
              <w:rPr>
                <w:rFonts w:hint="eastAsia" w:ascii="仿宋" w:hAnsi="仿宋" w:eastAsia="仿宋" w:cs="仿宋"/>
                <w:color w:val="auto"/>
                <w:highlight w:val="none"/>
              </w:rPr>
              <w:t>第15.1款</w:t>
            </w:r>
          </w:p>
        </w:tc>
        <w:tc>
          <w:tcPr>
            <w:tcW w:w="1742" w:type="dxa"/>
            <w:noWrap/>
            <w:vAlign w:val="center"/>
          </w:tcPr>
          <w:p w14:paraId="47FC264D">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修理、重作、更换相关具体规定</w:t>
            </w:r>
          </w:p>
        </w:tc>
        <w:tc>
          <w:tcPr>
            <w:tcW w:w="5170" w:type="dxa"/>
            <w:noWrap/>
            <w:vAlign w:val="center"/>
          </w:tcPr>
          <w:p w14:paraId="173052FE">
            <w:pPr>
              <w:rPr>
                <w:rFonts w:ascii="仿宋" w:hAnsi="仿宋" w:eastAsia="仿宋" w:cs="仿宋"/>
                <w:color w:val="auto"/>
                <w:highlight w:val="none"/>
                <w:lang w:eastAsia="zh-CN"/>
              </w:rPr>
            </w:pPr>
          </w:p>
        </w:tc>
      </w:tr>
      <w:tr w14:paraId="345CF4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362EA82D">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4B123B7D">
            <w:pPr>
              <w:jc w:val="center"/>
              <w:rPr>
                <w:rFonts w:ascii="仿宋" w:hAnsi="仿宋" w:eastAsia="仿宋" w:cs="仿宋"/>
                <w:color w:val="auto"/>
                <w:highlight w:val="none"/>
              </w:rPr>
            </w:pPr>
            <w:r>
              <w:rPr>
                <w:rFonts w:hint="eastAsia" w:ascii="仿宋" w:hAnsi="仿宋" w:eastAsia="仿宋" w:cs="仿宋"/>
                <w:color w:val="auto"/>
                <w:highlight w:val="none"/>
              </w:rPr>
              <w:t>第15.2（2）项</w:t>
            </w:r>
          </w:p>
        </w:tc>
        <w:tc>
          <w:tcPr>
            <w:tcW w:w="1742" w:type="dxa"/>
            <w:noWrap/>
            <w:vAlign w:val="center"/>
          </w:tcPr>
          <w:p w14:paraId="461CD291">
            <w:pPr>
              <w:rPr>
                <w:rFonts w:ascii="仿宋" w:hAnsi="仿宋" w:eastAsia="仿宋" w:cs="仿宋"/>
                <w:color w:val="auto"/>
                <w:highlight w:val="none"/>
              </w:rPr>
            </w:pPr>
            <w:r>
              <w:rPr>
                <w:rFonts w:hint="eastAsia" w:ascii="仿宋" w:hAnsi="仿宋" w:eastAsia="仿宋" w:cs="仿宋"/>
                <w:color w:val="auto"/>
                <w:highlight w:val="none"/>
              </w:rPr>
              <w:t>迟延交货赔偿费</w:t>
            </w:r>
          </w:p>
        </w:tc>
        <w:tc>
          <w:tcPr>
            <w:tcW w:w="5170" w:type="dxa"/>
            <w:noWrap/>
            <w:vAlign w:val="center"/>
          </w:tcPr>
          <w:p w14:paraId="4445E870">
            <w:pPr>
              <w:rPr>
                <w:rFonts w:ascii="仿宋" w:hAnsi="仿宋" w:eastAsia="仿宋" w:cs="仿宋"/>
                <w:color w:val="auto"/>
                <w:highlight w:val="none"/>
                <w:u w:val="single"/>
              </w:rPr>
            </w:pPr>
          </w:p>
        </w:tc>
      </w:tr>
      <w:tr w14:paraId="67980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63FE3CE9">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0E132DA8">
            <w:pPr>
              <w:jc w:val="center"/>
              <w:rPr>
                <w:rFonts w:ascii="仿宋" w:hAnsi="仿宋" w:eastAsia="仿宋" w:cs="仿宋"/>
                <w:color w:val="auto"/>
                <w:highlight w:val="none"/>
              </w:rPr>
            </w:pPr>
            <w:r>
              <w:rPr>
                <w:rFonts w:hint="eastAsia" w:ascii="仿宋" w:hAnsi="仿宋" w:eastAsia="仿宋" w:cs="仿宋"/>
                <w:color w:val="auto"/>
                <w:highlight w:val="none"/>
              </w:rPr>
              <w:t>第15.3款</w:t>
            </w:r>
          </w:p>
        </w:tc>
        <w:tc>
          <w:tcPr>
            <w:tcW w:w="1742" w:type="dxa"/>
            <w:noWrap/>
            <w:vAlign w:val="center"/>
          </w:tcPr>
          <w:p w14:paraId="4C225493">
            <w:pPr>
              <w:rPr>
                <w:rFonts w:ascii="仿宋" w:hAnsi="仿宋" w:eastAsia="仿宋" w:cs="仿宋"/>
                <w:color w:val="auto"/>
                <w:highlight w:val="none"/>
              </w:rPr>
            </w:pPr>
            <w:r>
              <w:rPr>
                <w:rFonts w:hint="eastAsia" w:ascii="仿宋" w:hAnsi="仿宋" w:eastAsia="仿宋" w:cs="仿宋"/>
                <w:color w:val="auto"/>
                <w:highlight w:val="none"/>
              </w:rPr>
              <w:t>逾期付款利息</w:t>
            </w:r>
          </w:p>
        </w:tc>
        <w:tc>
          <w:tcPr>
            <w:tcW w:w="5170" w:type="dxa"/>
            <w:noWrap/>
            <w:vAlign w:val="center"/>
          </w:tcPr>
          <w:p w14:paraId="313EDF2C">
            <w:pPr>
              <w:rPr>
                <w:rFonts w:ascii="仿宋" w:hAnsi="仿宋" w:eastAsia="仿宋" w:cs="仿宋"/>
                <w:color w:val="auto"/>
                <w:highlight w:val="none"/>
                <w:u w:val="single"/>
              </w:rPr>
            </w:pPr>
          </w:p>
        </w:tc>
      </w:tr>
      <w:tr w14:paraId="593FC1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ign w:val="center"/>
          </w:tcPr>
          <w:p w14:paraId="4C6EE210">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498C77A4">
            <w:pPr>
              <w:jc w:val="center"/>
              <w:rPr>
                <w:rFonts w:ascii="仿宋" w:hAnsi="仿宋" w:eastAsia="仿宋" w:cs="仿宋"/>
                <w:color w:val="auto"/>
                <w:highlight w:val="none"/>
              </w:rPr>
            </w:pPr>
            <w:r>
              <w:rPr>
                <w:rFonts w:hint="eastAsia" w:ascii="仿宋" w:hAnsi="仿宋" w:eastAsia="仿宋" w:cs="仿宋"/>
                <w:color w:val="auto"/>
                <w:highlight w:val="none"/>
              </w:rPr>
              <w:t>第15.4款</w:t>
            </w:r>
          </w:p>
        </w:tc>
        <w:tc>
          <w:tcPr>
            <w:tcW w:w="1742" w:type="dxa"/>
            <w:tcBorders>
              <w:left w:val="single" w:color="auto" w:sz="2" w:space="0"/>
              <w:bottom w:val="single" w:color="auto" w:sz="2" w:space="0"/>
              <w:right w:val="single" w:color="auto" w:sz="2" w:space="0"/>
            </w:tcBorders>
            <w:noWrap/>
            <w:vAlign w:val="center"/>
          </w:tcPr>
          <w:p w14:paraId="6B9F8389">
            <w:pPr>
              <w:rPr>
                <w:rFonts w:ascii="仿宋" w:hAnsi="仿宋" w:eastAsia="仿宋" w:cs="仿宋"/>
                <w:color w:val="auto"/>
                <w:highlight w:val="none"/>
              </w:rPr>
            </w:pPr>
            <w:r>
              <w:rPr>
                <w:rFonts w:hint="eastAsia" w:ascii="仿宋" w:hAnsi="仿宋" w:eastAsia="仿宋" w:cs="仿宋"/>
                <w:color w:val="auto"/>
                <w:highlight w:val="none"/>
              </w:rPr>
              <w:t>其他违约责任</w:t>
            </w:r>
          </w:p>
        </w:tc>
        <w:tc>
          <w:tcPr>
            <w:tcW w:w="5170" w:type="dxa"/>
            <w:tcBorders>
              <w:left w:val="single" w:color="auto" w:sz="2" w:space="0"/>
              <w:bottom w:val="single" w:color="auto" w:sz="2" w:space="0"/>
            </w:tcBorders>
            <w:noWrap/>
            <w:vAlign w:val="center"/>
          </w:tcPr>
          <w:p w14:paraId="143EA1B3">
            <w:pPr>
              <w:rPr>
                <w:rFonts w:ascii="仿宋" w:hAnsi="仿宋" w:eastAsia="仿宋" w:cs="仿宋"/>
                <w:color w:val="auto"/>
                <w:highlight w:val="none"/>
                <w:u w:val="single"/>
              </w:rPr>
            </w:pPr>
          </w:p>
        </w:tc>
      </w:tr>
      <w:tr w14:paraId="2600BA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ign w:val="center"/>
          </w:tcPr>
          <w:p w14:paraId="0F2A4D95">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0DD75EA3">
            <w:pPr>
              <w:jc w:val="center"/>
              <w:rPr>
                <w:rFonts w:ascii="仿宋" w:hAnsi="仿宋" w:eastAsia="仿宋" w:cs="仿宋"/>
                <w:color w:val="auto"/>
                <w:highlight w:val="none"/>
              </w:rPr>
            </w:pPr>
            <w:r>
              <w:rPr>
                <w:rFonts w:hint="eastAsia" w:ascii="仿宋" w:hAnsi="仿宋" w:eastAsia="仿宋" w:cs="仿宋"/>
                <w:color w:val="auto"/>
                <w:highlight w:val="none"/>
              </w:rPr>
              <w:t>第19.2款</w:t>
            </w:r>
          </w:p>
        </w:tc>
        <w:tc>
          <w:tcPr>
            <w:tcW w:w="1742" w:type="dxa"/>
            <w:tcBorders>
              <w:top w:val="single" w:color="auto" w:sz="2" w:space="0"/>
              <w:left w:val="single" w:color="auto" w:sz="2" w:space="0"/>
              <w:right w:val="single" w:color="auto" w:sz="2" w:space="0"/>
            </w:tcBorders>
            <w:noWrap/>
            <w:vAlign w:val="center"/>
          </w:tcPr>
          <w:p w14:paraId="051B652F">
            <w:pPr>
              <w:rPr>
                <w:rFonts w:ascii="仿宋" w:hAnsi="仿宋" w:eastAsia="仿宋" w:cs="仿宋"/>
                <w:color w:val="auto"/>
                <w:highlight w:val="none"/>
              </w:rPr>
            </w:pPr>
            <w:r>
              <w:rPr>
                <w:rFonts w:hint="eastAsia" w:ascii="仿宋" w:hAnsi="仿宋" w:eastAsia="仿宋" w:cs="仿宋"/>
                <w:color w:val="auto"/>
                <w:highlight w:val="none"/>
              </w:rPr>
              <w:t>解决争议的方法</w:t>
            </w:r>
          </w:p>
        </w:tc>
        <w:tc>
          <w:tcPr>
            <w:tcW w:w="5170" w:type="dxa"/>
            <w:tcBorders>
              <w:top w:val="single" w:color="auto" w:sz="2" w:space="0"/>
              <w:left w:val="single" w:color="auto" w:sz="2" w:space="0"/>
            </w:tcBorders>
            <w:noWrap/>
            <w:vAlign w:val="center"/>
          </w:tcPr>
          <w:p w14:paraId="2B774AB4">
            <w:pPr>
              <w:spacing w:line="400" w:lineRule="exact"/>
              <w:rPr>
                <w:rFonts w:ascii="仿宋" w:hAnsi="仿宋" w:eastAsia="仿宋" w:cs="仿宋"/>
                <w:iCs/>
                <w:color w:val="auto"/>
                <w:highlight w:val="none"/>
                <w:lang w:eastAsia="zh-CN"/>
              </w:rPr>
            </w:pPr>
            <w:r>
              <w:rPr>
                <w:rFonts w:hint="eastAsia" w:ascii="仿宋" w:hAnsi="仿宋" w:eastAsia="仿宋" w:cs="仿宋"/>
                <w:iCs/>
                <w:color w:val="auto"/>
                <w:highlight w:val="none"/>
                <w:lang w:eastAsia="zh-CN"/>
              </w:rPr>
              <w:t>因本合同及合同有关事项发生的争议，按下列第种方式解决：</w:t>
            </w:r>
          </w:p>
          <w:p w14:paraId="01A3C733">
            <w:pPr>
              <w:spacing w:line="400" w:lineRule="exact"/>
              <w:rPr>
                <w:rFonts w:ascii="仿宋" w:hAnsi="仿宋" w:eastAsia="仿宋" w:cs="仿宋"/>
                <w:iCs/>
                <w:color w:val="auto"/>
                <w:highlight w:val="none"/>
                <w:lang w:eastAsia="zh-CN"/>
              </w:rPr>
            </w:pPr>
            <w:r>
              <w:rPr>
                <w:rFonts w:hint="eastAsia" w:ascii="仿宋" w:hAnsi="仿宋" w:eastAsia="仿宋" w:cs="仿宋"/>
                <w:iCs/>
                <w:color w:val="auto"/>
                <w:highlight w:val="none"/>
                <w:lang w:eastAsia="zh-CN"/>
              </w:rPr>
              <w:t>（1）向仲裁委员会申请仲裁，仲裁地点为；</w:t>
            </w:r>
          </w:p>
          <w:p w14:paraId="351F76AA">
            <w:pPr>
              <w:rPr>
                <w:rFonts w:ascii="仿宋" w:hAnsi="仿宋" w:eastAsia="仿宋" w:cs="仿宋"/>
                <w:color w:val="auto"/>
                <w:highlight w:val="none"/>
                <w:u w:val="single"/>
                <w:lang w:eastAsia="zh-CN"/>
              </w:rPr>
            </w:pPr>
            <w:r>
              <w:rPr>
                <w:rFonts w:hint="eastAsia" w:ascii="仿宋" w:hAnsi="仿宋" w:eastAsia="仿宋" w:cs="仿宋"/>
                <w:iCs/>
                <w:color w:val="auto"/>
                <w:highlight w:val="none"/>
                <w:lang w:eastAsia="zh-CN"/>
              </w:rPr>
              <w:t>（2）向人民法院起诉。</w:t>
            </w:r>
          </w:p>
        </w:tc>
      </w:tr>
      <w:tr w14:paraId="55ECBF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ign w:val="center"/>
          </w:tcPr>
          <w:p w14:paraId="13F31421">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77445F26">
            <w:pPr>
              <w:jc w:val="center"/>
              <w:rPr>
                <w:rFonts w:ascii="仿宋" w:hAnsi="仿宋" w:eastAsia="仿宋" w:cs="仿宋"/>
                <w:color w:val="auto"/>
                <w:highlight w:val="none"/>
              </w:rPr>
            </w:pPr>
            <w:r>
              <w:rPr>
                <w:rFonts w:hint="eastAsia" w:ascii="仿宋" w:hAnsi="仿宋" w:eastAsia="仿宋" w:cs="仿宋"/>
                <w:color w:val="auto"/>
                <w:highlight w:val="none"/>
              </w:rPr>
              <w:t>第23.1款</w:t>
            </w:r>
          </w:p>
        </w:tc>
        <w:tc>
          <w:tcPr>
            <w:tcW w:w="1742" w:type="dxa"/>
            <w:noWrap/>
            <w:vAlign w:val="center"/>
          </w:tcPr>
          <w:p w14:paraId="230B0E76">
            <w:pPr>
              <w:rPr>
                <w:rFonts w:ascii="仿宋" w:hAnsi="仿宋" w:eastAsia="仿宋" w:cs="仿宋"/>
                <w:color w:val="auto"/>
                <w:highlight w:val="none"/>
              </w:rPr>
            </w:pPr>
            <w:r>
              <w:rPr>
                <w:rFonts w:hint="eastAsia" w:ascii="仿宋" w:hAnsi="仿宋" w:eastAsia="仿宋" w:cs="仿宋"/>
                <w:bCs/>
                <w:color w:val="auto"/>
                <w:highlight w:val="none"/>
              </w:rPr>
              <w:t>其他专用条款</w:t>
            </w:r>
          </w:p>
        </w:tc>
        <w:tc>
          <w:tcPr>
            <w:tcW w:w="5170" w:type="dxa"/>
            <w:noWrap/>
            <w:vAlign w:val="center"/>
          </w:tcPr>
          <w:p w14:paraId="55F81793">
            <w:pPr>
              <w:rPr>
                <w:rFonts w:ascii="仿宋" w:hAnsi="仿宋" w:eastAsia="仿宋" w:cs="仿宋"/>
                <w:color w:val="auto"/>
                <w:highlight w:val="none"/>
              </w:rPr>
            </w:pPr>
          </w:p>
        </w:tc>
      </w:tr>
    </w:tbl>
    <w:p w14:paraId="5C84C418">
      <w:pPr>
        <w:rPr>
          <w:rFonts w:ascii="仿宋" w:hAnsi="仿宋" w:eastAsia="仿宋" w:cs="仿宋"/>
          <w:color w:val="auto"/>
          <w:highlight w:val="none"/>
        </w:rPr>
      </w:pPr>
    </w:p>
    <w:p w14:paraId="37F07077">
      <w:pPr>
        <w:rPr>
          <w:rFonts w:ascii="仿宋" w:hAnsi="仿宋" w:eastAsia="仿宋" w:cs="仿宋"/>
          <w:color w:val="auto"/>
          <w:highlight w:val="none"/>
        </w:rPr>
      </w:pPr>
    </w:p>
    <w:p w14:paraId="455EB9BE">
      <w:pPr>
        <w:spacing w:line="360" w:lineRule="auto"/>
        <w:jc w:val="center"/>
        <w:outlineLvl w:val="1"/>
        <w:rPr>
          <w:rFonts w:ascii="仿宋" w:hAnsi="仿宋" w:eastAsia="仿宋" w:cs="仿宋"/>
          <w:b/>
          <w:color w:val="auto"/>
          <w:sz w:val="28"/>
          <w:szCs w:val="28"/>
          <w:highlight w:val="none"/>
        </w:rPr>
      </w:pPr>
    </w:p>
    <w:p w14:paraId="2611DA0B">
      <w:pPr>
        <w:spacing w:line="262" w:lineRule="auto"/>
        <w:rPr>
          <w:rFonts w:ascii="仿宋" w:hAnsi="仿宋" w:eastAsia="仿宋" w:cs="仿宋"/>
          <w:color w:val="auto"/>
          <w:highlight w:val="none"/>
          <w:lang w:eastAsia="zh-CN"/>
        </w:rPr>
      </w:pPr>
    </w:p>
    <w:p w14:paraId="5BB979DD">
      <w:pPr>
        <w:pStyle w:val="9"/>
        <w:pageBreakBefore/>
        <w:spacing w:before="140" w:line="226" w:lineRule="auto"/>
        <w:jc w:val="center"/>
        <w:outlineLvl w:val="0"/>
        <w:rPr>
          <w:rFonts w:ascii="仿宋" w:hAnsi="仿宋" w:eastAsia="仿宋" w:cs="仿宋"/>
          <w:b/>
          <w:bCs/>
          <w:color w:val="auto"/>
          <w:spacing w:val="4"/>
          <w:sz w:val="30"/>
          <w:szCs w:val="30"/>
          <w:highlight w:val="none"/>
          <w:lang w:eastAsia="zh-CN"/>
        </w:rPr>
      </w:pPr>
      <w:bookmarkStart w:id="402" w:name="bookmark238"/>
      <w:bookmarkEnd w:id="402"/>
      <w:bookmarkStart w:id="403" w:name="bookmark225"/>
      <w:bookmarkEnd w:id="403"/>
      <w:bookmarkStart w:id="404" w:name="bookmark226"/>
      <w:bookmarkEnd w:id="404"/>
      <w:bookmarkStart w:id="405" w:name="_Toc22784"/>
      <w:r>
        <w:rPr>
          <w:rFonts w:hint="eastAsia" w:ascii="仿宋" w:hAnsi="仿宋" w:eastAsia="仿宋" w:cs="仿宋"/>
          <w:b/>
          <w:bCs/>
          <w:color w:val="auto"/>
          <w:spacing w:val="4"/>
          <w:sz w:val="30"/>
          <w:szCs w:val="30"/>
          <w:highlight w:val="none"/>
          <w:lang w:eastAsia="zh-CN"/>
        </w:rPr>
        <w:t>第七章投标文件格式</w:t>
      </w:r>
      <w:bookmarkEnd w:id="405"/>
    </w:p>
    <w:p w14:paraId="184AE2F5">
      <w:pPr>
        <w:spacing w:line="256" w:lineRule="auto"/>
        <w:rPr>
          <w:rFonts w:ascii="仿宋" w:hAnsi="仿宋" w:eastAsia="仿宋" w:cs="仿宋"/>
          <w:color w:val="auto"/>
          <w:highlight w:val="none"/>
          <w:lang w:eastAsia="zh-CN"/>
        </w:rPr>
      </w:pPr>
    </w:p>
    <w:p w14:paraId="35E6653E">
      <w:pPr>
        <w:spacing w:before="78" w:line="221" w:lineRule="auto"/>
        <w:ind w:left="502"/>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封面：</w:t>
      </w:r>
    </w:p>
    <w:p w14:paraId="3CD5331B">
      <w:pPr>
        <w:spacing w:line="278" w:lineRule="auto"/>
        <w:rPr>
          <w:rFonts w:ascii="仿宋" w:hAnsi="仿宋" w:eastAsia="仿宋" w:cs="仿宋"/>
          <w:color w:val="auto"/>
          <w:highlight w:val="none"/>
          <w:lang w:eastAsia="zh-CN"/>
        </w:rPr>
      </w:pPr>
    </w:p>
    <w:p w14:paraId="746CAA2F">
      <w:pPr>
        <w:spacing w:line="279" w:lineRule="auto"/>
        <w:rPr>
          <w:rFonts w:ascii="仿宋" w:hAnsi="仿宋" w:eastAsia="仿宋" w:cs="仿宋"/>
          <w:color w:val="auto"/>
          <w:highlight w:val="none"/>
          <w:lang w:eastAsia="zh-CN"/>
        </w:rPr>
      </w:pPr>
    </w:p>
    <w:p w14:paraId="7C2376B6">
      <w:pPr>
        <w:spacing w:line="279" w:lineRule="auto"/>
        <w:rPr>
          <w:rFonts w:ascii="仿宋" w:hAnsi="仿宋" w:eastAsia="仿宋" w:cs="仿宋"/>
          <w:color w:val="auto"/>
          <w:highlight w:val="none"/>
          <w:lang w:eastAsia="zh-CN"/>
        </w:rPr>
      </w:pPr>
    </w:p>
    <w:p w14:paraId="22CD163E">
      <w:pPr>
        <w:spacing w:line="279" w:lineRule="auto"/>
        <w:rPr>
          <w:rFonts w:ascii="仿宋" w:hAnsi="仿宋" w:eastAsia="仿宋" w:cs="仿宋"/>
          <w:color w:val="auto"/>
          <w:highlight w:val="none"/>
          <w:lang w:eastAsia="zh-CN"/>
        </w:rPr>
      </w:pPr>
    </w:p>
    <w:p w14:paraId="68124E9F">
      <w:pPr>
        <w:spacing w:line="279" w:lineRule="auto"/>
        <w:rPr>
          <w:rFonts w:ascii="仿宋" w:hAnsi="仿宋" w:eastAsia="仿宋" w:cs="仿宋"/>
          <w:color w:val="auto"/>
          <w:highlight w:val="none"/>
          <w:lang w:eastAsia="zh-CN"/>
        </w:rPr>
      </w:pPr>
    </w:p>
    <w:p w14:paraId="09F873B6">
      <w:pPr>
        <w:spacing w:before="270" w:line="268" w:lineRule="auto"/>
        <w:ind w:right="-1"/>
        <w:jc w:val="center"/>
        <w:rPr>
          <w:rFonts w:ascii="仿宋" w:hAnsi="仿宋" w:eastAsia="仿宋" w:cs="仿宋"/>
          <w:b/>
          <w:bCs/>
          <w:color w:val="auto"/>
          <w:spacing w:val="-36"/>
          <w:sz w:val="83"/>
          <w:szCs w:val="83"/>
          <w:highlight w:val="none"/>
          <w:lang w:eastAsia="zh-CN"/>
        </w:rPr>
      </w:pPr>
      <w:r>
        <w:rPr>
          <w:rFonts w:hint="eastAsia" w:ascii="仿宋" w:hAnsi="仿宋" w:eastAsia="仿宋" w:cs="仿宋"/>
          <w:b/>
          <w:bCs/>
          <w:color w:val="auto"/>
          <w:spacing w:val="-36"/>
          <w:sz w:val="83"/>
          <w:szCs w:val="83"/>
          <w:highlight w:val="none"/>
          <w:lang w:eastAsia="zh-CN"/>
        </w:rPr>
        <w:t>投标文件</w:t>
      </w:r>
    </w:p>
    <w:p w14:paraId="5071E76A">
      <w:pPr>
        <w:spacing w:before="270" w:line="268" w:lineRule="auto"/>
        <w:ind w:right="-1"/>
        <w:jc w:val="center"/>
        <w:rPr>
          <w:rFonts w:ascii="仿宋" w:hAnsi="仿宋" w:eastAsia="仿宋" w:cs="仿宋"/>
          <w:b/>
          <w:bCs/>
          <w:color w:val="auto"/>
          <w:spacing w:val="-36"/>
          <w:sz w:val="56"/>
          <w:szCs w:val="56"/>
          <w:highlight w:val="none"/>
          <w:lang w:eastAsia="zh-CN"/>
        </w:rPr>
      </w:pPr>
      <w:r>
        <w:rPr>
          <w:rFonts w:hint="eastAsia" w:ascii="仿宋" w:hAnsi="仿宋" w:eastAsia="仿宋" w:cs="仿宋"/>
          <w:b/>
          <w:bCs/>
          <w:color w:val="auto"/>
          <w:spacing w:val="-36"/>
          <w:sz w:val="56"/>
          <w:szCs w:val="56"/>
          <w:highlight w:val="none"/>
          <w:lang w:eastAsia="zh-CN"/>
        </w:rPr>
        <w:t>资格证明文件</w:t>
      </w:r>
    </w:p>
    <w:p w14:paraId="3C82824B">
      <w:pPr>
        <w:spacing w:line="460" w:lineRule="auto"/>
        <w:rPr>
          <w:rFonts w:ascii="仿宋" w:hAnsi="仿宋" w:eastAsia="仿宋" w:cs="仿宋"/>
          <w:color w:val="auto"/>
          <w:highlight w:val="none"/>
          <w:lang w:eastAsia="zh-CN"/>
        </w:rPr>
      </w:pPr>
    </w:p>
    <w:p w14:paraId="75BE70FC">
      <w:pPr>
        <w:spacing w:before="114" w:line="224" w:lineRule="auto"/>
        <w:ind w:left="1134"/>
        <w:rPr>
          <w:rFonts w:ascii="仿宋" w:hAnsi="仿宋" w:eastAsia="仿宋" w:cs="仿宋"/>
          <w:color w:val="auto"/>
          <w:sz w:val="35"/>
          <w:szCs w:val="35"/>
          <w:highlight w:val="none"/>
          <w:lang w:eastAsia="zh-CN"/>
        </w:rPr>
      </w:pPr>
      <w:r>
        <w:rPr>
          <w:rFonts w:hint="eastAsia" w:ascii="仿宋" w:hAnsi="仿宋" w:eastAsia="仿宋" w:cs="仿宋"/>
          <w:color w:val="auto"/>
          <w:spacing w:val="8"/>
          <w:sz w:val="35"/>
          <w:szCs w:val="35"/>
          <w:highlight w:val="none"/>
          <w:lang w:eastAsia="zh-CN"/>
        </w:rPr>
        <w:t>（第</w:t>
      </w:r>
      <w:r>
        <w:rPr>
          <w:rFonts w:hint="eastAsia" w:ascii="仿宋" w:hAnsi="仿宋" w:eastAsia="仿宋" w:cs="仿宋"/>
          <w:color w:val="auto"/>
          <w:sz w:val="35"/>
          <w:szCs w:val="35"/>
          <w:highlight w:val="none"/>
          <w:lang w:eastAsia="zh-CN"/>
        </w:rPr>
        <w:t>XX</w:t>
      </w:r>
      <w:r>
        <w:rPr>
          <w:rFonts w:hint="eastAsia" w:ascii="仿宋" w:hAnsi="仿宋" w:eastAsia="仿宋" w:cs="仿宋"/>
          <w:color w:val="auto"/>
          <w:spacing w:val="8"/>
          <w:sz w:val="35"/>
          <w:szCs w:val="35"/>
          <w:highlight w:val="none"/>
          <w:lang w:eastAsia="zh-CN"/>
        </w:rPr>
        <w:t>包）【如不分包，请删去本行】</w:t>
      </w:r>
    </w:p>
    <w:p w14:paraId="7256B508">
      <w:pPr>
        <w:spacing w:line="241" w:lineRule="auto"/>
        <w:rPr>
          <w:rFonts w:ascii="仿宋" w:hAnsi="仿宋" w:eastAsia="仿宋" w:cs="仿宋"/>
          <w:color w:val="auto"/>
          <w:highlight w:val="none"/>
          <w:lang w:eastAsia="zh-CN"/>
        </w:rPr>
      </w:pPr>
    </w:p>
    <w:p w14:paraId="277B83ED">
      <w:pPr>
        <w:spacing w:line="241" w:lineRule="auto"/>
        <w:rPr>
          <w:rFonts w:ascii="仿宋" w:hAnsi="仿宋" w:eastAsia="仿宋" w:cs="仿宋"/>
          <w:color w:val="auto"/>
          <w:highlight w:val="none"/>
          <w:lang w:eastAsia="zh-CN"/>
        </w:rPr>
      </w:pPr>
    </w:p>
    <w:p w14:paraId="440CB0C2">
      <w:pPr>
        <w:spacing w:line="241" w:lineRule="auto"/>
        <w:rPr>
          <w:rFonts w:ascii="仿宋" w:hAnsi="仿宋" w:eastAsia="仿宋" w:cs="仿宋"/>
          <w:color w:val="auto"/>
          <w:highlight w:val="none"/>
          <w:lang w:eastAsia="zh-CN"/>
        </w:rPr>
      </w:pPr>
    </w:p>
    <w:p w14:paraId="5A5DEFFE">
      <w:pPr>
        <w:spacing w:line="241" w:lineRule="auto"/>
        <w:rPr>
          <w:rFonts w:ascii="仿宋" w:hAnsi="仿宋" w:eastAsia="仿宋" w:cs="仿宋"/>
          <w:color w:val="auto"/>
          <w:highlight w:val="none"/>
          <w:lang w:eastAsia="zh-CN"/>
        </w:rPr>
      </w:pPr>
    </w:p>
    <w:p w14:paraId="38F0F17A">
      <w:pPr>
        <w:spacing w:line="241" w:lineRule="auto"/>
        <w:rPr>
          <w:rFonts w:ascii="仿宋" w:hAnsi="仿宋" w:eastAsia="仿宋" w:cs="仿宋"/>
          <w:color w:val="auto"/>
          <w:highlight w:val="none"/>
          <w:lang w:eastAsia="zh-CN"/>
        </w:rPr>
      </w:pPr>
    </w:p>
    <w:p w14:paraId="43587311">
      <w:pPr>
        <w:spacing w:line="241" w:lineRule="auto"/>
        <w:rPr>
          <w:rFonts w:ascii="仿宋" w:hAnsi="仿宋" w:eastAsia="仿宋" w:cs="仿宋"/>
          <w:color w:val="auto"/>
          <w:highlight w:val="none"/>
          <w:lang w:eastAsia="zh-CN"/>
        </w:rPr>
      </w:pPr>
    </w:p>
    <w:p w14:paraId="10EF1510">
      <w:pPr>
        <w:spacing w:line="241" w:lineRule="auto"/>
        <w:rPr>
          <w:rFonts w:ascii="仿宋" w:hAnsi="仿宋" w:eastAsia="仿宋" w:cs="仿宋"/>
          <w:color w:val="auto"/>
          <w:highlight w:val="none"/>
          <w:lang w:eastAsia="zh-CN"/>
        </w:rPr>
      </w:pPr>
    </w:p>
    <w:p w14:paraId="68610629">
      <w:pPr>
        <w:spacing w:line="242" w:lineRule="auto"/>
        <w:rPr>
          <w:rFonts w:ascii="仿宋" w:hAnsi="仿宋" w:eastAsia="仿宋" w:cs="仿宋"/>
          <w:color w:val="auto"/>
          <w:highlight w:val="none"/>
          <w:lang w:eastAsia="zh-CN"/>
        </w:rPr>
      </w:pPr>
    </w:p>
    <w:p w14:paraId="7FF09482">
      <w:pPr>
        <w:pStyle w:val="9"/>
        <w:tabs>
          <w:tab w:val="left" w:pos="8364"/>
        </w:tabs>
        <w:spacing w:before="101"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项目编号：</w:t>
      </w:r>
      <w:r>
        <w:rPr>
          <w:rFonts w:hint="eastAsia" w:ascii="仿宋" w:hAnsi="仿宋" w:eastAsia="仿宋" w:cs="仿宋"/>
          <w:color w:val="auto"/>
          <w:highlight w:val="none"/>
          <w:u w:val="single"/>
          <w:lang w:eastAsia="zh-CN"/>
        </w:rPr>
        <w:tab/>
      </w:r>
    </w:p>
    <w:p w14:paraId="784B6CD3">
      <w:pPr>
        <w:pStyle w:val="9"/>
        <w:tabs>
          <w:tab w:val="left" w:pos="8364"/>
        </w:tabs>
        <w:spacing w:before="101"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项目名称：</w:t>
      </w:r>
      <w:r>
        <w:rPr>
          <w:rFonts w:hint="eastAsia" w:ascii="仿宋" w:hAnsi="仿宋" w:eastAsia="仿宋" w:cs="仿宋"/>
          <w:color w:val="auto"/>
          <w:highlight w:val="none"/>
          <w:u w:val="single"/>
          <w:lang w:eastAsia="zh-CN"/>
        </w:rPr>
        <w:tab/>
      </w:r>
    </w:p>
    <w:p w14:paraId="03DF8B89">
      <w:pPr>
        <w:pStyle w:val="9"/>
        <w:tabs>
          <w:tab w:val="left" w:pos="8364"/>
        </w:tabs>
        <w:spacing w:before="101" w:line="362" w:lineRule="auto"/>
        <w:ind w:left="443" w:right="14" w:firstLine="2"/>
        <w:jc w:val="both"/>
        <w:rPr>
          <w:rFonts w:ascii="仿宋" w:hAnsi="仿宋" w:eastAsia="仿宋" w:cs="仿宋"/>
          <w:color w:val="auto"/>
          <w:highlight w:val="none"/>
          <w:lang w:eastAsia="zh-CN"/>
        </w:rPr>
      </w:pPr>
      <w:r>
        <w:rPr>
          <w:rFonts w:hint="eastAsia" w:ascii="仿宋" w:hAnsi="仿宋" w:eastAsia="仿宋" w:cs="仿宋"/>
          <w:color w:val="auto"/>
          <w:spacing w:val="3"/>
          <w:highlight w:val="none"/>
          <w:lang w:eastAsia="zh-CN"/>
        </w:rPr>
        <w:t>投标人：</w:t>
      </w:r>
      <w:r>
        <w:rPr>
          <w:rFonts w:hint="eastAsia" w:ascii="仿宋" w:hAnsi="仿宋" w:eastAsia="仿宋" w:cs="仿宋"/>
          <w:color w:val="auto"/>
          <w:highlight w:val="none"/>
          <w:u w:val="single"/>
          <w:lang w:eastAsia="zh-CN"/>
        </w:rPr>
        <w:tab/>
      </w:r>
    </w:p>
    <w:p w14:paraId="4B0B974E">
      <w:pPr>
        <w:spacing w:line="258" w:lineRule="auto"/>
        <w:rPr>
          <w:rFonts w:ascii="仿宋" w:hAnsi="仿宋" w:eastAsia="仿宋" w:cs="仿宋"/>
          <w:color w:val="auto"/>
          <w:highlight w:val="none"/>
          <w:lang w:eastAsia="zh-CN"/>
        </w:rPr>
      </w:pPr>
    </w:p>
    <w:p w14:paraId="0C930CE0">
      <w:pPr>
        <w:spacing w:line="258" w:lineRule="auto"/>
        <w:rPr>
          <w:rFonts w:ascii="仿宋" w:hAnsi="仿宋" w:eastAsia="仿宋" w:cs="仿宋"/>
          <w:color w:val="auto"/>
          <w:highlight w:val="none"/>
          <w:lang w:eastAsia="zh-CN"/>
        </w:rPr>
      </w:pPr>
    </w:p>
    <w:p w14:paraId="510A8071">
      <w:pPr>
        <w:spacing w:line="258" w:lineRule="auto"/>
        <w:rPr>
          <w:rFonts w:ascii="仿宋" w:hAnsi="仿宋" w:eastAsia="仿宋" w:cs="仿宋"/>
          <w:color w:val="auto"/>
          <w:highlight w:val="none"/>
          <w:lang w:eastAsia="zh-CN"/>
        </w:rPr>
      </w:pPr>
    </w:p>
    <w:p w14:paraId="0DAE3371">
      <w:pPr>
        <w:spacing w:line="259" w:lineRule="auto"/>
        <w:rPr>
          <w:rFonts w:ascii="仿宋" w:hAnsi="仿宋" w:eastAsia="仿宋" w:cs="仿宋"/>
          <w:color w:val="auto"/>
          <w:highlight w:val="none"/>
          <w:lang w:eastAsia="zh-CN"/>
        </w:rPr>
      </w:pPr>
    </w:p>
    <w:p w14:paraId="668827C2">
      <w:pPr>
        <w:spacing w:line="259" w:lineRule="auto"/>
        <w:rPr>
          <w:rFonts w:ascii="仿宋" w:hAnsi="仿宋" w:eastAsia="仿宋" w:cs="仿宋"/>
          <w:color w:val="auto"/>
          <w:highlight w:val="none"/>
          <w:lang w:eastAsia="zh-CN"/>
        </w:rPr>
      </w:pPr>
    </w:p>
    <w:p w14:paraId="51AB71AC">
      <w:pPr>
        <w:pStyle w:val="9"/>
        <w:spacing w:before="100" w:line="228" w:lineRule="auto"/>
        <w:ind w:left="3140" w:firstLine="298" w:firstLineChars="100"/>
        <w:rPr>
          <w:rFonts w:ascii="仿宋" w:hAnsi="仿宋" w:eastAsia="仿宋" w:cs="仿宋"/>
          <w:color w:val="auto"/>
          <w:highlight w:val="none"/>
          <w:lang w:eastAsia="zh-CN"/>
        </w:rPr>
      </w:pPr>
      <w:r>
        <w:rPr>
          <w:rFonts w:hint="eastAsia" w:ascii="仿宋" w:hAnsi="仿宋" w:eastAsia="仿宋" w:cs="仿宋"/>
          <w:color w:val="auto"/>
          <w:spacing w:val="-6"/>
          <w:highlight w:val="none"/>
          <w:lang w:eastAsia="zh-CN"/>
        </w:rPr>
        <w:t>年月日</w:t>
      </w:r>
    </w:p>
    <w:p w14:paraId="5921CB09">
      <w:pPr>
        <w:spacing w:line="279" w:lineRule="auto"/>
        <w:rPr>
          <w:rFonts w:ascii="仿宋" w:hAnsi="仿宋" w:eastAsia="仿宋" w:cs="仿宋"/>
          <w:color w:val="auto"/>
          <w:highlight w:val="none"/>
          <w:lang w:eastAsia="zh-CN"/>
        </w:rPr>
      </w:pPr>
    </w:p>
    <w:p w14:paraId="5ADCA3EC">
      <w:pPr>
        <w:pageBreakBefore/>
        <w:spacing w:line="360" w:lineRule="auto"/>
        <w:ind w:left="28"/>
        <w:outlineLvl w:val="1"/>
        <w:rPr>
          <w:rFonts w:ascii="仿宋" w:hAnsi="仿宋" w:eastAsia="仿宋" w:cs="仿宋"/>
          <w:color w:val="auto"/>
          <w:sz w:val="31"/>
          <w:szCs w:val="31"/>
          <w:highlight w:val="none"/>
          <w:lang w:eastAsia="zh-CN"/>
        </w:rPr>
      </w:pPr>
      <w:bookmarkStart w:id="406" w:name="bookmark229"/>
      <w:bookmarkEnd w:id="406"/>
      <w:bookmarkStart w:id="407" w:name="bookmark237"/>
      <w:bookmarkEnd w:id="407"/>
      <w:bookmarkStart w:id="408" w:name="bookmark231"/>
      <w:bookmarkEnd w:id="408"/>
      <w:bookmarkStart w:id="409" w:name="bookmark228"/>
      <w:bookmarkEnd w:id="409"/>
      <w:bookmarkStart w:id="410" w:name="_Toc186477791"/>
      <w:bookmarkStart w:id="411" w:name="_Toc22475"/>
      <w:r>
        <w:rPr>
          <w:rFonts w:hint="eastAsia" w:ascii="仿宋" w:hAnsi="仿宋" w:eastAsia="仿宋" w:cs="仿宋"/>
          <w:b/>
          <w:bCs/>
          <w:color w:val="auto"/>
          <w:spacing w:val="7"/>
          <w:sz w:val="31"/>
          <w:szCs w:val="31"/>
          <w:highlight w:val="none"/>
          <w:lang w:eastAsia="zh-CN"/>
        </w:rPr>
        <w:t>一、满足《中华人民共和国政府采购法》第二十二条规定</w:t>
      </w:r>
      <w:bookmarkEnd w:id="410"/>
      <w:bookmarkEnd w:id="411"/>
    </w:p>
    <w:p w14:paraId="2CB940BB">
      <w:pPr>
        <w:spacing w:line="360" w:lineRule="auto"/>
        <w:rPr>
          <w:rFonts w:ascii="仿宋" w:hAnsi="仿宋" w:eastAsia="仿宋" w:cs="仿宋"/>
          <w:color w:val="auto"/>
          <w:highlight w:val="none"/>
          <w:lang w:eastAsia="zh-CN"/>
        </w:rPr>
      </w:pPr>
    </w:p>
    <w:p w14:paraId="7331E1CE">
      <w:pPr>
        <w:spacing w:line="360" w:lineRule="auto"/>
        <w:ind w:left="39"/>
        <w:outlineLvl w:val="2"/>
        <w:rPr>
          <w:rFonts w:ascii="仿宋" w:hAnsi="仿宋" w:eastAsia="仿宋" w:cs="仿宋"/>
          <w:color w:val="auto"/>
          <w:sz w:val="31"/>
          <w:szCs w:val="31"/>
          <w:highlight w:val="none"/>
          <w:lang w:eastAsia="zh-CN"/>
        </w:rPr>
      </w:pPr>
      <w:bookmarkStart w:id="412" w:name="bookmark232"/>
      <w:bookmarkEnd w:id="412"/>
      <w:bookmarkStart w:id="413" w:name="bookmark230"/>
      <w:bookmarkEnd w:id="413"/>
      <w:bookmarkStart w:id="414" w:name="_Toc186477792"/>
      <w:bookmarkStart w:id="415" w:name="_Toc1178"/>
      <w:r>
        <w:rPr>
          <w:rFonts w:hint="eastAsia" w:ascii="仿宋" w:hAnsi="仿宋" w:eastAsia="仿宋" w:cs="仿宋"/>
          <w:b/>
          <w:bCs/>
          <w:color w:val="auto"/>
          <w:spacing w:val="6"/>
          <w:sz w:val="31"/>
          <w:szCs w:val="31"/>
          <w:highlight w:val="none"/>
          <w:lang w:eastAsia="zh-CN"/>
        </w:rPr>
        <w:t>（一）法人、其他组织或者自然人的证明文件</w:t>
      </w:r>
      <w:bookmarkEnd w:id="414"/>
      <w:bookmarkEnd w:id="415"/>
    </w:p>
    <w:p w14:paraId="14E63A6B">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1、投标人为企业（包括合伙企业）的，应提供有效的“营业执照”；</w:t>
      </w:r>
    </w:p>
    <w:p w14:paraId="2D2889D3">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2、投标人为事业单位的，应提供有效的“事业单位法人证书”；</w:t>
      </w:r>
    </w:p>
    <w:p w14:paraId="212B9546">
      <w:pPr>
        <w:spacing w:line="360" w:lineRule="auto"/>
        <w:ind w:left="25" w:firstLine="482"/>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3、投标人为非企业机构的，应提供有效的“执业许可证”、“登记证书”</w:t>
      </w:r>
      <w:r>
        <w:rPr>
          <w:rFonts w:hint="eastAsia" w:ascii="仿宋" w:hAnsi="仿宋" w:eastAsia="仿宋" w:cs="仿宋"/>
          <w:color w:val="auto"/>
          <w:spacing w:val="-2"/>
          <w:sz w:val="24"/>
          <w:szCs w:val="24"/>
          <w:highlight w:val="none"/>
          <w:lang w:eastAsia="zh-CN"/>
        </w:rPr>
        <w:t>等证明文件；</w:t>
      </w:r>
    </w:p>
    <w:p w14:paraId="24323DFE">
      <w:pPr>
        <w:spacing w:line="360" w:lineRule="auto"/>
        <w:ind w:left="502"/>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4、投标人是个体工商户的，应提供有效的</w:t>
      </w:r>
      <w:r>
        <w:rPr>
          <w:rFonts w:hint="eastAsia" w:ascii="仿宋" w:hAnsi="仿宋" w:eastAsia="仿宋" w:cs="仿宋"/>
          <w:color w:val="auto"/>
          <w:spacing w:val="-1"/>
          <w:sz w:val="24"/>
          <w:szCs w:val="24"/>
          <w:highlight w:val="none"/>
          <w:lang w:eastAsia="zh-CN"/>
        </w:rPr>
        <w:t>“个体工商户营业执照”；</w:t>
      </w:r>
    </w:p>
    <w:p w14:paraId="0329C7BC">
      <w:pPr>
        <w:spacing w:line="360" w:lineRule="auto"/>
        <w:ind w:left="508"/>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5、投标人是自然人的，应提供有效的自然人身份证明。</w:t>
      </w:r>
    </w:p>
    <w:p w14:paraId="0604FCFC">
      <w:pPr>
        <w:pageBreakBefore/>
        <w:widowControl w:val="0"/>
        <w:spacing w:line="274" w:lineRule="auto"/>
        <w:rPr>
          <w:rFonts w:ascii="仿宋" w:hAnsi="仿宋" w:eastAsia="仿宋" w:cs="仿宋"/>
          <w:color w:val="auto"/>
          <w:highlight w:val="none"/>
          <w:lang w:eastAsia="zh-CN"/>
        </w:rPr>
      </w:pPr>
    </w:p>
    <w:p w14:paraId="68898720">
      <w:pPr>
        <w:spacing w:line="360" w:lineRule="auto"/>
        <w:ind w:left="39"/>
        <w:outlineLvl w:val="2"/>
        <w:rPr>
          <w:rFonts w:ascii="仿宋" w:hAnsi="仿宋" w:eastAsia="仿宋" w:cs="仿宋"/>
          <w:b/>
          <w:bCs/>
          <w:color w:val="auto"/>
          <w:spacing w:val="6"/>
          <w:sz w:val="31"/>
          <w:szCs w:val="31"/>
          <w:highlight w:val="none"/>
          <w:lang w:eastAsia="zh-CN"/>
        </w:rPr>
      </w:pPr>
      <w:bookmarkStart w:id="416" w:name="_Toc22412"/>
      <w:bookmarkStart w:id="417" w:name="_Toc186477793"/>
      <w:r>
        <w:rPr>
          <w:rFonts w:hint="eastAsia" w:ascii="仿宋" w:hAnsi="仿宋" w:eastAsia="仿宋" w:cs="仿宋"/>
          <w:b/>
          <w:bCs/>
          <w:color w:val="auto"/>
          <w:spacing w:val="6"/>
          <w:sz w:val="31"/>
          <w:szCs w:val="31"/>
          <w:highlight w:val="none"/>
          <w:lang w:eastAsia="zh-CN"/>
        </w:rPr>
        <w:t>（二）政府采购供应商信用承诺函</w:t>
      </w:r>
      <w:bookmarkEnd w:id="416"/>
      <w:bookmarkEnd w:id="417"/>
    </w:p>
    <w:p w14:paraId="3B3D1C29">
      <w:pPr>
        <w:spacing w:line="300" w:lineRule="auto"/>
        <w:ind w:left="39"/>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单位名称（自然人姓名</w:t>
      </w:r>
      <w:r>
        <w:rPr>
          <w:rFonts w:hint="eastAsia" w:ascii="仿宋" w:hAnsi="仿宋" w:eastAsia="仿宋" w:cs="仿宋"/>
          <w:color w:val="auto"/>
          <w:spacing w:val="3"/>
          <w:sz w:val="24"/>
          <w:szCs w:val="24"/>
          <w:highlight w:val="none"/>
          <w:lang w:eastAsia="zh-CN"/>
        </w:rPr>
        <w:t>）：</w:t>
      </w:r>
    </w:p>
    <w:p w14:paraId="1C3A9B78">
      <w:pPr>
        <w:spacing w:line="300" w:lineRule="auto"/>
        <w:ind w:left="39" w:right="4708"/>
        <w:rPr>
          <w:rFonts w:ascii="仿宋" w:hAnsi="仿宋" w:eastAsia="仿宋" w:cs="仿宋"/>
          <w:color w:val="auto"/>
          <w:spacing w:val="-25"/>
          <w:sz w:val="24"/>
          <w:szCs w:val="24"/>
          <w:highlight w:val="none"/>
          <w:lang w:eastAsia="zh-CN"/>
        </w:rPr>
      </w:pPr>
      <w:r>
        <w:rPr>
          <w:rFonts w:hint="eastAsia" w:ascii="仿宋" w:hAnsi="仿宋" w:eastAsia="仿宋" w:cs="仿宋"/>
          <w:color w:val="auto"/>
          <w:spacing w:val="-2"/>
          <w:sz w:val="24"/>
          <w:szCs w:val="24"/>
          <w:highlight w:val="none"/>
          <w:lang w:eastAsia="zh-CN"/>
        </w:rPr>
        <w:t>统一社会信用代码（身份证号码</w:t>
      </w:r>
      <w:r>
        <w:rPr>
          <w:rFonts w:hint="eastAsia" w:ascii="仿宋" w:hAnsi="仿宋" w:eastAsia="仿宋" w:cs="仿宋"/>
          <w:color w:val="auto"/>
          <w:spacing w:val="-25"/>
          <w:sz w:val="24"/>
          <w:szCs w:val="24"/>
          <w:highlight w:val="none"/>
          <w:lang w:eastAsia="zh-CN"/>
        </w:rPr>
        <w:t>）：</w:t>
      </w:r>
    </w:p>
    <w:p w14:paraId="4707C563">
      <w:pPr>
        <w:spacing w:line="300" w:lineRule="auto"/>
        <w:ind w:left="39" w:right="4708"/>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法定代表人（负责人</w:t>
      </w:r>
      <w:r>
        <w:rPr>
          <w:rFonts w:hint="eastAsia" w:ascii="仿宋" w:hAnsi="仿宋" w:eastAsia="仿宋" w:cs="仿宋"/>
          <w:color w:val="auto"/>
          <w:spacing w:val="3"/>
          <w:sz w:val="24"/>
          <w:szCs w:val="24"/>
          <w:highlight w:val="none"/>
          <w:lang w:eastAsia="zh-CN"/>
        </w:rPr>
        <w:t>）：</w:t>
      </w:r>
    </w:p>
    <w:p w14:paraId="72CDD201">
      <w:pPr>
        <w:spacing w:before="78" w:line="300" w:lineRule="auto"/>
        <w:ind w:left="40" w:leftChars="19" w:right="181" w:firstLine="458" w:firstLineChars="196"/>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我单位（本人）自愿参加本次政府采购活动，严格遵守《中</w:t>
      </w:r>
      <w:r>
        <w:rPr>
          <w:rFonts w:hint="eastAsia" w:ascii="仿宋" w:hAnsi="仿宋" w:eastAsia="仿宋" w:cs="仿宋"/>
          <w:color w:val="auto"/>
          <w:spacing w:val="-4"/>
          <w:sz w:val="24"/>
          <w:szCs w:val="24"/>
          <w:highlight w:val="none"/>
          <w:lang w:eastAsia="zh-CN"/>
        </w:rPr>
        <w:t>华人民共和国政</w:t>
      </w:r>
      <w:r>
        <w:rPr>
          <w:rFonts w:hint="eastAsia" w:ascii="仿宋" w:hAnsi="仿宋" w:eastAsia="仿宋" w:cs="仿宋"/>
          <w:color w:val="auto"/>
          <w:spacing w:val="-3"/>
          <w:sz w:val="24"/>
          <w:szCs w:val="24"/>
          <w:highlight w:val="none"/>
          <w:lang w:eastAsia="zh-CN"/>
        </w:rPr>
        <w:t>府采购法》及相关法律法规，坚守公开、公平、公正和诚实信用等原则，依法诚</w:t>
      </w:r>
      <w:r>
        <w:rPr>
          <w:rFonts w:hint="eastAsia" w:ascii="仿宋" w:hAnsi="仿宋" w:eastAsia="仿宋" w:cs="仿宋"/>
          <w:color w:val="auto"/>
          <w:spacing w:val="-1"/>
          <w:sz w:val="24"/>
          <w:szCs w:val="24"/>
          <w:highlight w:val="none"/>
          <w:lang w:eastAsia="zh-CN"/>
        </w:rPr>
        <w:t>信经营，并郑重承诺：</w:t>
      </w:r>
    </w:p>
    <w:p w14:paraId="57985F4C">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一、我单位（本人）符合《中华人民共和国政府采购法》第二十二条规定：</w:t>
      </w:r>
    </w:p>
    <w:p w14:paraId="52173E19">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（一）具有独立承担民事责任的能力;</w:t>
      </w:r>
    </w:p>
    <w:p w14:paraId="25407FD8">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（二）具有良好的商业信誉和健全的财务会计制度;</w:t>
      </w:r>
    </w:p>
    <w:p w14:paraId="0DBDF334">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（三）具有履行合同所必需的设备和专业技术能力;</w:t>
      </w:r>
    </w:p>
    <w:p w14:paraId="67E2D28C">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（四）有依法缴纳税收和社会保障资金的良好记录;</w:t>
      </w:r>
    </w:p>
    <w:p w14:paraId="4E717C8D">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（五）参加政府采购活动前三年内，在经营活动中没有重大违法记录;</w:t>
      </w:r>
    </w:p>
    <w:p w14:paraId="6BE4D631">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（六）符合法律、行政法规规定的其他条件。</w:t>
      </w:r>
    </w:p>
    <w:p w14:paraId="15C4FAD8">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二、我单位（本人）未被列入严重违法失信名单、失信被执行人名单、重大税收违法失信主体、政府采购严重违法失信行为记录名单。</w:t>
      </w:r>
    </w:p>
    <w:p w14:paraId="2E3A4185">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三、如果本公司（本人）有幸中标（成交），在合同签订之前，采购单位有权要求本公司（本人）提供资格证明材料原件进行核验。</w:t>
      </w:r>
    </w:p>
    <w:p w14:paraId="22E44FCC">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四、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D921324">
      <w:pPr>
        <w:spacing w:line="300" w:lineRule="auto"/>
        <w:ind w:left="39"/>
        <w:rPr>
          <w:rFonts w:ascii="仿宋" w:hAnsi="仿宋" w:eastAsia="仿宋" w:cs="仿宋"/>
          <w:color w:val="auto"/>
          <w:sz w:val="24"/>
          <w:szCs w:val="24"/>
          <w:highlight w:val="none"/>
          <w:lang w:eastAsia="zh-CN"/>
        </w:rPr>
      </w:pPr>
    </w:p>
    <w:p w14:paraId="0D835728">
      <w:pPr>
        <w:spacing w:before="78" w:line="300" w:lineRule="auto"/>
        <w:ind w:left="39"/>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供应商名称（公章</w:t>
      </w:r>
      <w:r>
        <w:rPr>
          <w:rFonts w:hint="eastAsia" w:ascii="仿宋" w:hAnsi="仿宋" w:eastAsia="仿宋" w:cs="仿宋"/>
          <w:color w:val="auto"/>
          <w:spacing w:val="2"/>
          <w:sz w:val="24"/>
          <w:szCs w:val="24"/>
          <w:highlight w:val="none"/>
          <w:lang w:eastAsia="zh-CN"/>
        </w:rPr>
        <w:t>）：</w:t>
      </w:r>
    </w:p>
    <w:p w14:paraId="4D671DB1">
      <w:pPr>
        <w:spacing w:line="300" w:lineRule="auto"/>
        <w:ind w:left="39" w:right="2206"/>
        <w:rPr>
          <w:rFonts w:ascii="仿宋" w:hAnsi="仿宋" w:eastAsia="仿宋" w:cs="仿宋"/>
          <w:color w:val="auto"/>
          <w:spacing w:val="-24"/>
          <w:sz w:val="24"/>
          <w:szCs w:val="24"/>
          <w:highlight w:val="none"/>
          <w:lang w:eastAsia="zh-CN"/>
        </w:rPr>
      </w:pPr>
      <w:r>
        <w:rPr>
          <w:rFonts w:hint="eastAsia" w:ascii="仿宋" w:hAnsi="仿宋" w:eastAsia="仿宋" w:cs="仿宋"/>
          <w:color w:val="auto"/>
          <w:spacing w:val="-1"/>
          <w:sz w:val="24"/>
          <w:szCs w:val="24"/>
          <w:highlight w:val="none"/>
          <w:lang w:eastAsia="zh-CN"/>
        </w:rPr>
        <w:t>法定代表人、负责人、本人、或授权代表（签字或盖章</w:t>
      </w:r>
      <w:r>
        <w:rPr>
          <w:rFonts w:hint="eastAsia" w:ascii="仿宋" w:hAnsi="仿宋" w:eastAsia="仿宋" w:cs="仿宋"/>
          <w:color w:val="auto"/>
          <w:spacing w:val="-24"/>
          <w:sz w:val="24"/>
          <w:szCs w:val="24"/>
          <w:highlight w:val="none"/>
          <w:lang w:eastAsia="zh-CN"/>
        </w:rPr>
        <w:t>）：</w:t>
      </w:r>
    </w:p>
    <w:p w14:paraId="3FD1B92E">
      <w:pPr>
        <w:spacing w:line="300" w:lineRule="auto"/>
        <w:ind w:left="39" w:right="2206"/>
        <w:rPr>
          <w:rFonts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日期：年月日</w:t>
      </w:r>
    </w:p>
    <w:p w14:paraId="24D08BE4">
      <w:pPr>
        <w:spacing w:line="360" w:lineRule="auto"/>
        <w:rPr>
          <w:rFonts w:ascii="仿宋" w:hAnsi="仿宋" w:eastAsia="仿宋" w:cs="仿宋"/>
          <w:color w:val="auto"/>
          <w:sz w:val="24"/>
          <w:szCs w:val="24"/>
          <w:highlight w:val="none"/>
          <w:lang w:eastAsia="zh-CN"/>
        </w:rPr>
      </w:pPr>
    </w:p>
    <w:p w14:paraId="468923D4">
      <w:pPr>
        <w:spacing w:line="360" w:lineRule="auto"/>
        <w:rPr>
          <w:rFonts w:ascii="仿宋" w:hAnsi="仿宋" w:eastAsia="仿宋" w:cs="仿宋"/>
          <w:color w:val="auto"/>
          <w:sz w:val="24"/>
          <w:szCs w:val="24"/>
          <w:highlight w:val="none"/>
          <w:lang w:eastAsia="zh-CN"/>
        </w:rPr>
      </w:pPr>
    </w:p>
    <w:p w14:paraId="0AA7442E">
      <w:pPr>
        <w:spacing w:line="273" w:lineRule="auto"/>
        <w:rPr>
          <w:rFonts w:ascii="仿宋" w:hAnsi="仿宋" w:eastAsia="仿宋" w:cs="仿宋"/>
          <w:color w:val="auto"/>
          <w:highlight w:val="none"/>
          <w:lang w:eastAsia="zh-CN"/>
        </w:rPr>
      </w:pPr>
    </w:p>
    <w:p w14:paraId="71C494CB">
      <w:pPr>
        <w:pageBreakBefore/>
        <w:spacing w:line="360" w:lineRule="auto"/>
        <w:ind w:left="153"/>
        <w:outlineLvl w:val="1"/>
        <w:rPr>
          <w:rFonts w:ascii="仿宋" w:hAnsi="仿宋" w:eastAsia="仿宋" w:cs="仿宋"/>
          <w:color w:val="auto"/>
          <w:sz w:val="24"/>
          <w:szCs w:val="24"/>
          <w:highlight w:val="none"/>
          <w:lang w:eastAsia="zh-CN"/>
        </w:rPr>
      </w:pPr>
      <w:bookmarkStart w:id="418" w:name="bookmark240"/>
      <w:bookmarkEnd w:id="418"/>
      <w:bookmarkStart w:id="419" w:name="bookmark235"/>
      <w:bookmarkEnd w:id="419"/>
      <w:bookmarkStart w:id="420" w:name="_Toc186477799"/>
      <w:bookmarkStart w:id="421" w:name="_Toc24591"/>
      <w:r>
        <w:rPr>
          <w:rFonts w:hint="eastAsia" w:ascii="仿宋" w:hAnsi="仿宋" w:eastAsia="仿宋" w:cs="仿宋"/>
          <w:b/>
          <w:bCs/>
          <w:color w:val="auto"/>
          <w:spacing w:val="5"/>
          <w:sz w:val="24"/>
          <w:szCs w:val="24"/>
          <w:highlight w:val="none"/>
          <w:lang w:eastAsia="zh-CN"/>
        </w:rPr>
        <w:t>二、落实政府采购政策相关证明文件</w:t>
      </w:r>
      <w:bookmarkEnd w:id="420"/>
      <w:bookmarkEnd w:id="421"/>
    </w:p>
    <w:p w14:paraId="79B035FA">
      <w:pPr>
        <w:spacing w:line="360" w:lineRule="auto"/>
        <w:ind w:left="137"/>
        <w:outlineLvl w:val="2"/>
        <w:rPr>
          <w:rFonts w:ascii="仿宋" w:hAnsi="仿宋" w:eastAsia="仿宋" w:cs="仿宋"/>
          <w:color w:val="auto"/>
          <w:sz w:val="24"/>
          <w:szCs w:val="24"/>
          <w:highlight w:val="none"/>
          <w:lang w:eastAsia="zh-CN"/>
        </w:rPr>
      </w:pPr>
      <w:bookmarkStart w:id="422" w:name="bookmark239"/>
      <w:bookmarkEnd w:id="422"/>
      <w:bookmarkStart w:id="423" w:name="_Toc26953"/>
      <w:bookmarkStart w:id="424" w:name="_Toc186477800"/>
      <w:r>
        <w:rPr>
          <w:rFonts w:hint="eastAsia" w:ascii="仿宋" w:hAnsi="仿宋" w:eastAsia="仿宋" w:cs="仿宋"/>
          <w:b/>
          <w:bCs/>
          <w:color w:val="auto"/>
          <w:spacing w:val="-3"/>
          <w:sz w:val="24"/>
          <w:szCs w:val="24"/>
          <w:highlight w:val="none"/>
          <w:lang w:eastAsia="zh-CN"/>
        </w:rPr>
        <w:t>（一）节能环保产品清单及证明材料</w:t>
      </w:r>
      <w:r>
        <w:rPr>
          <w:rFonts w:hint="eastAsia" w:ascii="仿宋" w:hAnsi="仿宋" w:eastAsia="仿宋" w:cs="仿宋"/>
          <w:color w:val="auto"/>
          <w:spacing w:val="-3"/>
          <w:sz w:val="24"/>
          <w:szCs w:val="24"/>
          <w:highlight w:val="none"/>
          <w:lang w:eastAsia="zh-CN"/>
        </w:rPr>
        <w:t>【如适用】</w:t>
      </w:r>
      <w:bookmarkEnd w:id="423"/>
      <w:bookmarkEnd w:id="424"/>
    </w:p>
    <w:p w14:paraId="61A5F9AC">
      <w:pPr>
        <w:spacing w:line="360" w:lineRule="auto"/>
        <w:ind w:left="12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项目名称：项目编号：包号：</w:t>
      </w:r>
    </w:p>
    <w:p w14:paraId="07BA0908">
      <w:pPr>
        <w:spacing w:line="360" w:lineRule="auto"/>
        <w:ind w:left="138"/>
        <w:rPr>
          <w:rFonts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1）节能产品</w:t>
      </w:r>
    </w:p>
    <w:p w14:paraId="03CD5F9F">
      <w:pPr>
        <w:spacing w:line="28" w:lineRule="exact"/>
        <w:rPr>
          <w:rFonts w:ascii="仿宋" w:hAnsi="仿宋" w:eastAsia="仿宋" w:cs="仿宋"/>
          <w:color w:val="auto"/>
          <w:highlight w:val="none"/>
        </w:rPr>
      </w:pPr>
    </w:p>
    <w:tbl>
      <w:tblPr>
        <w:tblStyle w:val="20"/>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61"/>
        <w:gridCol w:w="1517"/>
        <w:gridCol w:w="992"/>
        <w:gridCol w:w="991"/>
        <w:gridCol w:w="698"/>
        <w:gridCol w:w="708"/>
        <w:gridCol w:w="1133"/>
        <w:gridCol w:w="1096"/>
        <w:gridCol w:w="1054"/>
      </w:tblGrid>
      <w:tr w14:paraId="7267D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69" w:hRule="atLeast"/>
        </w:trPr>
        <w:tc>
          <w:tcPr>
            <w:tcW w:w="761" w:type="dxa"/>
          </w:tcPr>
          <w:p w14:paraId="0531D606">
            <w:pPr>
              <w:pStyle w:val="28"/>
              <w:spacing w:before="78" w:line="221" w:lineRule="auto"/>
              <w:ind w:left="116"/>
              <w:rPr>
                <w:rFonts w:ascii="仿宋" w:hAnsi="仿宋" w:eastAsia="仿宋" w:cs="仿宋"/>
                <w:color w:val="auto"/>
                <w:highlight w:val="none"/>
              </w:rPr>
            </w:pPr>
            <w:r>
              <w:rPr>
                <w:rFonts w:hint="eastAsia" w:ascii="仿宋" w:hAnsi="仿宋" w:eastAsia="仿宋" w:cs="仿宋"/>
                <w:color w:val="auto"/>
                <w:spacing w:val="-5"/>
                <w:highlight w:val="none"/>
              </w:rPr>
              <w:t>序号</w:t>
            </w:r>
          </w:p>
        </w:tc>
        <w:tc>
          <w:tcPr>
            <w:tcW w:w="1517" w:type="dxa"/>
          </w:tcPr>
          <w:p w14:paraId="05A58494">
            <w:pPr>
              <w:pStyle w:val="28"/>
              <w:spacing w:before="78" w:line="221" w:lineRule="auto"/>
              <w:ind w:left="116"/>
              <w:rPr>
                <w:rFonts w:ascii="仿宋" w:hAnsi="仿宋" w:eastAsia="仿宋" w:cs="仿宋"/>
                <w:color w:val="auto"/>
                <w:highlight w:val="none"/>
              </w:rPr>
            </w:pPr>
            <w:r>
              <w:rPr>
                <w:rFonts w:hint="eastAsia" w:ascii="仿宋" w:hAnsi="仿宋" w:eastAsia="仿宋" w:cs="仿宋"/>
                <w:color w:val="auto"/>
                <w:spacing w:val="-4"/>
                <w:highlight w:val="none"/>
              </w:rPr>
              <w:t>设备名称</w:t>
            </w:r>
          </w:p>
        </w:tc>
        <w:tc>
          <w:tcPr>
            <w:tcW w:w="992" w:type="dxa"/>
          </w:tcPr>
          <w:p w14:paraId="6E2D15D3">
            <w:pPr>
              <w:pStyle w:val="28"/>
              <w:spacing w:before="78" w:line="231" w:lineRule="auto"/>
              <w:ind w:left="116" w:right="162" w:hanging="1"/>
              <w:rPr>
                <w:rFonts w:ascii="仿宋" w:hAnsi="仿宋" w:eastAsia="仿宋" w:cs="仿宋"/>
                <w:color w:val="auto"/>
                <w:highlight w:val="none"/>
              </w:rPr>
            </w:pPr>
            <w:r>
              <w:rPr>
                <w:rFonts w:hint="eastAsia" w:ascii="仿宋" w:hAnsi="仿宋" w:eastAsia="仿宋" w:cs="仿宋"/>
                <w:color w:val="auto"/>
                <w:spacing w:val="-4"/>
                <w:highlight w:val="none"/>
              </w:rPr>
              <w:t>制造商</w:t>
            </w:r>
            <w:r>
              <w:rPr>
                <w:rFonts w:hint="eastAsia" w:ascii="仿宋" w:hAnsi="仿宋" w:eastAsia="仿宋" w:cs="仿宋"/>
                <w:color w:val="auto"/>
                <w:spacing w:val="-7"/>
                <w:highlight w:val="none"/>
              </w:rPr>
              <w:t>名称</w:t>
            </w:r>
          </w:p>
        </w:tc>
        <w:tc>
          <w:tcPr>
            <w:tcW w:w="991" w:type="dxa"/>
          </w:tcPr>
          <w:p w14:paraId="79073D13">
            <w:pPr>
              <w:pStyle w:val="28"/>
              <w:spacing w:before="78" w:line="219" w:lineRule="auto"/>
              <w:ind w:left="135"/>
              <w:rPr>
                <w:rFonts w:ascii="仿宋" w:hAnsi="仿宋" w:eastAsia="仿宋" w:cs="仿宋"/>
                <w:color w:val="auto"/>
                <w:highlight w:val="none"/>
              </w:rPr>
            </w:pPr>
            <w:r>
              <w:rPr>
                <w:rFonts w:hint="eastAsia" w:ascii="仿宋" w:hAnsi="仿宋" w:eastAsia="仿宋" w:cs="仿宋"/>
                <w:color w:val="auto"/>
                <w:spacing w:val="-15"/>
                <w:highlight w:val="none"/>
              </w:rPr>
              <w:t>品牌</w:t>
            </w:r>
          </w:p>
        </w:tc>
        <w:tc>
          <w:tcPr>
            <w:tcW w:w="698" w:type="dxa"/>
          </w:tcPr>
          <w:p w14:paraId="441F001E">
            <w:pPr>
              <w:pStyle w:val="28"/>
              <w:spacing w:before="78" w:line="221" w:lineRule="auto"/>
              <w:ind w:left="123"/>
              <w:rPr>
                <w:rFonts w:ascii="仿宋" w:hAnsi="仿宋" w:eastAsia="仿宋" w:cs="仿宋"/>
                <w:color w:val="auto"/>
                <w:highlight w:val="none"/>
              </w:rPr>
            </w:pPr>
            <w:r>
              <w:rPr>
                <w:rFonts w:hint="eastAsia" w:ascii="仿宋" w:hAnsi="仿宋" w:eastAsia="仿宋" w:cs="仿宋"/>
                <w:color w:val="auto"/>
                <w:spacing w:val="-9"/>
                <w:highlight w:val="none"/>
              </w:rPr>
              <w:t>型号</w:t>
            </w:r>
          </w:p>
        </w:tc>
        <w:tc>
          <w:tcPr>
            <w:tcW w:w="708" w:type="dxa"/>
          </w:tcPr>
          <w:p w14:paraId="4C9ABBD1">
            <w:pPr>
              <w:pStyle w:val="28"/>
              <w:spacing w:before="78" w:line="219" w:lineRule="auto"/>
              <w:ind w:left="116"/>
              <w:rPr>
                <w:rFonts w:ascii="仿宋" w:hAnsi="仿宋" w:eastAsia="仿宋" w:cs="仿宋"/>
                <w:color w:val="auto"/>
                <w:highlight w:val="none"/>
              </w:rPr>
            </w:pPr>
            <w:r>
              <w:rPr>
                <w:rFonts w:hint="eastAsia" w:ascii="仿宋" w:hAnsi="仿宋" w:eastAsia="仿宋" w:cs="仿宋"/>
                <w:color w:val="auto"/>
                <w:spacing w:val="-6"/>
                <w:highlight w:val="none"/>
              </w:rPr>
              <w:t>数量</w:t>
            </w:r>
          </w:p>
        </w:tc>
        <w:tc>
          <w:tcPr>
            <w:tcW w:w="1133" w:type="dxa"/>
          </w:tcPr>
          <w:p w14:paraId="7CC59D94">
            <w:pPr>
              <w:pStyle w:val="28"/>
              <w:spacing w:before="78" w:line="218" w:lineRule="auto"/>
              <w:ind w:left="116"/>
              <w:rPr>
                <w:rFonts w:ascii="仿宋" w:hAnsi="仿宋" w:eastAsia="仿宋" w:cs="仿宋"/>
                <w:color w:val="auto"/>
                <w:highlight w:val="none"/>
              </w:rPr>
            </w:pPr>
            <w:r>
              <w:rPr>
                <w:rFonts w:hint="eastAsia" w:ascii="仿宋" w:hAnsi="仿宋" w:eastAsia="仿宋" w:cs="仿宋"/>
                <w:color w:val="auto"/>
                <w:spacing w:val="-6"/>
                <w:highlight w:val="none"/>
              </w:rPr>
              <w:t>单价</w:t>
            </w:r>
          </w:p>
          <w:p w14:paraId="11E8CC37">
            <w:pPr>
              <w:pStyle w:val="28"/>
              <w:spacing w:before="28" w:line="220" w:lineRule="auto"/>
              <w:ind w:left="125"/>
              <w:rPr>
                <w:rFonts w:ascii="仿宋" w:hAnsi="仿宋" w:eastAsia="仿宋" w:cs="仿宋"/>
                <w:color w:val="auto"/>
                <w:highlight w:val="none"/>
              </w:rPr>
            </w:pPr>
            <w:r>
              <w:rPr>
                <w:rFonts w:hint="eastAsia" w:ascii="仿宋" w:hAnsi="仿宋" w:eastAsia="仿宋" w:cs="仿宋"/>
                <w:color w:val="auto"/>
                <w:spacing w:val="-6"/>
                <w:highlight w:val="none"/>
              </w:rPr>
              <w:t>（万元）</w:t>
            </w:r>
          </w:p>
        </w:tc>
        <w:tc>
          <w:tcPr>
            <w:tcW w:w="1096" w:type="dxa"/>
          </w:tcPr>
          <w:p w14:paraId="379CE871">
            <w:pPr>
              <w:pStyle w:val="28"/>
              <w:spacing w:before="78" w:line="218" w:lineRule="auto"/>
              <w:ind w:left="122"/>
              <w:rPr>
                <w:rFonts w:ascii="仿宋" w:hAnsi="仿宋" w:eastAsia="仿宋" w:cs="仿宋"/>
                <w:color w:val="auto"/>
                <w:highlight w:val="none"/>
              </w:rPr>
            </w:pPr>
            <w:r>
              <w:rPr>
                <w:rFonts w:hint="eastAsia" w:ascii="仿宋" w:hAnsi="仿宋" w:eastAsia="仿宋" w:cs="仿宋"/>
                <w:color w:val="auto"/>
                <w:spacing w:val="-8"/>
                <w:highlight w:val="none"/>
              </w:rPr>
              <w:t>总价</w:t>
            </w:r>
          </w:p>
          <w:p w14:paraId="37083796">
            <w:pPr>
              <w:pStyle w:val="28"/>
              <w:spacing w:before="28" w:line="220" w:lineRule="auto"/>
              <w:ind w:left="127"/>
              <w:rPr>
                <w:rFonts w:ascii="仿宋" w:hAnsi="仿宋" w:eastAsia="仿宋" w:cs="仿宋"/>
                <w:color w:val="auto"/>
                <w:highlight w:val="none"/>
              </w:rPr>
            </w:pPr>
            <w:r>
              <w:rPr>
                <w:rFonts w:hint="eastAsia" w:ascii="仿宋" w:hAnsi="仿宋" w:eastAsia="仿宋" w:cs="仿宋"/>
                <w:color w:val="auto"/>
                <w:spacing w:val="-6"/>
                <w:highlight w:val="none"/>
              </w:rPr>
              <w:t>（万元）</w:t>
            </w:r>
          </w:p>
        </w:tc>
        <w:tc>
          <w:tcPr>
            <w:tcW w:w="1054" w:type="dxa"/>
          </w:tcPr>
          <w:p w14:paraId="5093F877">
            <w:pPr>
              <w:pStyle w:val="28"/>
              <w:spacing w:before="99" w:line="235" w:lineRule="auto"/>
              <w:ind w:left="115" w:right="221" w:firstLine="3"/>
              <w:jc w:val="both"/>
              <w:rPr>
                <w:rFonts w:ascii="仿宋" w:hAnsi="仿宋" w:eastAsia="仿宋" w:cs="仿宋"/>
                <w:color w:val="auto"/>
                <w:highlight w:val="none"/>
                <w:lang w:eastAsia="zh-CN"/>
              </w:rPr>
            </w:pPr>
            <w:r>
              <w:rPr>
                <w:rFonts w:hint="eastAsia" w:ascii="仿宋" w:hAnsi="仿宋" w:eastAsia="仿宋" w:cs="仿宋"/>
                <w:color w:val="auto"/>
                <w:spacing w:val="-4"/>
                <w:highlight w:val="none"/>
                <w:lang w:eastAsia="zh-CN"/>
              </w:rPr>
              <w:t>属强制</w:t>
            </w:r>
            <w:r>
              <w:rPr>
                <w:rFonts w:hint="eastAsia" w:ascii="仿宋" w:hAnsi="仿宋" w:eastAsia="仿宋" w:cs="仿宋"/>
                <w:color w:val="auto"/>
                <w:spacing w:val="-3"/>
                <w:highlight w:val="none"/>
                <w:lang w:eastAsia="zh-CN"/>
              </w:rPr>
              <w:t>采购或优先采</w:t>
            </w:r>
            <w:r>
              <w:rPr>
                <w:rFonts w:hint="eastAsia" w:ascii="仿宋" w:hAnsi="仿宋" w:eastAsia="仿宋" w:cs="仿宋"/>
                <w:color w:val="auto"/>
                <w:highlight w:val="none"/>
                <w:lang w:eastAsia="zh-CN"/>
              </w:rPr>
              <w:t>购</w:t>
            </w:r>
          </w:p>
        </w:tc>
      </w:tr>
      <w:tr w14:paraId="5CBA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61" w:type="dxa"/>
          </w:tcPr>
          <w:p w14:paraId="47C06A64">
            <w:pPr>
              <w:pStyle w:val="28"/>
              <w:spacing w:before="204" w:line="184" w:lineRule="auto"/>
              <w:ind w:left="134"/>
              <w:rPr>
                <w:rFonts w:ascii="仿宋" w:hAnsi="仿宋" w:eastAsia="仿宋" w:cs="仿宋"/>
                <w:color w:val="auto"/>
                <w:highlight w:val="none"/>
              </w:rPr>
            </w:pPr>
            <w:r>
              <w:rPr>
                <w:rFonts w:hint="eastAsia" w:ascii="仿宋" w:hAnsi="仿宋" w:eastAsia="仿宋" w:cs="仿宋"/>
                <w:color w:val="auto"/>
                <w:highlight w:val="none"/>
              </w:rPr>
              <w:t>1</w:t>
            </w:r>
          </w:p>
        </w:tc>
        <w:tc>
          <w:tcPr>
            <w:tcW w:w="1517" w:type="dxa"/>
          </w:tcPr>
          <w:p w14:paraId="26A98464">
            <w:pPr>
              <w:rPr>
                <w:rFonts w:ascii="仿宋" w:hAnsi="仿宋" w:eastAsia="仿宋" w:cs="仿宋"/>
                <w:color w:val="auto"/>
                <w:highlight w:val="none"/>
              </w:rPr>
            </w:pPr>
          </w:p>
        </w:tc>
        <w:tc>
          <w:tcPr>
            <w:tcW w:w="992" w:type="dxa"/>
          </w:tcPr>
          <w:p w14:paraId="3AA205BB">
            <w:pPr>
              <w:rPr>
                <w:rFonts w:ascii="仿宋" w:hAnsi="仿宋" w:eastAsia="仿宋" w:cs="仿宋"/>
                <w:color w:val="auto"/>
                <w:highlight w:val="none"/>
              </w:rPr>
            </w:pPr>
          </w:p>
        </w:tc>
        <w:tc>
          <w:tcPr>
            <w:tcW w:w="991" w:type="dxa"/>
          </w:tcPr>
          <w:p w14:paraId="1B8D7AA0">
            <w:pPr>
              <w:rPr>
                <w:rFonts w:ascii="仿宋" w:hAnsi="仿宋" w:eastAsia="仿宋" w:cs="仿宋"/>
                <w:color w:val="auto"/>
                <w:highlight w:val="none"/>
              </w:rPr>
            </w:pPr>
          </w:p>
        </w:tc>
        <w:tc>
          <w:tcPr>
            <w:tcW w:w="698" w:type="dxa"/>
          </w:tcPr>
          <w:p w14:paraId="3FCB094B">
            <w:pPr>
              <w:rPr>
                <w:rFonts w:ascii="仿宋" w:hAnsi="仿宋" w:eastAsia="仿宋" w:cs="仿宋"/>
                <w:color w:val="auto"/>
                <w:highlight w:val="none"/>
              </w:rPr>
            </w:pPr>
          </w:p>
        </w:tc>
        <w:tc>
          <w:tcPr>
            <w:tcW w:w="708" w:type="dxa"/>
          </w:tcPr>
          <w:p w14:paraId="1C7BCB2B">
            <w:pPr>
              <w:rPr>
                <w:rFonts w:ascii="仿宋" w:hAnsi="仿宋" w:eastAsia="仿宋" w:cs="仿宋"/>
                <w:color w:val="auto"/>
                <w:highlight w:val="none"/>
              </w:rPr>
            </w:pPr>
          </w:p>
        </w:tc>
        <w:tc>
          <w:tcPr>
            <w:tcW w:w="1133" w:type="dxa"/>
          </w:tcPr>
          <w:p w14:paraId="6EC4B7E8">
            <w:pPr>
              <w:rPr>
                <w:rFonts w:ascii="仿宋" w:hAnsi="仿宋" w:eastAsia="仿宋" w:cs="仿宋"/>
                <w:color w:val="auto"/>
                <w:highlight w:val="none"/>
              </w:rPr>
            </w:pPr>
          </w:p>
        </w:tc>
        <w:tc>
          <w:tcPr>
            <w:tcW w:w="1096" w:type="dxa"/>
          </w:tcPr>
          <w:p w14:paraId="32D2ADB3">
            <w:pPr>
              <w:rPr>
                <w:rFonts w:ascii="仿宋" w:hAnsi="仿宋" w:eastAsia="仿宋" w:cs="仿宋"/>
                <w:color w:val="auto"/>
                <w:highlight w:val="none"/>
              </w:rPr>
            </w:pPr>
          </w:p>
        </w:tc>
        <w:tc>
          <w:tcPr>
            <w:tcW w:w="1054" w:type="dxa"/>
          </w:tcPr>
          <w:p w14:paraId="6DC2EF73">
            <w:pPr>
              <w:rPr>
                <w:rFonts w:ascii="仿宋" w:hAnsi="仿宋" w:eastAsia="仿宋" w:cs="仿宋"/>
                <w:color w:val="auto"/>
                <w:highlight w:val="none"/>
              </w:rPr>
            </w:pPr>
          </w:p>
        </w:tc>
      </w:tr>
      <w:tr w14:paraId="0F48D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61" w:type="dxa"/>
          </w:tcPr>
          <w:p w14:paraId="77C63A52">
            <w:pPr>
              <w:pStyle w:val="28"/>
              <w:spacing w:before="207" w:line="183" w:lineRule="auto"/>
              <w:ind w:left="120"/>
              <w:rPr>
                <w:rFonts w:ascii="仿宋" w:hAnsi="仿宋" w:eastAsia="仿宋" w:cs="仿宋"/>
                <w:color w:val="auto"/>
                <w:highlight w:val="none"/>
              </w:rPr>
            </w:pPr>
            <w:r>
              <w:rPr>
                <w:rFonts w:hint="eastAsia" w:ascii="仿宋" w:hAnsi="仿宋" w:eastAsia="仿宋" w:cs="仿宋"/>
                <w:color w:val="auto"/>
                <w:highlight w:val="none"/>
              </w:rPr>
              <w:t>2</w:t>
            </w:r>
          </w:p>
        </w:tc>
        <w:tc>
          <w:tcPr>
            <w:tcW w:w="1517" w:type="dxa"/>
          </w:tcPr>
          <w:p w14:paraId="22BAECF7">
            <w:pPr>
              <w:rPr>
                <w:rFonts w:ascii="仿宋" w:hAnsi="仿宋" w:eastAsia="仿宋" w:cs="仿宋"/>
                <w:color w:val="auto"/>
                <w:highlight w:val="none"/>
              </w:rPr>
            </w:pPr>
          </w:p>
        </w:tc>
        <w:tc>
          <w:tcPr>
            <w:tcW w:w="992" w:type="dxa"/>
          </w:tcPr>
          <w:p w14:paraId="4A73371C">
            <w:pPr>
              <w:rPr>
                <w:rFonts w:ascii="仿宋" w:hAnsi="仿宋" w:eastAsia="仿宋" w:cs="仿宋"/>
                <w:color w:val="auto"/>
                <w:highlight w:val="none"/>
              </w:rPr>
            </w:pPr>
          </w:p>
        </w:tc>
        <w:tc>
          <w:tcPr>
            <w:tcW w:w="991" w:type="dxa"/>
          </w:tcPr>
          <w:p w14:paraId="750C1AD7">
            <w:pPr>
              <w:rPr>
                <w:rFonts w:ascii="仿宋" w:hAnsi="仿宋" w:eastAsia="仿宋" w:cs="仿宋"/>
                <w:color w:val="auto"/>
                <w:highlight w:val="none"/>
              </w:rPr>
            </w:pPr>
          </w:p>
        </w:tc>
        <w:tc>
          <w:tcPr>
            <w:tcW w:w="698" w:type="dxa"/>
          </w:tcPr>
          <w:p w14:paraId="1172FD31">
            <w:pPr>
              <w:rPr>
                <w:rFonts w:ascii="仿宋" w:hAnsi="仿宋" w:eastAsia="仿宋" w:cs="仿宋"/>
                <w:color w:val="auto"/>
                <w:highlight w:val="none"/>
              </w:rPr>
            </w:pPr>
          </w:p>
        </w:tc>
        <w:tc>
          <w:tcPr>
            <w:tcW w:w="708" w:type="dxa"/>
          </w:tcPr>
          <w:p w14:paraId="0816285F">
            <w:pPr>
              <w:rPr>
                <w:rFonts w:ascii="仿宋" w:hAnsi="仿宋" w:eastAsia="仿宋" w:cs="仿宋"/>
                <w:color w:val="auto"/>
                <w:highlight w:val="none"/>
              </w:rPr>
            </w:pPr>
          </w:p>
        </w:tc>
        <w:tc>
          <w:tcPr>
            <w:tcW w:w="1133" w:type="dxa"/>
          </w:tcPr>
          <w:p w14:paraId="2C311A37">
            <w:pPr>
              <w:rPr>
                <w:rFonts w:ascii="仿宋" w:hAnsi="仿宋" w:eastAsia="仿宋" w:cs="仿宋"/>
                <w:color w:val="auto"/>
                <w:highlight w:val="none"/>
              </w:rPr>
            </w:pPr>
          </w:p>
        </w:tc>
        <w:tc>
          <w:tcPr>
            <w:tcW w:w="1096" w:type="dxa"/>
          </w:tcPr>
          <w:p w14:paraId="3AB291D2">
            <w:pPr>
              <w:rPr>
                <w:rFonts w:ascii="仿宋" w:hAnsi="仿宋" w:eastAsia="仿宋" w:cs="仿宋"/>
                <w:color w:val="auto"/>
                <w:highlight w:val="none"/>
              </w:rPr>
            </w:pPr>
          </w:p>
        </w:tc>
        <w:tc>
          <w:tcPr>
            <w:tcW w:w="1054" w:type="dxa"/>
          </w:tcPr>
          <w:p w14:paraId="581F0E1E">
            <w:pPr>
              <w:rPr>
                <w:rFonts w:ascii="仿宋" w:hAnsi="仿宋" w:eastAsia="仿宋" w:cs="仿宋"/>
                <w:color w:val="auto"/>
                <w:highlight w:val="none"/>
              </w:rPr>
            </w:pPr>
          </w:p>
        </w:tc>
      </w:tr>
      <w:tr w14:paraId="604E4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7" w:hRule="atLeast"/>
        </w:trPr>
        <w:tc>
          <w:tcPr>
            <w:tcW w:w="761" w:type="dxa"/>
          </w:tcPr>
          <w:p w14:paraId="3C56E955">
            <w:pPr>
              <w:pStyle w:val="28"/>
              <w:spacing w:before="208" w:line="183" w:lineRule="auto"/>
              <w:ind w:left="121"/>
              <w:rPr>
                <w:rFonts w:ascii="仿宋" w:hAnsi="仿宋" w:eastAsia="仿宋" w:cs="仿宋"/>
                <w:color w:val="auto"/>
                <w:highlight w:val="none"/>
              </w:rPr>
            </w:pPr>
            <w:r>
              <w:rPr>
                <w:rFonts w:hint="eastAsia" w:ascii="仿宋" w:hAnsi="仿宋" w:eastAsia="仿宋" w:cs="仿宋"/>
                <w:color w:val="auto"/>
                <w:highlight w:val="none"/>
              </w:rPr>
              <w:t>3</w:t>
            </w:r>
          </w:p>
        </w:tc>
        <w:tc>
          <w:tcPr>
            <w:tcW w:w="1517" w:type="dxa"/>
          </w:tcPr>
          <w:p w14:paraId="38CC5F19">
            <w:pPr>
              <w:pStyle w:val="28"/>
              <w:spacing w:before="170" w:line="378" w:lineRule="exact"/>
              <w:ind w:left="127"/>
              <w:rPr>
                <w:rFonts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992" w:type="dxa"/>
          </w:tcPr>
          <w:p w14:paraId="5A580251">
            <w:pPr>
              <w:rPr>
                <w:rFonts w:ascii="仿宋" w:hAnsi="仿宋" w:eastAsia="仿宋" w:cs="仿宋"/>
                <w:color w:val="auto"/>
                <w:highlight w:val="none"/>
              </w:rPr>
            </w:pPr>
          </w:p>
        </w:tc>
        <w:tc>
          <w:tcPr>
            <w:tcW w:w="991" w:type="dxa"/>
          </w:tcPr>
          <w:p w14:paraId="428FF9E4">
            <w:pPr>
              <w:rPr>
                <w:rFonts w:ascii="仿宋" w:hAnsi="仿宋" w:eastAsia="仿宋" w:cs="仿宋"/>
                <w:color w:val="auto"/>
                <w:highlight w:val="none"/>
              </w:rPr>
            </w:pPr>
          </w:p>
        </w:tc>
        <w:tc>
          <w:tcPr>
            <w:tcW w:w="698" w:type="dxa"/>
          </w:tcPr>
          <w:p w14:paraId="2306B705">
            <w:pPr>
              <w:rPr>
                <w:rFonts w:ascii="仿宋" w:hAnsi="仿宋" w:eastAsia="仿宋" w:cs="仿宋"/>
                <w:color w:val="auto"/>
                <w:highlight w:val="none"/>
              </w:rPr>
            </w:pPr>
          </w:p>
        </w:tc>
        <w:tc>
          <w:tcPr>
            <w:tcW w:w="708" w:type="dxa"/>
          </w:tcPr>
          <w:p w14:paraId="5F6D5866">
            <w:pPr>
              <w:rPr>
                <w:rFonts w:ascii="仿宋" w:hAnsi="仿宋" w:eastAsia="仿宋" w:cs="仿宋"/>
                <w:color w:val="auto"/>
                <w:highlight w:val="none"/>
              </w:rPr>
            </w:pPr>
          </w:p>
        </w:tc>
        <w:tc>
          <w:tcPr>
            <w:tcW w:w="1133" w:type="dxa"/>
          </w:tcPr>
          <w:p w14:paraId="7366C8A2">
            <w:pPr>
              <w:rPr>
                <w:rFonts w:ascii="仿宋" w:hAnsi="仿宋" w:eastAsia="仿宋" w:cs="仿宋"/>
                <w:color w:val="auto"/>
                <w:highlight w:val="none"/>
              </w:rPr>
            </w:pPr>
          </w:p>
        </w:tc>
        <w:tc>
          <w:tcPr>
            <w:tcW w:w="1096" w:type="dxa"/>
          </w:tcPr>
          <w:p w14:paraId="129F6CB9">
            <w:pPr>
              <w:rPr>
                <w:rFonts w:ascii="仿宋" w:hAnsi="仿宋" w:eastAsia="仿宋" w:cs="仿宋"/>
                <w:color w:val="auto"/>
                <w:highlight w:val="none"/>
              </w:rPr>
            </w:pPr>
          </w:p>
        </w:tc>
        <w:tc>
          <w:tcPr>
            <w:tcW w:w="1054" w:type="dxa"/>
          </w:tcPr>
          <w:p w14:paraId="7FFAC592">
            <w:pPr>
              <w:rPr>
                <w:rFonts w:ascii="仿宋" w:hAnsi="仿宋" w:eastAsia="仿宋" w:cs="仿宋"/>
                <w:color w:val="auto"/>
                <w:highlight w:val="none"/>
              </w:rPr>
            </w:pPr>
          </w:p>
        </w:tc>
      </w:tr>
    </w:tbl>
    <w:p w14:paraId="6E1B5421">
      <w:pPr>
        <w:spacing w:line="386" w:lineRule="auto"/>
        <w:rPr>
          <w:rFonts w:ascii="仿宋" w:hAnsi="仿宋" w:eastAsia="仿宋" w:cs="仿宋"/>
          <w:color w:val="auto"/>
          <w:highlight w:val="none"/>
        </w:rPr>
      </w:pPr>
    </w:p>
    <w:p w14:paraId="0EC34BEC">
      <w:pPr>
        <w:spacing w:before="78" w:line="219" w:lineRule="auto"/>
        <w:ind w:left="119"/>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2）环保产品</w:t>
      </w:r>
    </w:p>
    <w:p w14:paraId="285C026C">
      <w:pPr>
        <w:spacing w:line="28" w:lineRule="exact"/>
        <w:rPr>
          <w:rFonts w:ascii="仿宋" w:hAnsi="仿宋" w:eastAsia="仿宋" w:cs="仿宋"/>
          <w:color w:val="auto"/>
          <w:highlight w:val="none"/>
        </w:rPr>
      </w:pPr>
    </w:p>
    <w:tbl>
      <w:tblPr>
        <w:tblStyle w:val="20"/>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0"/>
        <w:gridCol w:w="1727"/>
        <w:gridCol w:w="1185"/>
        <w:gridCol w:w="848"/>
        <w:gridCol w:w="848"/>
        <w:gridCol w:w="944"/>
        <w:gridCol w:w="1449"/>
        <w:gridCol w:w="1169"/>
      </w:tblGrid>
      <w:tr w14:paraId="0673A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6" w:hRule="atLeast"/>
        </w:trPr>
        <w:tc>
          <w:tcPr>
            <w:tcW w:w="780" w:type="dxa"/>
          </w:tcPr>
          <w:p w14:paraId="39FE5184">
            <w:pPr>
              <w:pStyle w:val="28"/>
              <w:spacing w:before="254" w:line="221" w:lineRule="auto"/>
              <w:ind w:left="116"/>
              <w:rPr>
                <w:rFonts w:ascii="仿宋" w:hAnsi="仿宋" w:eastAsia="仿宋" w:cs="仿宋"/>
                <w:color w:val="auto"/>
                <w:highlight w:val="none"/>
              </w:rPr>
            </w:pPr>
            <w:r>
              <w:rPr>
                <w:rFonts w:hint="eastAsia" w:ascii="仿宋" w:hAnsi="仿宋" w:eastAsia="仿宋" w:cs="仿宋"/>
                <w:color w:val="auto"/>
                <w:spacing w:val="-5"/>
                <w:highlight w:val="none"/>
              </w:rPr>
              <w:t>序号</w:t>
            </w:r>
          </w:p>
        </w:tc>
        <w:tc>
          <w:tcPr>
            <w:tcW w:w="1727" w:type="dxa"/>
          </w:tcPr>
          <w:p w14:paraId="4AB33870">
            <w:pPr>
              <w:pStyle w:val="28"/>
              <w:spacing w:before="254" w:line="221" w:lineRule="auto"/>
              <w:ind w:left="116"/>
              <w:rPr>
                <w:rFonts w:ascii="仿宋" w:hAnsi="仿宋" w:eastAsia="仿宋" w:cs="仿宋"/>
                <w:color w:val="auto"/>
                <w:highlight w:val="none"/>
              </w:rPr>
            </w:pPr>
            <w:r>
              <w:rPr>
                <w:rFonts w:hint="eastAsia" w:ascii="仿宋" w:hAnsi="仿宋" w:eastAsia="仿宋" w:cs="仿宋"/>
                <w:color w:val="auto"/>
                <w:spacing w:val="-4"/>
                <w:highlight w:val="none"/>
              </w:rPr>
              <w:t>设备名称</w:t>
            </w:r>
          </w:p>
        </w:tc>
        <w:tc>
          <w:tcPr>
            <w:tcW w:w="1185" w:type="dxa"/>
          </w:tcPr>
          <w:p w14:paraId="64DD0051">
            <w:pPr>
              <w:pStyle w:val="28"/>
              <w:spacing w:before="97" w:line="231" w:lineRule="auto"/>
              <w:ind w:left="115" w:right="356" w:hanging="1"/>
              <w:rPr>
                <w:rFonts w:ascii="仿宋" w:hAnsi="仿宋" w:eastAsia="仿宋" w:cs="仿宋"/>
                <w:color w:val="auto"/>
                <w:highlight w:val="none"/>
              </w:rPr>
            </w:pPr>
            <w:r>
              <w:rPr>
                <w:rFonts w:hint="eastAsia" w:ascii="仿宋" w:hAnsi="仿宋" w:eastAsia="仿宋" w:cs="仿宋"/>
                <w:color w:val="auto"/>
                <w:spacing w:val="-4"/>
                <w:highlight w:val="none"/>
              </w:rPr>
              <w:t>制造商</w:t>
            </w:r>
            <w:r>
              <w:rPr>
                <w:rFonts w:hint="eastAsia" w:ascii="仿宋" w:hAnsi="仿宋" w:eastAsia="仿宋" w:cs="仿宋"/>
                <w:color w:val="auto"/>
                <w:spacing w:val="-7"/>
                <w:highlight w:val="none"/>
              </w:rPr>
              <w:t>名称</w:t>
            </w:r>
          </w:p>
        </w:tc>
        <w:tc>
          <w:tcPr>
            <w:tcW w:w="848" w:type="dxa"/>
          </w:tcPr>
          <w:p w14:paraId="249CCED5">
            <w:pPr>
              <w:pStyle w:val="28"/>
              <w:spacing w:before="255" w:line="219" w:lineRule="auto"/>
              <w:ind w:left="133"/>
              <w:rPr>
                <w:rFonts w:ascii="仿宋" w:hAnsi="仿宋" w:eastAsia="仿宋" w:cs="仿宋"/>
                <w:color w:val="auto"/>
                <w:highlight w:val="none"/>
              </w:rPr>
            </w:pPr>
            <w:r>
              <w:rPr>
                <w:rFonts w:hint="eastAsia" w:ascii="仿宋" w:hAnsi="仿宋" w:eastAsia="仿宋" w:cs="仿宋"/>
                <w:color w:val="auto"/>
                <w:spacing w:val="-15"/>
                <w:highlight w:val="none"/>
              </w:rPr>
              <w:t>品牌</w:t>
            </w:r>
          </w:p>
        </w:tc>
        <w:tc>
          <w:tcPr>
            <w:tcW w:w="848" w:type="dxa"/>
          </w:tcPr>
          <w:p w14:paraId="7A70F863">
            <w:pPr>
              <w:pStyle w:val="28"/>
              <w:spacing w:before="254" w:line="221" w:lineRule="auto"/>
              <w:ind w:left="122"/>
              <w:rPr>
                <w:rFonts w:ascii="仿宋" w:hAnsi="仿宋" w:eastAsia="仿宋" w:cs="仿宋"/>
                <w:color w:val="auto"/>
                <w:highlight w:val="none"/>
              </w:rPr>
            </w:pPr>
            <w:r>
              <w:rPr>
                <w:rFonts w:hint="eastAsia" w:ascii="仿宋" w:hAnsi="仿宋" w:eastAsia="仿宋" w:cs="仿宋"/>
                <w:color w:val="auto"/>
                <w:spacing w:val="-9"/>
                <w:highlight w:val="none"/>
              </w:rPr>
              <w:t>型号</w:t>
            </w:r>
          </w:p>
        </w:tc>
        <w:tc>
          <w:tcPr>
            <w:tcW w:w="944" w:type="dxa"/>
          </w:tcPr>
          <w:p w14:paraId="5BE254BC">
            <w:pPr>
              <w:pStyle w:val="28"/>
              <w:spacing w:before="255" w:line="219" w:lineRule="auto"/>
              <w:ind w:left="116"/>
              <w:rPr>
                <w:rFonts w:ascii="仿宋" w:hAnsi="仿宋" w:eastAsia="仿宋" w:cs="仿宋"/>
                <w:color w:val="auto"/>
                <w:highlight w:val="none"/>
              </w:rPr>
            </w:pPr>
            <w:r>
              <w:rPr>
                <w:rFonts w:hint="eastAsia" w:ascii="仿宋" w:hAnsi="仿宋" w:eastAsia="仿宋" w:cs="仿宋"/>
                <w:color w:val="auto"/>
                <w:spacing w:val="-6"/>
                <w:highlight w:val="none"/>
              </w:rPr>
              <w:t>数量</w:t>
            </w:r>
          </w:p>
        </w:tc>
        <w:tc>
          <w:tcPr>
            <w:tcW w:w="1449" w:type="dxa"/>
          </w:tcPr>
          <w:p w14:paraId="3642E29C">
            <w:pPr>
              <w:pStyle w:val="28"/>
              <w:spacing w:before="98" w:line="218" w:lineRule="auto"/>
              <w:ind w:left="118"/>
              <w:rPr>
                <w:rFonts w:ascii="仿宋" w:hAnsi="仿宋" w:eastAsia="仿宋" w:cs="仿宋"/>
                <w:color w:val="auto"/>
                <w:highlight w:val="none"/>
              </w:rPr>
            </w:pPr>
            <w:r>
              <w:rPr>
                <w:rFonts w:hint="eastAsia" w:ascii="仿宋" w:hAnsi="仿宋" w:eastAsia="仿宋" w:cs="仿宋"/>
                <w:color w:val="auto"/>
                <w:spacing w:val="-6"/>
                <w:highlight w:val="none"/>
              </w:rPr>
              <w:t>单价</w:t>
            </w:r>
          </w:p>
          <w:p w14:paraId="2886115F">
            <w:pPr>
              <w:pStyle w:val="28"/>
              <w:spacing w:before="28" w:line="220" w:lineRule="auto"/>
              <w:ind w:left="127"/>
              <w:rPr>
                <w:rFonts w:ascii="仿宋" w:hAnsi="仿宋" w:eastAsia="仿宋" w:cs="仿宋"/>
                <w:color w:val="auto"/>
                <w:highlight w:val="none"/>
              </w:rPr>
            </w:pPr>
            <w:r>
              <w:rPr>
                <w:rFonts w:hint="eastAsia" w:ascii="仿宋" w:hAnsi="仿宋" w:eastAsia="仿宋" w:cs="仿宋"/>
                <w:color w:val="auto"/>
                <w:spacing w:val="-6"/>
                <w:highlight w:val="none"/>
              </w:rPr>
              <w:t>（万元）</w:t>
            </w:r>
          </w:p>
        </w:tc>
        <w:tc>
          <w:tcPr>
            <w:tcW w:w="1169" w:type="dxa"/>
          </w:tcPr>
          <w:p w14:paraId="4C8320FC">
            <w:pPr>
              <w:pStyle w:val="28"/>
              <w:spacing w:before="98" w:line="218" w:lineRule="auto"/>
              <w:ind w:left="123"/>
              <w:rPr>
                <w:rFonts w:ascii="仿宋" w:hAnsi="仿宋" w:eastAsia="仿宋" w:cs="仿宋"/>
                <w:color w:val="auto"/>
                <w:highlight w:val="none"/>
              </w:rPr>
            </w:pPr>
            <w:r>
              <w:rPr>
                <w:rFonts w:hint="eastAsia" w:ascii="仿宋" w:hAnsi="仿宋" w:eastAsia="仿宋" w:cs="仿宋"/>
                <w:color w:val="auto"/>
                <w:spacing w:val="-8"/>
                <w:highlight w:val="none"/>
              </w:rPr>
              <w:t>总价</w:t>
            </w:r>
          </w:p>
          <w:p w14:paraId="1ED1B681">
            <w:pPr>
              <w:pStyle w:val="28"/>
              <w:spacing w:before="28" w:line="220" w:lineRule="auto"/>
              <w:ind w:left="128"/>
              <w:rPr>
                <w:rFonts w:ascii="仿宋" w:hAnsi="仿宋" w:eastAsia="仿宋" w:cs="仿宋"/>
                <w:color w:val="auto"/>
                <w:highlight w:val="none"/>
              </w:rPr>
            </w:pPr>
            <w:r>
              <w:rPr>
                <w:rFonts w:hint="eastAsia" w:ascii="仿宋" w:hAnsi="仿宋" w:eastAsia="仿宋" w:cs="仿宋"/>
                <w:color w:val="auto"/>
                <w:spacing w:val="-6"/>
                <w:highlight w:val="none"/>
              </w:rPr>
              <w:t>（万元）</w:t>
            </w:r>
          </w:p>
        </w:tc>
      </w:tr>
      <w:tr w14:paraId="23615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80" w:type="dxa"/>
          </w:tcPr>
          <w:p w14:paraId="760DCDBD">
            <w:pPr>
              <w:pStyle w:val="28"/>
              <w:spacing w:before="202" w:line="184" w:lineRule="auto"/>
              <w:ind w:left="134"/>
              <w:rPr>
                <w:rFonts w:ascii="仿宋" w:hAnsi="仿宋" w:eastAsia="仿宋" w:cs="仿宋"/>
                <w:color w:val="auto"/>
                <w:highlight w:val="none"/>
              </w:rPr>
            </w:pPr>
            <w:r>
              <w:rPr>
                <w:rFonts w:hint="eastAsia" w:ascii="仿宋" w:hAnsi="仿宋" w:eastAsia="仿宋" w:cs="仿宋"/>
                <w:color w:val="auto"/>
                <w:highlight w:val="none"/>
              </w:rPr>
              <w:t>1</w:t>
            </w:r>
          </w:p>
        </w:tc>
        <w:tc>
          <w:tcPr>
            <w:tcW w:w="1727" w:type="dxa"/>
          </w:tcPr>
          <w:p w14:paraId="573432E4">
            <w:pPr>
              <w:rPr>
                <w:rFonts w:ascii="仿宋" w:hAnsi="仿宋" w:eastAsia="仿宋" w:cs="仿宋"/>
                <w:color w:val="auto"/>
                <w:highlight w:val="none"/>
              </w:rPr>
            </w:pPr>
          </w:p>
        </w:tc>
        <w:tc>
          <w:tcPr>
            <w:tcW w:w="1185" w:type="dxa"/>
          </w:tcPr>
          <w:p w14:paraId="78D8D12F">
            <w:pPr>
              <w:rPr>
                <w:rFonts w:ascii="仿宋" w:hAnsi="仿宋" w:eastAsia="仿宋" w:cs="仿宋"/>
                <w:color w:val="auto"/>
                <w:highlight w:val="none"/>
              </w:rPr>
            </w:pPr>
          </w:p>
        </w:tc>
        <w:tc>
          <w:tcPr>
            <w:tcW w:w="848" w:type="dxa"/>
          </w:tcPr>
          <w:p w14:paraId="0D25F54A">
            <w:pPr>
              <w:rPr>
                <w:rFonts w:ascii="仿宋" w:hAnsi="仿宋" w:eastAsia="仿宋" w:cs="仿宋"/>
                <w:color w:val="auto"/>
                <w:highlight w:val="none"/>
              </w:rPr>
            </w:pPr>
          </w:p>
        </w:tc>
        <w:tc>
          <w:tcPr>
            <w:tcW w:w="848" w:type="dxa"/>
          </w:tcPr>
          <w:p w14:paraId="4C0D54B3">
            <w:pPr>
              <w:rPr>
                <w:rFonts w:ascii="仿宋" w:hAnsi="仿宋" w:eastAsia="仿宋" w:cs="仿宋"/>
                <w:color w:val="auto"/>
                <w:highlight w:val="none"/>
              </w:rPr>
            </w:pPr>
          </w:p>
        </w:tc>
        <w:tc>
          <w:tcPr>
            <w:tcW w:w="944" w:type="dxa"/>
          </w:tcPr>
          <w:p w14:paraId="016294C6">
            <w:pPr>
              <w:rPr>
                <w:rFonts w:ascii="仿宋" w:hAnsi="仿宋" w:eastAsia="仿宋" w:cs="仿宋"/>
                <w:color w:val="auto"/>
                <w:highlight w:val="none"/>
              </w:rPr>
            </w:pPr>
          </w:p>
        </w:tc>
        <w:tc>
          <w:tcPr>
            <w:tcW w:w="1449" w:type="dxa"/>
          </w:tcPr>
          <w:p w14:paraId="0A7D1D7B">
            <w:pPr>
              <w:rPr>
                <w:rFonts w:ascii="仿宋" w:hAnsi="仿宋" w:eastAsia="仿宋" w:cs="仿宋"/>
                <w:color w:val="auto"/>
                <w:highlight w:val="none"/>
              </w:rPr>
            </w:pPr>
          </w:p>
        </w:tc>
        <w:tc>
          <w:tcPr>
            <w:tcW w:w="1169" w:type="dxa"/>
          </w:tcPr>
          <w:p w14:paraId="69EBBC90">
            <w:pPr>
              <w:rPr>
                <w:rFonts w:ascii="仿宋" w:hAnsi="仿宋" w:eastAsia="仿宋" w:cs="仿宋"/>
                <w:color w:val="auto"/>
                <w:highlight w:val="none"/>
              </w:rPr>
            </w:pPr>
          </w:p>
        </w:tc>
      </w:tr>
      <w:tr w14:paraId="013E9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80" w:type="dxa"/>
          </w:tcPr>
          <w:p w14:paraId="0898B65A">
            <w:pPr>
              <w:pStyle w:val="28"/>
              <w:spacing w:before="205" w:line="183" w:lineRule="auto"/>
              <w:ind w:left="120"/>
              <w:rPr>
                <w:rFonts w:ascii="仿宋" w:hAnsi="仿宋" w:eastAsia="仿宋" w:cs="仿宋"/>
                <w:color w:val="auto"/>
                <w:highlight w:val="none"/>
              </w:rPr>
            </w:pPr>
            <w:r>
              <w:rPr>
                <w:rFonts w:hint="eastAsia" w:ascii="仿宋" w:hAnsi="仿宋" w:eastAsia="仿宋" w:cs="仿宋"/>
                <w:color w:val="auto"/>
                <w:highlight w:val="none"/>
              </w:rPr>
              <w:t>2</w:t>
            </w:r>
          </w:p>
        </w:tc>
        <w:tc>
          <w:tcPr>
            <w:tcW w:w="1727" w:type="dxa"/>
          </w:tcPr>
          <w:p w14:paraId="2A8C227D">
            <w:pPr>
              <w:rPr>
                <w:rFonts w:ascii="仿宋" w:hAnsi="仿宋" w:eastAsia="仿宋" w:cs="仿宋"/>
                <w:color w:val="auto"/>
                <w:highlight w:val="none"/>
              </w:rPr>
            </w:pPr>
          </w:p>
        </w:tc>
        <w:tc>
          <w:tcPr>
            <w:tcW w:w="1185" w:type="dxa"/>
          </w:tcPr>
          <w:p w14:paraId="1042E396">
            <w:pPr>
              <w:rPr>
                <w:rFonts w:ascii="仿宋" w:hAnsi="仿宋" w:eastAsia="仿宋" w:cs="仿宋"/>
                <w:color w:val="auto"/>
                <w:highlight w:val="none"/>
              </w:rPr>
            </w:pPr>
          </w:p>
        </w:tc>
        <w:tc>
          <w:tcPr>
            <w:tcW w:w="848" w:type="dxa"/>
          </w:tcPr>
          <w:p w14:paraId="03E0669E">
            <w:pPr>
              <w:rPr>
                <w:rFonts w:ascii="仿宋" w:hAnsi="仿宋" w:eastAsia="仿宋" w:cs="仿宋"/>
                <w:color w:val="auto"/>
                <w:highlight w:val="none"/>
              </w:rPr>
            </w:pPr>
          </w:p>
        </w:tc>
        <w:tc>
          <w:tcPr>
            <w:tcW w:w="848" w:type="dxa"/>
          </w:tcPr>
          <w:p w14:paraId="12421E7D">
            <w:pPr>
              <w:rPr>
                <w:rFonts w:ascii="仿宋" w:hAnsi="仿宋" w:eastAsia="仿宋" w:cs="仿宋"/>
                <w:color w:val="auto"/>
                <w:highlight w:val="none"/>
              </w:rPr>
            </w:pPr>
          </w:p>
        </w:tc>
        <w:tc>
          <w:tcPr>
            <w:tcW w:w="944" w:type="dxa"/>
          </w:tcPr>
          <w:p w14:paraId="4AEBD970">
            <w:pPr>
              <w:rPr>
                <w:rFonts w:ascii="仿宋" w:hAnsi="仿宋" w:eastAsia="仿宋" w:cs="仿宋"/>
                <w:color w:val="auto"/>
                <w:highlight w:val="none"/>
              </w:rPr>
            </w:pPr>
          </w:p>
        </w:tc>
        <w:tc>
          <w:tcPr>
            <w:tcW w:w="1449" w:type="dxa"/>
          </w:tcPr>
          <w:p w14:paraId="5D4E8262">
            <w:pPr>
              <w:rPr>
                <w:rFonts w:ascii="仿宋" w:hAnsi="仿宋" w:eastAsia="仿宋" w:cs="仿宋"/>
                <w:color w:val="auto"/>
                <w:highlight w:val="none"/>
              </w:rPr>
            </w:pPr>
          </w:p>
        </w:tc>
        <w:tc>
          <w:tcPr>
            <w:tcW w:w="1169" w:type="dxa"/>
          </w:tcPr>
          <w:p w14:paraId="50C4DB9D">
            <w:pPr>
              <w:rPr>
                <w:rFonts w:ascii="仿宋" w:hAnsi="仿宋" w:eastAsia="仿宋" w:cs="仿宋"/>
                <w:color w:val="auto"/>
                <w:highlight w:val="none"/>
              </w:rPr>
            </w:pPr>
          </w:p>
        </w:tc>
      </w:tr>
      <w:tr w14:paraId="11862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6" w:hRule="atLeast"/>
        </w:trPr>
        <w:tc>
          <w:tcPr>
            <w:tcW w:w="780" w:type="dxa"/>
          </w:tcPr>
          <w:p w14:paraId="3C939062">
            <w:pPr>
              <w:pStyle w:val="28"/>
              <w:spacing w:before="206" w:line="183" w:lineRule="auto"/>
              <w:ind w:left="121"/>
              <w:rPr>
                <w:rFonts w:ascii="仿宋" w:hAnsi="仿宋" w:eastAsia="仿宋" w:cs="仿宋"/>
                <w:color w:val="auto"/>
                <w:highlight w:val="none"/>
              </w:rPr>
            </w:pPr>
            <w:r>
              <w:rPr>
                <w:rFonts w:hint="eastAsia" w:ascii="仿宋" w:hAnsi="仿宋" w:eastAsia="仿宋" w:cs="仿宋"/>
                <w:color w:val="auto"/>
                <w:highlight w:val="none"/>
              </w:rPr>
              <w:t>3</w:t>
            </w:r>
          </w:p>
        </w:tc>
        <w:tc>
          <w:tcPr>
            <w:tcW w:w="1727" w:type="dxa"/>
          </w:tcPr>
          <w:p w14:paraId="5A732DF3">
            <w:pPr>
              <w:pStyle w:val="28"/>
              <w:spacing w:before="96" w:line="378" w:lineRule="exact"/>
              <w:ind w:left="127"/>
              <w:rPr>
                <w:rFonts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1185" w:type="dxa"/>
          </w:tcPr>
          <w:p w14:paraId="5C81930C">
            <w:pPr>
              <w:rPr>
                <w:rFonts w:ascii="仿宋" w:hAnsi="仿宋" w:eastAsia="仿宋" w:cs="仿宋"/>
                <w:color w:val="auto"/>
                <w:highlight w:val="none"/>
              </w:rPr>
            </w:pPr>
          </w:p>
        </w:tc>
        <w:tc>
          <w:tcPr>
            <w:tcW w:w="848" w:type="dxa"/>
          </w:tcPr>
          <w:p w14:paraId="034F6D19">
            <w:pPr>
              <w:rPr>
                <w:rFonts w:ascii="仿宋" w:hAnsi="仿宋" w:eastAsia="仿宋" w:cs="仿宋"/>
                <w:color w:val="auto"/>
                <w:highlight w:val="none"/>
              </w:rPr>
            </w:pPr>
          </w:p>
        </w:tc>
        <w:tc>
          <w:tcPr>
            <w:tcW w:w="848" w:type="dxa"/>
          </w:tcPr>
          <w:p w14:paraId="4760C156">
            <w:pPr>
              <w:rPr>
                <w:rFonts w:ascii="仿宋" w:hAnsi="仿宋" w:eastAsia="仿宋" w:cs="仿宋"/>
                <w:color w:val="auto"/>
                <w:highlight w:val="none"/>
              </w:rPr>
            </w:pPr>
          </w:p>
        </w:tc>
        <w:tc>
          <w:tcPr>
            <w:tcW w:w="944" w:type="dxa"/>
          </w:tcPr>
          <w:p w14:paraId="347E5203">
            <w:pPr>
              <w:rPr>
                <w:rFonts w:ascii="仿宋" w:hAnsi="仿宋" w:eastAsia="仿宋" w:cs="仿宋"/>
                <w:color w:val="auto"/>
                <w:highlight w:val="none"/>
              </w:rPr>
            </w:pPr>
          </w:p>
        </w:tc>
        <w:tc>
          <w:tcPr>
            <w:tcW w:w="1449" w:type="dxa"/>
          </w:tcPr>
          <w:p w14:paraId="538F2F69">
            <w:pPr>
              <w:rPr>
                <w:rFonts w:ascii="仿宋" w:hAnsi="仿宋" w:eastAsia="仿宋" w:cs="仿宋"/>
                <w:color w:val="auto"/>
                <w:highlight w:val="none"/>
              </w:rPr>
            </w:pPr>
          </w:p>
        </w:tc>
        <w:tc>
          <w:tcPr>
            <w:tcW w:w="1169" w:type="dxa"/>
          </w:tcPr>
          <w:p w14:paraId="52AF1CAC">
            <w:pPr>
              <w:rPr>
                <w:rFonts w:ascii="仿宋" w:hAnsi="仿宋" w:eastAsia="仿宋" w:cs="仿宋"/>
                <w:color w:val="auto"/>
                <w:highlight w:val="none"/>
              </w:rPr>
            </w:pPr>
          </w:p>
        </w:tc>
      </w:tr>
    </w:tbl>
    <w:p w14:paraId="332A1F8A">
      <w:pPr>
        <w:spacing w:line="422" w:lineRule="auto"/>
        <w:rPr>
          <w:rFonts w:ascii="仿宋" w:hAnsi="仿宋" w:eastAsia="仿宋" w:cs="仿宋"/>
          <w:color w:val="auto"/>
          <w:highlight w:val="none"/>
        </w:rPr>
      </w:pPr>
    </w:p>
    <w:p w14:paraId="3347CF25">
      <w:pPr>
        <w:spacing w:before="78" w:line="351" w:lineRule="auto"/>
        <w:ind w:left="122" w:right="651"/>
        <w:jc w:val="both"/>
        <w:rPr>
          <w:rFonts w:ascii="仿宋" w:hAnsi="仿宋" w:eastAsia="仿宋" w:cs="仿宋"/>
          <w:color w:val="auto"/>
          <w:sz w:val="24"/>
          <w:szCs w:val="24"/>
          <w:highlight w:val="none"/>
          <w:lang w:eastAsia="zh-CN"/>
        </w:rPr>
      </w:pPr>
      <w:r>
        <w:rPr>
          <w:rFonts w:hint="eastAsia" w:ascii="仿宋" w:hAnsi="仿宋" w:eastAsia="仿宋" w:cs="仿宋"/>
          <w:b/>
          <w:bCs/>
          <w:color w:val="auto"/>
          <w:spacing w:val="-2"/>
          <w:sz w:val="24"/>
          <w:szCs w:val="24"/>
          <w:highlight w:val="none"/>
          <w:lang w:eastAsia="zh-CN"/>
        </w:rPr>
        <w:t>特别说明：投标人应将所投产品中节能、环保产品分别列入上表中，并按本招</w:t>
      </w:r>
      <w:r>
        <w:rPr>
          <w:rFonts w:hint="eastAsia" w:ascii="仿宋" w:hAnsi="仿宋" w:eastAsia="仿宋" w:cs="仿宋"/>
          <w:b/>
          <w:bCs/>
          <w:color w:val="auto"/>
          <w:spacing w:val="-3"/>
          <w:sz w:val="24"/>
          <w:szCs w:val="24"/>
          <w:highlight w:val="none"/>
          <w:lang w:eastAsia="zh-CN"/>
        </w:rPr>
        <w:t>标文件“第二章投标人须知”提供相关证明材料，未填写本表或未提供有效认证证书的不给予政策加分。</w:t>
      </w:r>
    </w:p>
    <w:p w14:paraId="3D73EDD2">
      <w:pPr>
        <w:spacing w:line="308" w:lineRule="auto"/>
        <w:rPr>
          <w:rFonts w:ascii="仿宋" w:hAnsi="仿宋" w:eastAsia="仿宋" w:cs="仿宋"/>
          <w:color w:val="auto"/>
          <w:highlight w:val="none"/>
          <w:lang w:eastAsia="zh-CN"/>
        </w:rPr>
      </w:pPr>
    </w:p>
    <w:p w14:paraId="1581939C">
      <w:pPr>
        <w:spacing w:before="79" w:line="316" w:lineRule="auto"/>
        <w:ind w:left="142" w:right="-28"/>
        <w:rPr>
          <w:rFonts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投标人名称（公章)：</w:t>
      </w:r>
    </w:p>
    <w:p w14:paraId="1D106332">
      <w:pPr>
        <w:spacing w:before="79" w:line="316" w:lineRule="auto"/>
        <w:ind w:left="142" w:right="-28"/>
        <w:rPr>
          <w:rFonts w:ascii="仿宋" w:hAnsi="仿宋" w:eastAsia="仿宋" w:cs="仿宋"/>
          <w:color w:val="auto"/>
          <w:sz w:val="24"/>
          <w:szCs w:val="24"/>
          <w:highlight w:val="none"/>
          <w:lang w:eastAsia="zh-CN"/>
        </w:rPr>
      </w:pPr>
      <w:r>
        <w:rPr>
          <w:rFonts w:hint="eastAsia" w:ascii="仿宋" w:hAnsi="仿宋" w:eastAsia="仿宋" w:cs="仿宋"/>
          <w:color w:val="auto"/>
          <w:spacing w:val="-17"/>
          <w:sz w:val="24"/>
          <w:szCs w:val="24"/>
          <w:highlight w:val="none"/>
          <w:lang w:eastAsia="zh-CN"/>
        </w:rPr>
        <w:t>日期：</w:t>
      </w:r>
    </w:p>
    <w:p w14:paraId="5E7BD04A">
      <w:pPr>
        <w:spacing w:line="286" w:lineRule="auto"/>
        <w:rPr>
          <w:rFonts w:ascii="仿宋" w:hAnsi="仿宋" w:eastAsia="仿宋" w:cs="仿宋"/>
          <w:color w:val="auto"/>
          <w:highlight w:val="none"/>
          <w:lang w:eastAsia="zh-CN"/>
        </w:rPr>
      </w:pPr>
    </w:p>
    <w:p w14:paraId="4F126413">
      <w:pPr>
        <w:pageBreakBefore/>
        <w:spacing w:before="97" w:line="360" w:lineRule="auto"/>
        <w:ind w:left="40"/>
        <w:outlineLvl w:val="2"/>
        <w:rPr>
          <w:rFonts w:ascii="仿宋" w:hAnsi="仿宋" w:eastAsia="仿宋" w:cs="仿宋"/>
          <w:b/>
          <w:bCs/>
          <w:color w:val="auto"/>
          <w:spacing w:val="-3"/>
          <w:sz w:val="24"/>
          <w:szCs w:val="24"/>
          <w:highlight w:val="none"/>
          <w:lang w:eastAsia="zh-CN"/>
        </w:rPr>
      </w:pPr>
      <w:bookmarkStart w:id="425" w:name="_Toc30508"/>
      <w:bookmarkStart w:id="426" w:name="_Toc186477801"/>
      <w:r>
        <w:rPr>
          <w:rFonts w:hint="eastAsia" w:ascii="仿宋" w:hAnsi="仿宋" w:eastAsia="仿宋" w:cs="仿宋"/>
          <w:b/>
          <w:bCs/>
          <w:color w:val="auto"/>
          <w:spacing w:val="-3"/>
          <w:sz w:val="24"/>
          <w:szCs w:val="24"/>
          <w:highlight w:val="none"/>
          <w:lang w:eastAsia="zh-CN"/>
        </w:rPr>
        <w:t>（二）</w:t>
      </w:r>
      <w:bookmarkStart w:id="427" w:name="OLE_LINK14"/>
      <w:bookmarkStart w:id="428" w:name="OLE_LINK15"/>
      <w:r>
        <w:rPr>
          <w:rFonts w:hint="eastAsia" w:ascii="仿宋" w:hAnsi="仿宋" w:eastAsia="仿宋" w:cs="仿宋"/>
          <w:b/>
          <w:bCs/>
          <w:color w:val="auto"/>
          <w:spacing w:val="-3"/>
          <w:sz w:val="24"/>
          <w:szCs w:val="24"/>
          <w:highlight w:val="none"/>
          <w:lang w:eastAsia="zh-CN"/>
        </w:rPr>
        <w:t>中小企业声明函</w:t>
      </w:r>
      <w:bookmarkEnd w:id="425"/>
      <w:bookmarkEnd w:id="427"/>
      <w:bookmarkEnd w:id="428"/>
    </w:p>
    <w:bookmarkEnd w:id="426"/>
    <w:p w14:paraId="73BDB812">
      <w:pPr>
        <w:spacing w:after="240" w:line="276" w:lineRule="auto"/>
        <w:ind w:firstLine="560" w:firstLineChars="200"/>
        <w:jc w:val="center"/>
        <w:rPr>
          <w:rFonts w:ascii="仿宋" w:hAnsi="仿宋" w:eastAsia="仿宋" w:cs="仿宋"/>
          <w:color w:val="auto"/>
          <w:sz w:val="24"/>
          <w:highlight w:val="none"/>
          <w:lang w:eastAsia="zh-CN"/>
        </w:rPr>
      </w:pPr>
      <w:r>
        <w:rPr>
          <w:rFonts w:hint="eastAsia" w:ascii="仿宋" w:hAnsi="仿宋" w:eastAsia="仿宋" w:cs="仿宋"/>
          <w:color w:val="auto"/>
          <w:sz w:val="28"/>
          <w:szCs w:val="28"/>
          <w:highlight w:val="none"/>
          <w:lang w:eastAsia="zh-CN"/>
        </w:rPr>
        <w:t>中小企业声明函(货物)</w:t>
      </w:r>
    </w:p>
    <w:p w14:paraId="63DD8B51">
      <w:pPr>
        <w:spacing w:after="240" w:line="276" w:lineRule="auto"/>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本公司（联合体）郑重声明，根据《政府采购促进中小企业发展管理办法》（财库[2020]46号）的规定，本公司（联合体）参加</w:t>
      </w:r>
      <w:r>
        <w:rPr>
          <w:rFonts w:hint="eastAsia" w:ascii="仿宋" w:hAnsi="仿宋" w:eastAsia="仿宋" w:cs="仿宋"/>
          <w:b/>
          <w:bCs/>
          <w:i/>
          <w:iCs/>
          <w:color w:val="auto"/>
          <w:sz w:val="24"/>
          <w:highlight w:val="none"/>
          <w:u w:val="single"/>
          <w:lang w:eastAsia="zh-CN"/>
        </w:rPr>
        <w:t xml:space="preserve">（单位名称）    </w:t>
      </w:r>
      <w:r>
        <w:rPr>
          <w:rFonts w:hint="eastAsia" w:ascii="仿宋" w:hAnsi="仿宋" w:eastAsia="仿宋" w:cs="仿宋"/>
          <w:color w:val="auto"/>
          <w:sz w:val="24"/>
          <w:highlight w:val="none"/>
          <w:lang w:eastAsia="zh-CN"/>
        </w:rPr>
        <w:t xml:space="preserve">的 </w:t>
      </w:r>
      <w:r>
        <w:rPr>
          <w:rFonts w:hint="eastAsia" w:ascii="仿宋" w:hAnsi="仿宋" w:eastAsia="仿宋" w:cs="仿宋"/>
          <w:b/>
          <w:bCs/>
          <w:i/>
          <w:iCs/>
          <w:color w:val="auto"/>
          <w:sz w:val="24"/>
          <w:highlight w:val="none"/>
          <w:u w:val="single"/>
          <w:lang w:eastAsia="zh-CN"/>
        </w:rPr>
        <w:t xml:space="preserve">（项目名称）  </w:t>
      </w:r>
      <w:r>
        <w:rPr>
          <w:rFonts w:hint="eastAsia" w:ascii="仿宋" w:hAnsi="仿宋" w:eastAsia="仿宋" w:cs="仿宋"/>
          <w:color w:val="auto"/>
          <w:sz w:val="24"/>
          <w:highlight w:val="none"/>
          <w:lang w:eastAsia="zh-CN"/>
        </w:rPr>
        <w:t>采购活动，提供的货物全部由符合政策要求的中小企业制造。相关企业（含联合体中的中小企业、签订分包意向协议的中小企业）的具体情况如下：</w:t>
      </w:r>
    </w:p>
    <w:p w14:paraId="174F0111">
      <w:pPr>
        <w:spacing w:after="100" w:afterAutospacing="1" w:line="276" w:lineRule="auto"/>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 </w:t>
      </w:r>
      <w:bookmarkStart w:id="429" w:name="OLE_LINK27"/>
      <w:bookmarkStart w:id="430" w:name="OLE_LINK28"/>
      <w:r>
        <w:rPr>
          <w:rFonts w:hint="eastAsia" w:ascii="仿宋" w:hAnsi="仿宋" w:eastAsia="仿宋" w:cs="仿宋"/>
          <w:b/>
          <w:bCs/>
          <w:i/>
          <w:iCs/>
          <w:color w:val="auto"/>
          <w:sz w:val="24"/>
          <w:highlight w:val="none"/>
          <w:u w:val="single"/>
          <w:lang w:eastAsia="zh-CN"/>
        </w:rPr>
        <w:t xml:space="preserve">  （标的名称）见附表</w:t>
      </w:r>
      <w:r>
        <w:rPr>
          <w:rFonts w:hint="eastAsia" w:ascii="仿宋" w:hAnsi="仿宋" w:eastAsia="仿宋" w:cs="仿宋"/>
          <w:color w:val="auto"/>
          <w:sz w:val="24"/>
          <w:highlight w:val="none"/>
          <w:lang w:eastAsia="zh-CN"/>
        </w:rPr>
        <w:t>，属于</w:t>
      </w:r>
      <w:r>
        <w:rPr>
          <w:rFonts w:hint="eastAsia" w:ascii="仿宋" w:hAnsi="仿宋" w:eastAsia="仿宋" w:cs="仿宋"/>
          <w:b/>
          <w:bCs/>
          <w:i/>
          <w:iCs/>
          <w:color w:val="auto"/>
          <w:sz w:val="24"/>
          <w:highlight w:val="none"/>
          <w:u w:val="single"/>
          <w:lang w:eastAsia="zh-CN"/>
        </w:rPr>
        <w:t xml:space="preserve">   （请填写采购文件中明确的所属行业）见附表</w:t>
      </w:r>
      <w:r>
        <w:rPr>
          <w:rFonts w:hint="eastAsia" w:ascii="仿宋" w:hAnsi="仿宋" w:eastAsia="仿宋" w:cs="仿宋"/>
          <w:color w:val="auto"/>
          <w:sz w:val="24"/>
          <w:highlight w:val="none"/>
          <w:lang w:eastAsia="zh-CN"/>
        </w:rPr>
        <w:t>；</w:t>
      </w:r>
      <w:bookmarkStart w:id="431" w:name="OLE_LINK26"/>
      <w:bookmarkStart w:id="432" w:name="OLE_LINK25"/>
      <w:r>
        <w:rPr>
          <w:rFonts w:hint="eastAsia" w:ascii="仿宋" w:hAnsi="仿宋" w:eastAsia="仿宋" w:cs="仿宋"/>
          <w:color w:val="auto"/>
          <w:sz w:val="24"/>
          <w:highlight w:val="none"/>
          <w:lang w:eastAsia="zh-CN"/>
        </w:rPr>
        <w:t>制造商为</w:t>
      </w:r>
      <w:r>
        <w:rPr>
          <w:rFonts w:hint="eastAsia" w:ascii="仿宋" w:hAnsi="仿宋" w:eastAsia="仿宋" w:cs="仿宋"/>
          <w:b/>
          <w:bCs/>
          <w:i/>
          <w:iCs/>
          <w:color w:val="auto"/>
          <w:sz w:val="24"/>
          <w:highlight w:val="none"/>
          <w:u w:val="single"/>
          <w:lang w:eastAsia="zh-CN"/>
        </w:rPr>
        <w:t xml:space="preserve">   （企业名称）见附表</w:t>
      </w:r>
      <w:r>
        <w:rPr>
          <w:rFonts w:hint="eastAsia" w:ascii="仿宋" w:hAnsi="仿宋" w:eastAsia="仿宋" w:cs="仿宋"/>
          <w:color w:val="auto"/>
          <w:sz w:val="24"/>
          <w:highlight w:val="none"/>
          <w:lang w:eastAsia="zh-CN"/>
        </w:rPr>
        <w:t>，从业人员</w:t>
      </w:r>
      <w:r>
        <w:rPr>
          <w:rFonts w:hint="eastAsia" w:ascii="仿宋" w:hAnsi="仿宋" w:eastAsia="仿宋" w:cs="仿宋"/>
          <w:b/>
          <w:bCs/>
          <w:i/>
          <w:iCs/>
          <w:color w:val="auto"/>
          <w:sz w:val="24"/>
          <w:highlight w:val="none"/>
          <w:u w:val="single"/>
          <w:lang w:eastAsia="zh-CN"/>
        </w:rPr>
        <w:t>见附表</w:t>
      </w:r>
      <w:r>
        <w:rPr>
          <w:rFonts w:hint="eastAsia" w:ascii="仿宋" w:hAnsi="仿宋" w:eastAsia="仿宋" w:cs="仿宋"/>
          <w:color w:val="auto"/>
          <w:sz w:val="24"/>
          <w:highlight w:val="none"/>
          <w:lang w:eastAsia="zh-CN"/>
        </w:rPr>
        <w:t>人，营业收入为</w:t>
      </w:r>
      <w:r>
        <w:rPr>
          <w:rFonts w:hint="eastAsia" w:ascii="仿宋" w:hAnsi="仿宋" w:eastAsia="仿宋" w:cs="仿宋"/>
          <w:b/>
          <w:bCs/>
          <w:i/>
          <w:iCs/>
          <w:color w:val="auto"/>
          <w:sz w:val="24"/>
          <w:highlight w:val="none"/>
          <w:u w:val="single"/>
          <w:lang w:eastAsia="zh-CN"/>
        </w:rPr>
        <w:t>见附表</w:t>
      </w:r>
      <w:r>
        <w:rPr>
          <w:rFonts w:hint="eastAsia" w:ascii="仿宋" w:hAnsi="仿宋" w:eastAsia="仿宋" w:cs="仿宋"/>
          <w:color w:val="auto"/>
          <w:sz w:val="24"/>
          <w:highlight w:val="none"/>
          <w:lang w:eastAsia="zh-CN"/>
        </w:rPr>
        <w:t>万元，资产总额为</w:t>
      </w:r>
      <w:r>
        <w:rPr>
          <w:rFonts w:hint="eastAsia" w:ascii="仿宋" w:hAnsi="仿宋" w:eastAsia="仿宋" w:cs="仿宋"/>
          <w:b/>
          <w:bCs/>
          <w:i/>
          <w:iCs/>
          <w:color w:val="auto"/>
          <w:sz w:val="24"/>
          <w:highlight w:val="none"/>
          <w:u w:val="single"/>
          <w:lang w:eastAsia="zh-CN"/>
        </w:rPr>
        <w:t>见附表</w:t>
      </w:r>
      <w:r>
        <w:rPr>
          <w:rFonts w:hint="eastAsia" w:ascii="仿宋" w:hAnsi="仿宋" w:eastAsia="仿宋" w:cs="仿宋"/>
          <w:color w:val="auto"/>
          <w:sz w:val="24"/>
          <w:highlight w:val="none"/>
          <w:lang w:eastAsia="zh-CN"/>
        </w:rPr>
        <w:t>万元，属于</w:t>
      </w:r>
      <w:r>
        <w:rPr>
          <w:rFonts w:hint="eastAsia" w:ascii="仿宋" w:hAnsi="仿宋" w:eastAsia="仿宋" w:cs="仿宋"/>
          <w:b/>
          <w:bCs/>
          <w:i/>
          <w:iCs/>
          <w:color w:val="auto"/>
          <w:sz w:val="24"/>
          <w:highlight w:val="none"/>
          <w:u w:val="single"/>
          <w:lang w:eastAsia="zh-CN"/>
        </w:rPr>
        <w:t>（中型企业、小型企业、微型企业）见附表</w:t>
      </w:r>
      <w:r>
        <w:rPr>
          <w:rFonts w:hint="eastAsia" w:ascii="仿宋" w:hAnsi="仿宋" w:eastAsia="仿宋" w:cs="仿宋"/>
          <w:color w:val="auto"/>
          <w:sz w:val="24"/>
          <w:highlight w:val="none"/>
          <w:lang w:eastAsia="zh-CN"/>
        </w:rPr>
        <w:t>；</w:t>
      </w:r>
      <w:bookmarkEnd w:id="429"/>
      <w:bookmarkEnd w:id="430"/>
      <w:bookmarkEnd w:id="431"/>
      <w:bookmarkEnd w:id="432"/>
    </w:p>
    <w:p w14:paraId="4F761661">
      <w:pPr>
        <w:spacing w:before="100" w:beforeAutospacing="1" w:after="100" w:afterAutospacing="1" w:line="276" w:lineRule="auto"/>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b/>
          <w:bCs/>
          <w:i/>
          <w:iCs/>
          <w:color w:val="auto"/>
          <w:sz w:val="24"/>
          <w:highlight w:val="none"/>
          <w:u w:val="single"/>
          <w:lang w:eastAsia="zh-CN"/>
        </w:rPr>
        <w:t xml:space="preserve">  （标的名称）见附表</w:t>
      </w:r>
      <w:r>
        <w:rPr>
          <w:rFonts w:hint="eastAsia" w:ascii="仿宋" w:hAnsi="仿宋" w:eastAsia="仿宋" w:cs="仿宋"/>
          <w:color w:val="auto"/>
          <w:sz w:val="24"/>
          <w:highlight w:val="none"/>
          <w:lang w:eastAsia="zh-CN"/>
        </w:rPr>
        <w:t>，属于</w:t>
      </w:r>
      <w:r>
        <w:rPr>
          <w:rFonts w:hint="eastAsia" w:ascii="仿宋" w:hAnsi="仿宋" w:eastAsia="仿宋" w:cs="仿宋"/>
          <w:b/>
          <w:bCs/>
          <w:i/>
          <w:iCs/>
          <w:color w:val="auto"/>
          <w:sz w:val="24"/>
          <w:highlight w:val="none"/>
          <w:u w:val="single"/>
          <w:lang w:eastAsia="zh-CN"/>
        </w:rPr>
        <w:t xml:space="preserve">   （请填写采购文件中明确的所属行业）见附表</w:t>
      </w:r>
      <w:r>
        <w:rPr>
          <w:rFonts w:hint="eastAsia" w:ascii="仿宋" w:hAnsi="仿宋" w:eastAsia="仿宋" w:cs="仿宋"/>
          <w:color w:val="auto"/>
          <w:sz w:val="24"/>
          <w:highlight w:val="none"/>
          <w:lang w:eastAsia="zh-CN"/>
        </w:rPr>
        <w:t>；制造商为</w:t>
      </w:r>
      <w:r>
        <w:rPr>
          <w:rFonts w:hint="eastAsia" w:ascii="仿宋" w:hAnsi="仿宋" w:eastAsia="仿宋" w:cs="仿宋"/>
          <w:b/>
          <w:bCs/>
          <w:i/>
          <w:iCs/>
          <w:color w:val="auto"/>
          <w:sz w:val="24"/>
          <w:highlight w:val="none"/>
          <w:u w:val="single"/>
          <w:lang w:eastAsia="zh-CN"/>
        </w:rPr>
        <w:t xml:space="preserve">   （企业名称）见附表</w:t>
      </w:r>
      <w:r>
        <w:rPr>
          <w:rFonts w:hint="eastAsia" w:ascii="仿宋" w:hAnsi="仿宋" w:eastAsia="仿宋" w:cs="仿宋"/>
          <w:color w:val="auto"/>
          <w:sz w:val="24"/>
          <w:highlight w:val="none"/>
          <w:lang w:eastAsia="zh-CN"/>
        </w:rPr>
        <w:t>，从业人员</w:t>
      </w:r>
      <w:r>
        <w:rPr>
          <w:rFonts w:hint="eastAsia" w:ascii="仿宋" w:hAnsi="仿宋" w:eastAsia="仿宋" w:cs="仿宋"/>
          <w:b/>
          <w:bCs/>
          <w:i/>
          <w:iCs/>
          <w:color w:val="auto"/>
          <w:sz w:val="24"/>
          <w:highlight w:val="none"/>
          <w:u w:val="single"/>
          <w:lang w:eastAsia="zh-CN"/>
        </w:rPr>
        <w:t>见附表</w:t>
      </w:r>
      <w:r>
        <w:rPr>
          <w:rFonts w:hint="eastAsia" w:ascii="仿宋" w:hAnsi="仿宋" w:eastAsia="仿宋" w:cs="仿宋"/>
          <w:color w:val="auto"/>
          <w:sz w:val="24"/>
          <w:highlight w:val="none"/>
          <w:lang w:eastAsia="zh-CN"/>
        </w:rPr>
        <w:t>人，营业收入为</w:t>
      </w:r>
      <w:r>
        <w:rPr>
          <w:rFonts w:hint="eastAsia" w:ascii="仿宋" w:hAnsi="仿宋" w:eastAsia="仿宋" w:cs="仿宋"/>
          <w:b/>
          <w:bCs/>
          <w:i/>
          <w:iCs/>
          <w:color w:val="auto"/>
          <w:sz w:val="24"/>
          <w:highlight w:val="none"/>
          <w:u w:val="single"/>
          <w:lang w:eastAsia="zh-CN"/>
        </w:rPr>
        <w:t>见附表</w:t>
      </w:r>
      <w:r>
        <w:rPr>
          <w:rFonts w:hint="eastAsia" w:ascii="仿宋" w:hAnsi="仿宋" w:eastAsia="仿宋" w:cs="仿宋"/>
          <w:color w:val="auto"/>
          <w:sz w:val="24"/>
          <w:highlight w:val="none"/>
          <w:lang w:eastAsia="zh-CN"/>
        </w:rPr>
        <w:t>万元，资产总额为</w:t>
      </w:r>
      <w:r>
        <w:rPr>
          <w:rFonts w:hint="eastAsia" w:ascii="仿宋" w:hAnsi="仿宋" w:eastAsia="仿宋" w:cs="仿宋"/>
          <w:b/>
          <w:bCs/>
          <w:i/>
          <w:iCs/>
          <w:color w:val="auto"/>
          <w:sz w:val="24"/>
          <w:highlight w:val="none"/>
          <w:u w:val="single"/>
          <w:lang w:eastAsia="zh-CN"/>
        </w:rPr>
        <w:t>见附表</w:t>
      </w:r>
      <w:r>
        <w:rPr>
          <w:rFonts w:hint="eastAsia" w:ascii="仿宋" w:hAnsi="仿宋" w:eastAsia="仿宋" w:cs="仿宋"/>
          <w:color w:val="auto"/>
          <w:sz w:val="24"/>
          <w:highlight w:val="none"/>
          <w:lang w:eastAsia="zh-CN"/>
        </w:rPr>
        <w:t>万元，属于</w:t>
      </w:r>
      <w:r>
        <w:rPr>
          <w:rFonts w:hint="eastAsia" w:ascii="仿宋" w:hAnsi="仿宋" w:eastAsia="仿宋" w:cs="仿宋"/>
          <w:b/>
          <w:bCs/>
          <w:i/>
          <w:iCs/>
          <w:color w:val="auto"/>
          <w:sz w:val="24"/>
          <w:highlight w:val="none"/>
          <w:u w:val="single"/>
          <w:lang w:eastAsia="zh-CN"/>
        </w:rPr>
        <w:t>（中型企业、小型企业、微型企业）见附表</w:t>
      </w:r>
      <w:r>
        <w:rPr>
          <w:rFonts w:hint="eastAsia" w:ascii="仿宋" w:hAnsi="仿宋" w:eastAsia="仿宋" w:cs="仿宋"/>
          <w:color w:val="auto"/>
          <w:sz w:val="24"/>
          <w:highlight w:val="none"/>
          <w:lang w:eastAsia="zh-CN"/>
        </w:rPr>
        <w:t>；</w:t>
      </w:r>
    </w:p>
    <w:p w14:paraId="1EF8AC5D">
      <w:pPr>
        <w:spacing w:before="100" w:beforeAutospacing="1" w:after="100" w:afterAutospacing="1" w:line="3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p>
    <w:p w14:paraId="7D121219">
      <w:pPr>
        <w:spacing w:line="276" w:lineRule="auto"/>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以上企业，不属于大企业的分支机构，不存在控股股东为大企业的情形，也不存在与大企业的负责人为同一人的情形。</w:t>
      </w:r>
    </w:p>
    <w:p w14:paraId="734FDB7B">
      <w:pPr>
        <w:spacing w:before="100" w:beforeAutospacing="1" w:after="100" w:afterAutospacing="1" w:line="3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本企业对上述声明内容的真实性负责。如有虚假，将依法承担相应责任。</w:t>
      </w:r>
    </w:p>
    <w:p w14:paraId="4D543D63">
      <w:pPr>
        <w:spacing w:before="100" w:beforeAutospacing="1" w:after="100" w:afterAutospacing="1" w:line="3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企业名称（盖章）：</w:t>
      </w:r>
    </w:p>
    <w:p w14:paraId="537F93B9">
      <w:pPr>
        <w:spacing w:before="100" w:beforeAutospacing="1" w:after="100" w:afterAutospacing="1" w:line="3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日期：</w:t>
      </w:r>
    </w:p>
    <w:p w14:paraId="2CD1852E">
      <w:pPr>
        <w:spacing w:line="336" w:lineRule="auto"/>
        <w:ind w:firstLine="207" w:firstLineChars="98"/>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注1：本项目标的种类多，为了不错报漏报，请供应商按本中小企业声明函(货物)格式要求填报单位名称、项目名称并盖章确认后，在</w:t>
      </w:r>
      <w:r>
        <w:rPr>
          <w:rFonts w:hint="eastAsia" w:ascii="仿宋" w:hAnsi="仿宋" w:eastAsia="仿宋" w:cs="仿宋"/>
          <w:b/>
          <w:color w:val="auto"/>
          <w:sz w:val="24"/>
          <w:szCs w:val="24"/>
          <w:highlight w:val="none"/>
          <w:lang w:eastAsia="zh-CN"/>
        </w:rPr>
        <w:t>后附表</w:t>
      </w:r>
      <w:r>
        <w:rPr>
          <w:rFonts w:hint="eastAsia" w:ascii="仿宋" w:hAnsi="仿宋" w:eastAsia="仿宋" w:cs="仿宋"/>
          <w:b/>
          <w:color w:val="auto"/>
          <w:highlight w:val="none"/>
          <w:lang w:eastAsia="zh-CN"/>
        </w:rPr>
        <w:t>中填报中小企业声明函中的相关信息。</w:t>
      </w:r>
    </w:p>
    <w:p w14:paraId="15E4D35A">
      <w:pPr>
        <w:spacing w:line="336" w:lineRule="auto"/>
        <w:ind w:firstLine="207" w:firstLineChars="98"/>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注2：</w:t>
      </w:r>
      <w:bookmarkStart w:id="433" w:name="OLE_LINK21"/>
      <w:bookmarkStart w:id="434" w:name="OLE_LINK20"/>
      <w:bookmarkStart w:id="435" w:name="OLE_LINK22"/>
      <w:r>
        <w:rPr>
          <w:rFonts w:hint="eastAsia" w:ascii="仿宋" w:hAnsi="仿宋" w:eastAsia="仿宋" w:cs="仿宋"/>
          <w:b/>
          <w:color w:val="auto"/>
          <w:highlight w:val="none"/>
          <w:lang w:eastAsia="zh-CN"/>
        </w:rPr>
        <w:t>本项目专门面向中小企业采购。</w:t>
      </w:r>
      <w:bookmarkEnd w:id="433"/>
      <w:bookmarkEnd w:id="434"/>
      <w:bookmarkEnd w:id="435"/>
    </w:p>
    <w:p w14:paraId="2FF767D7">
      <w:pPr>
        <w:spacing w:line="336" w:lineRule="auto"/>
        <w:ind w:firstLine="207" w:firstLineChars="98"/>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3：投标人应当对其出具的《中小企业声明函》真实性负责，投标人出具的《中小企业声明函》内容不实的，属于提供虚假材料谋取中标。投标人希望获得规定政策支持的，应从制造商处获得充分、准确的信息。对相关制造商信息了解不充分，或者不能确定相关信息真实、准确的，不建议出具《中小企业声明函》。</w:t>
      </w:r>
    </w:p>
    <w:p w14:paraId="7341F519">
      <w:pPr>
        <w:spacing w:line="336" w:lineRule="auto"/>
        <w:ind w:firstLine="207" w:firstLineChars="98"/>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注4：从业人员、营业收入、资产总额填报上一年度数据，无上一年度数据的新成立企业可不填报。</w:t>
      </w:r>
    </w:p>
    <w:p w14:paraId="5774754E">
      <w:pPr>
        <w:spacing w:line="336" w:lineRule="auto"/>
        <w:ind w:firstLine="282" w:firstLineChars="134"/>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注5：为方便广大中小企业、政府部门和社会公众识别企业规模类型，工业和信息化部组织开发了中小企业规模类型自测小程序，并于2020年2月27日上线运行，在国务院客户端和工业和信息化部网站上均有链接。</w:t>
      </w:r>
    </w:p>
    <w:p w14:paraId="1ECBE21A">
      <w:pPr>
        <w:kinsoku/>
        <w:autoSpaceDE/>
        <w:autoSpaceDN/>
        <w:adjustRightInd/>
        <w:snapToGrid/>
        <w:rPr>
          <w:rFonts w:ascii="仿宋" w:hAnsi="仿宋" w:eastAsia="仿宋" w:cs="仿宋"/>
          <w:b/>
          <w:color w:val="auto"/>
          <w:spacing w:val="-1"/>
          <w:sz w:val="24"/>
          <w:szCs w:val="24"/>
          <w:highlight w:val="none"/>
          <w:lang w:eastAsia="zh-CN"/>
        </w:rPr>
        <w:sectPr>
          <w:pgSz w:w="11906" w:h="16839"/>
          <w:pgMar w:top="1219" w:right="1416" w:bottom="1389" w:left="1786" w:header="868" w:footer="1185" w:gutter="0"/>
          <w:pgNumType w:fmt="numberInDash"/>
          <w:cols w:space="720" w:num="1"/>
        </w:sectPr>
      </w:pPr>
    </w:p>
    <w:p w14:paraId="79298283">
      <w:pPr>
        <w:rPr>
          <w:b/>
          <w:color w:val="auto"/>
          <w:sz w:val="24"/>
          <w:szCs w:val="24"/>
          <w:highlight w:val="none"/>
          <w:lang w:eastAsia="zh-CN"/>
        </w:rPr>
      </w:pPr>
      <w:r>
        <w:rPr>
          <w:rFonts w:hint="eastAsia" w:ascii="仿宋" w:hAnsi="仿宋" w:eastAsia="仿宋" w:cs="仿宋"/>
          <w:b/>
          <w:color w:val="auto"/>
          <w:spacing w:val="-1"/>
          <w:sz w:val="24"/>
          <w:szCs w:val="24"/>
          <w:highlight w:val="none"/>
          <w:lang w:eastAsia="zh-CN"/>
        </w:rPr>
        <w:t>附表、中小企业声明函中的相关信息</w:t>
      </w:r>
    </w:p>
    <w:tbl>
      <w:tblPr>
        <w:tblStyle w:val="20"/>
        <w:tblpPr w:leftFromText="180" w:rightFromText="180" w:vertAnchor="text" w:horzAnchor="margin" w:tblpXSpec="center" w:tblpY="185"/>
        <w:tblOverlap w:val="never"/>
        <w:tblW w:w="14145" w:type="dxa"/>
        <w:tblInd w:w="0" w:type="dxa"/>
        <w:tblLayout w:type="fixed"/>
        <w:tblCellMar>
          <w:top w:w="0" w:type="dxa"/>
          <w:left w:w="108" w:type="dxa"/>
          <w:bottom w:w="0" w:type="dxa"/>
          <w:right w:w="108" w:type="dxa"/>
        </w:tblCellMar>
      </w:tblPr>
      <w:tblGrid>
        <w:gridCol w:w="563"/>
        <w:gridCol w:w="1843"/>
        <w:gridCol w:w="1180"/>
        <w:gridCol w:w="4746"/>
        <w:gridCol w:w="1134"/>
        <w:gridCol w:w="1134"/>
        <w:gridCol w:w="1276"/>
        <w:gridCol w:w="2269"/>
      </w:tblGrid>
      <w:tr w14:paraId="133436DB">
        <w:tblPrEx>
          <w:tblCellMar>
            <w:top w:w="0" w:type="dxa"/>
            <w:left w:w="108" w:type="dxa"/>
            <w:bottom w:w="0" w:type="dxa"/>
            <w:right w:w="108" w:type="dxa"/>
          </w:tblCellMar>
        </w:tblPrEx>
        <w:trPr>
          <w:trHeight w:val="983" w:hRule="atLeast"/>
        </w:trPr>
        <w:tc>
          <w:tcPr>
            <w:tcW w:w="563" w:type="dxa"/>
            <w:tcBorders>
              <w:top w:val="single" w:color="000000" w:sz="4" w:space="0"/>
              <w:left w:val="single" w:color="000000" w:sz="4" w:space="0"/>
              <w:bottom w:val="single" w:color="auto" w:sz="4" w:space="0"/>
              <w:right w:val="single" w:color="000000" w:sz="4" w:space="0"/>
            </w:tcBorders>
            <w:noWrap/>
            <w:vAlign w:val="center"/>
          </w:tcPr>
          <w:p w14:paraId="5A377673">
            <w:pPr>
              <w:jc w:val="center"/>
              <w:textAlignment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D3A4617">
            <w:pPr>
              <w:jc w:val="center"/>
              <w:textAlignment w:val="center"/>
              <w:rPr>
                <w:rFonts w:ascii="仿宋" w:hAnsi="仿宋" w:eastAsia="仿宋" w:cs="仿宋"/>
                <w:b/>
                <w:bCs/>
                <w:color w:val="auto"/>
                <w:highlight w:val="none"/>
              </w:rPr>
            </w:pPr>
            <w:r>
              <w:rPr>
                <w:rFonts w:hint="eastAsia" w:ascii="仿宋" w:hAnsi="仿宋" w:eastAsia="仿宋" w:cs="仿宋"/>
                <w:b/>
                <w:bCs/>
                <w:color w:val="auto"/>
                <w:highlight w:val="none"/>
              </w:rPr>
              <w:t>标的名称</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D7013F2">
            <w:pPr>
              <w:jc w:val="center"/>
              <w:textAlignment w:val="center"/>
              <w:rPr>
                <w:rFonts w:ascii="仿宋" w:hAnsi="仿宋" w:eastAsia="仿宋" w:cs="仿宋"/>
                <w:b/>
                <w:bCs/>
                <w:color w:val="auto"/>
                <w:highlight w:val="none"/>
                <w:lang w:eastAsia="zh-CN"/>
              </w:rPr>
            </w:pPr>
            <w:r>
              <w:rPr>
                <w:rFonts w:hint="eastAsia" w:ascii="仿宋" w:hAnsi="仿宋" w:eastAsia="仿宋" w:cs="仿宋"/>
                <w:b/>
                <w:bCs/>
                <w:i/>
                <w:iCs/>
                <w:color w:val="auto"/>
                <w:highlight w:val="none"/>
                <w:lang w:eastAsia="zh-CN"/>
              </w:rPr>
              <w:t>采购文件中明确的所属行业</w:t>
            </w:r>
          </w:p>
        </w:tc>
        <w:tc>
          <w:tcPr>
            <w:tcW w:w="4746" w:type="dxa"/>
            <w:tcBorders>
              <w:top w:val="single" w:color="000000" w:sz="4" w:space="0"/>
              <w:left w:val="single" w:color="000000" w:sz="4" w:space="0"/>
              <w:bottom w:val="single" w:color="000000" w:sz="4" w:space="0"/>
              <w:right w:val="single" w:color="000000" w:sz="4" w:space="0"/>
            </w:tcBorders>
            <w:noWrap/>
            <w:vAlign w:val="center"/>
          </w:tcPr>
          <w:p w14:paraId="25129138">
            <w:pPr>
              <w:jc w:val="center"/>
              <w:textAlignment w:val="center"/>
              <w:rPr>
                <w:rFonts w:ascii="仿宋" w:hAnsi="仿宋" w:eastAsia="仿宋" w:cs="仿宋"/>
                <w:b/>
                <w:bCs/>
                <w:color w:val="auto"/>
                <w:highlight w:val="none"/>
              </w:rPr>
            </w:pPr>
            <w:r>
              <w:rPr>
                <w:rFonts w:hint="eastAsia" w:ascii="仿宋" w:hAnsi="仿宋" w:eastAsia="仿宋" w:cs="仿宋"/>
                <w:b/>
                <w:bCs/>
                <w:color w:val="auto"/>
                <w:highlight w:val="none"/>
              </w:rPr>
              <w:t>制造商名称</w:t>
            </w:r>
          </w:p>
        </w:tc>
        <w:tc>
          <w:tcPr>
            <w:tcW w:w="1134" w:type="dxa"/>
            <w:tcBorders>
              <w:top w:val="single" w:color="000000" w:sz="4" w:space="0"/>
              <w:left w:val="single" w:color="000000" w:sz="4" w:space="0"/>
              <w:bottom w:val="single" w:color="000000" w:sz="4" w:space="0"/>
              <w:right w:val="single" w:color="auto" w:sz="4" w:space="0"/>
            </w:tcBorders>
            <w:noWrap/>
            <w:vAlign w:val="center"/>
          </w:tcPr>
          <w:p w14:paraId="42598E99">
            <w:pPr>
              <w:jc w:val="center"/>
              <w:textAlignment w:val="center"/>
              <w:rPr>
                <w:rFonts w:ascii="仿宋" w:hAnsi="仿宋" w:eastAsia="仿宋" w:cs="仿宋"/>
                <w:b/>
                <w:bCs/>
                <w:color w:val="auto"/>
                <w:highlight w:val="none"/>
              </w:rPr>
            </w:pPr>
            <w:r>
              <w:rPr>
                <w:rFonts w:hint="eastAsia" w:ascii="仿宋" w:hAnsi="仿宋" w:eastAsia="仿宋" w:cs="仿宋"/>
                <w:b/>
                <w:bCs/>
                <w:color w:val="auto"/>
                <w:highlight w:val="none"/>
              </w:rPr>
              <w:t>从业人数（个）</w:t>
            </w:r>
          </w:p>
        </w:tc>
        <w:tc>
          <w:tcPr>
            <w:tcW w:w="1134" w:type="dxa"/>
            <w:tcBorders>
              <w:top w:val="single" w:color="000000" w:sz="4" w:space="0"/>
              <w:left w:val="single" w:color="auto" w:sz="4" w:space="0"/>
              <w:bottom w:val="single" w:color="000000" w:sz="4" w:space="0"/>
              <w:right w:val="single" w:color="auto" w:sz="4" w:space="0"/>
            </w:tcBorders>
            <w:vAlign w:val="center"/>
          </w:tcPr>
          <w:p w14:paraId="235932BD">
            <w:pPr>
              <w:jc w:val="center"/>
              <w:textAlignment w:val="center"/>
              <w:rPr>
                <w:rFonts w:ascii="仿宋" w:hAnsi="仿宋" w:eastAsia="仿宋" w:cs="仿宋"/>
                <w:b/>
                <w:bCs/>
                <w:color w:val="auto"/>
                <w:highlight w:val="none"/>
              </w:rPr>
            </w:pPr>
            <w:r>
              <w:rPr>
                <w:rFonts w:hint="eastAsia" w:ascii="仿宋" w:hAnsi="仿宋" w:eastAsia="仿宋" w:cs="仿宋"/>
                <w:b/>
                <w:bCs/>
                <w:color w:val="auto"/>
                <w:highlight w:val="none"/>
              </w:rPr>
              <w:t>营业收入（万元）</w:t>
            </w:r>
          </w:p>
        </w:tc>
        <w:tc>
          <w:tcPr>
            <w:tcW w:w="1276" w:type="dxa"/>
            <w:tcBorders>
              <w:top w:val="single" w:color="000000" w:sz="4" w:space="0"/>
              <w:left w:val="single" w:color="auto" w:sz="4" w:space="0"/>
              <w:bottom w:val="single" w:color="000000" w:sz="4" w:space="0"/>
              <w:right w:val="single" w:color="auto" w:sz="4" w:space="0"/>
            </w:tcBorders>
            <w:vAlign w:val="center"/>
          </w:tcPr>
          <w:p w14:paraId="04681504">
            <w:pPr>
              <w:jc w:val="center"/>
              <w:textAlignment w:val="center"/>
              <w:rPr>
                <w:rFonts w:ascii="仿宋" w:hAnsi="仿宋" w:eastAsia="仿宋" w:cs="仿宋"/>
                <w:b/>
                <w:bCs/>
                <w:color w:val="auto"/>
                <w:highlight w:val="none"/>
              </w:rPr>
            </w:pPr>
            <w:r>
              <w:rPr>
                <w:rFonts w:hint="eastAsia" w:ascii="仿宋" w:hAnsi="仿宋" w:eastAsia="仿宋" w:cs="仿宋"/>
                <w:b/>
                <w:bCs/>
                <w:color w:val="auto"/>
                <w:highlight w:val="none"/>
              </w:rPr>
              <w:t>资产总额（万元）</w:t>
            </w:r>
          </w:p>
        </w:tc>
        <w:tc>
          <w:tcPr>
            <w:tcW w:w="2269" w:type="dxa"/>
            <w:tcBorders>
              <w:top w:val="single" w:color="000000" w:sz="4" w:space="0"/>
              <w:left w:val="single" w:color="auto" w:sz="4" w:space="0"/>
              <w:bottom w:val="single" w:color="000000" w:sz="4" w:space="0"/>
              <w:right w:val="single" w:color="000000" w:sz="4" w:space="0"/>
            </w:tcBorders>
            <w:vAlign w:val="center"/>
          </w:tcPr>
          <w:p w14:paraId="2EBD1EBC">
            <w:pPr>
              <w:jc w:val="center"/>
              <w:textAlignment w:val="cente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企业类型</w:t>
            </w:r>
            <w:r>
              <w:rPr>
                <w:rFonts w:hint="eastAsia" w:ascii="仿宋" w:hAnsi="仿宋" w:eastAsia="仿宋" w:cs="仿宋"/>
                <w:b/>
                <w:bCs/>
                <w:i/>
                <w:iCs/>
                <w:color w:val="auto"/>
                <w:highlight w:val="none"/>
                <w:lang w:eastAsia="zh-CN"/>
              </w:rPr>
              <w:t>（中型企业、小型企业、微型企业）</w:t>
            </w:r>
          </w:p>
        </w:tc>
      </w:tr>
      <w:tr w14:paraId="6BA83AC9">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3FE0292A">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w:t>
            </w:r>
          </w:p>
        </w:tc>
        <w:tc>
          <w:tcPr>
            <w:tcW w:w="1843" w:type="dxa"/>
            <w:tcBorders>
              <w:top w:val="single" w:color="000000" w:sz="4" w:space="0"/>
              <w:left w:val="single" w:color="000000" w:sz="4" w:space="0"/>
              <w:bottom w:val="single" w:color="000000" w:sz="4" w:space="0"/>
              <w:right w:val="single" w:color="000000" w:sz="4" w:space="0"/>
            </w:tcBorders>
            <w:vAlign w:val="center"/>
          </w:tcPr>
          <w:p w14:paraId="2172212E">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实验桌（教师演示台）</w:t>
            </w:r>
          </w:p>
        </w:tc>
        <w:tc>
          <w:tcPr>
            <w:tcW w:w="1180" w:type="dxa"/>
            <w:tcBorders>
              <w:top w:val="single" w:color="000000" w:sz="4" w:space="0"/>
              <w:left w:val="single" w:color="000000" w:sz="4" w:space="0"/>
              <w:bottom w:val="single" w:color="000000" w:sz="4" w:space="0"/>
              <w:right w:val="single" w:color="000000" w:sz="4" w:space="0"/>
            </w:tcBorders>
            <w:vAlign w:val="center"/>
          </w:tcPr>
          <w:p w14:paraId="16F38E9E">
            <w:pPr>
              <w:jc w:val="cente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723062D">
            <w:pPr>
              <w:textAlignment w:val="center"/>
              <w:rPr>
                <w:rFonts w:ascii="仿宋" w:hAnsi="仿宋" w:eastAsia="仿宋" w:cs="仿宋"/>
                <w:color w:val="auto"/>
                <w:highlight w:val="none"/>
                <w:lang w:eastAsia="zh-CN"/>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489BF72">
            <w:pPr>
              <w:textAlignment w:val="center"/>
              <w:rPr>
                <w:rFonts w:ascii="仿宋" w:hAnsi="仿宋" w:eastAsia="仿宋" w:cs="仿宋"/>
                <w:color w:val="auto"/>
                <w:highlight w:val="none"/>
                <w:lang w:eastAsia="zh-CN"/>
              </w:rPr>
            </w:pPr>
          </w:p>
        </w:tc>
        <w:tc>
          <w:tcPr>
            <w:tcW w:w="1134" w:type="dxa"/>
            <w:tcBorders>
              <w:top w:val="single" w:color="000000" w:sz="4" w:space="0"/>
              <w:left w:val="single" w:color="auto" w:sz="4" w:space="0"/>
              <w:bottom w:val="single" w:color="000000" w:sz="4" w:space="0"/>
              <w:right w:val="single" w:color="auto" w:sz="4" w:space="0"/>
            </w:tcBorders>
            <w:vAlign w:val="center"/>
          </w:tcPr>
          <w:p w14:paraId="61899216">
            <w:pPr>
              <w:textAlignment w:val="center"/>
              <w:rPr>
                <w:rFonts w:ascii="仿宋" w:hAnsi="仿宋" w:eastAsia="仿宋" w:cs="仿宋"/>
                <w:color w:val="auto"/>
                <w:highlight w:val="none"/>
                <w:lang w:eastAsia="zh-CN"/>
              </w:rPr>
            </w:pPr>
          </w:p>
        </w:tc>
        <w:tc>
          <w:tcPr>
            <w:tcW w:w="1276" w:type="dxa"/>
            <w:tcBorders>
              <w:top w:val="single" w:color="000000" w:sz="4" w:space="0"/>
              <w:left w:val="single" w:color="auto" w:sz="4" w:space="0"/>
              <w:bottom w:val="single" w:color="000000" w:sz="4" w:space="0"/>
              <w:right w:val="single" w:color="auto" w:sz="4" w:space="0"/>
            </w:tcBorders>
            <w:vAlign w:val="center"/>
          </w:tcPr>
          <w:p w14:paraId="782C4A71">
            <w:pPr>
              <w:textAlignment w:val="center"/>
              <w:rPr>
                <w:rFonts w:ascii="仿宋" w:hAnsi="仿宋" w:eastAsia="仿宋" w:cs="仿宋"/>
                <w:color w:val="auto"/>
                <w:highlight w:val="none"/>
                <w:lang w:eastAsia="zh-CN"/>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096DE17">
            <w:pPr>
              <w:textAlignment w:val="center"/>
              <w:rPr>
                <w:rFonts w:ascii="仿宋" w:hAnsi="仿宋" w:eastAsia="仿宋" w:cs="仿宋"/>
                <w:color w:val="auto"/>
                <w:highlight w:val="none"/>
                <w:lang w:eastAsia="zh-CN"/>
              </w:rPr>
            </w:pPr>
          </w:p>
        </w:tc>
      </w:tr>
      <w:tr w14:paraId="4121BA9C">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02733E9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w:t>
            </w:r>
          </w:p>
        </w:tc>
        <w:tc>
          <w:tcPr>
            <w:tcW w:w="1843" w:type="dxa"/>
            <w:tcBorders>
              <w:top w:val="single" w:color="000000" w:sz="4" w:space="0"/>
              <w:left w:val="single" w:color="000000" w:sz="4" w:space="0"/>
              <w:bottom w:val="single" w:color="000000" w:sz="4" w:space="0"/>
              <w:right w:val="single" w:color="000000" w:sz="4" w:space="0"/>
            </w:tcBorders>
            <w:vAlign w:val="center"/>
          </w:tcPr>
          <w:p w14:paraId="34043D5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教师椅</w:t>
            </w:r>
          </w:p>
        </w:tc>
        <w:tc>
          <w:tcPr>
            <w:tcW w:w="1180" w:type="dxa"/>
            <w:tcBorders>
              <w:top w:val="single" w:color="000000" w:sz="4" w:space="0"/>
              <w:left w:val="single" w:color="000000" w:sz="4" w:space="0"/>
              <w:bottom w:val="single" w:color="000000" w:sz="4" w:space="0"/>
              <w:right w:val="single" w:color="000000" w:sz="4" w:space="0"/>
            </w:tcBorders>
            <w:vAlign w:val="center"/>
          </w:tcPr>
          <w:p w14:paraId="5CF3C2E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F6B85EC">
            <w:pP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0958064">
            <w:pP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49E8AB1D">
            <w:pP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265382A">
            <w:pP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0A9A68C">
            <w:pPr>
              <w:textAlignment w:val="center"/>
              <w:rPr>
                <w:rFonts w:ascii="仿宋" w:hAnsi="仿宋" w:eastAsia="仿宋" w:cs="仿宋"/>
                <w:color w:val="auto"/>
                <w:highlight w:val="none"/>
              </w:rPr>
            </w:pPr>
          </w:p>
        </w:tc>
      </w:tr>
      <w:tr w14:paraId="0B83CDA8">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316DBF2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w:t>
            </w:r>
          </w:p>
        </w:tc>
        <w:tc>
          <w:tcPr>
            <w:tcW w:w="1843" w:type="dxa"/>
            <w:tcBorders>
              <w:top w:val="single" w:color="000000" w:sz="4" w:space="0"/>
              <w:left w:val="single" w:color="000000" w:sz="4" w:space="0"/>
              <w:bottom w:val="single" w:color="000000" w:sz="4" w:space="0"/>
              <w:right w:val="single" w:color="000000" w:sz="4" w:space="0"/>
            </w:tcBorders>
            <w:vAlign w:val="center"/>
          </w:tcPr>
          <w:p w14:paraId="16E0BC5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教师电源</w:t>
            </w:r>
          </w:p>
        </w:tc>
        <w:tc>
          <w:tcPr>
            <w:tcW w:w="1180" w:type="dxa"/>
            <w:tcBorders>
              <w:top w:val="single" w:color="000000" w:sz="4" w:space="0"/>
              <w:left w:val="single" w:color="000000" w:sz="4" w:space="0"/>
              <w:bottom w:val="single" w:color="000000" w:sz="4" w:space="0"/>
              <w:right w:val="single" w:color="000000" w:sz="4" w:space="0"/>
            </w:tcBorders>
            <w:vAlign w:val="center"/>
          </w:tcPr>
          <w:p w14:paraId="019B42F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DC61ABA">
            <w:pP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390B359">
            <w:pP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514E834A">
            <w:pP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36BA612">
            <w:pP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47BC08B">
            <w:pPr>
              <w:textAlignment w:val="center"/>
              <w:rPr>
                <w:rFonts w:ascii="仿宋" w:hAnsi="仿宋" w:eastAsia="仿宋" w:cs="仿宋"/>
                <w:color w:val="auto"/>
                <w:highlight w:val="none"/>
              </w:rPr>
            </w:pPr>
          </w:p>
        </w:tc>
      </w:tr>
      <w:tr w14:paraId="7F8A8C4B">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7CD7F10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1843" w:type="dxa"/>
            <w:tcBorders>
              <w:top w:val="single" w:color="000000" w:sz="4" w:space="0"/>
              <w:left w:val="single" w:color="000000" w:sz="4" w:space="0"/>
              <w:bottom w:val="single" w:color="000000" w:sz="4" w:space="0"/>
              <w:right w:val="single" w:color="000000" w:sz="4" w:space="0"/>
            </w:tcBorders>
            <w:vAlign w:val="center"/>
          </w:tcPr>
          <w:p w14:paraId="755250D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智能吊装控制系统</w:t>
            </w:r>
          </w:p>
        </w:tc>
        <w:tc>
          <w:tcPr>
            <w:tcW w:w="1180" w:type="dxa"/>
            <w:tcBorders>
              <w:top w:val="single" w:color="000000" w:sz="4" w:space="0"/>
              <w:left w:val="single" w:color="000000" w:sz="4" w:space="0"/>
              <w:bottom w:val="single" w:color="000000" w:sz="4" w:space="0"/>
              <w:right w:val="single" w:color="000000" w:sz="4" w:space="0"/>
            </w:tcBorders>
            <w:vAlign w:val="center"/>
          </w:tcPr>
          <w:p w14:paraId="7015AB1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1769D75">
            <w:pP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731CAF0">
            <w:pP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5D853C7D">
            <w:pP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E264D88">
            <w:pP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366A557">
            <w:pPr>
              <w:textAlignment w:val="center"/>
              <w:rPr>
                <w:rFonts w:ascii="仿宋" w:hAnsi="仿宋" w:eastAsia="仿宋" w:cs="仿宋"/>
                <w:color w:val="auto"/>
                <w:highlight w:val="none"/>
              </w:rPr>
            </w:pPr>
          </w:p>
        </w:tc>
      </w:tr>
      <w:tr w14:paraId="6983D2D2">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2090524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5</w:t>
            </w:r>
          </w:p>
        </w:tc>
        <w:tc>
          <w:tcPr>
            <w:tcW w:w="1843" w:type="dxa"/>
            <w:tcBorders>
              <w:top w:val="single" w:color="000000" w:sz="4" w:space="0"/>
              <w:left w:val="single" w:color="000000" w:sz="4" w:space="0"/>
              <w:bottom w:val="single" w:color="000000" w:sz="4" w:space="0"/>
              <w:right w:val="single" w:color="000000" w:sz="4" w:space="0"/>
            </w:tcBorders>
            <w:vAlign w:val="center"/>
          </w:tcPr>
          <w:p w14:paraId="68B71E2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实验桌（学生）</w:t>
            </w:r>
          </w:p>
        </w:tc>
        <w:tc>
          <w:tcPr>
            <w:tcW w:w="1180" w:type="dxa"/>
            <w:tcBorders>
              <w:top w:val="single" w:color="000000" w:sz="4" w:space="0"/>
              <w:left w:val="single" w:color="000000" w:sz="4" w:space="0"/>
              <w:bottom w:val="single" w:color="000000" w:sz="4" w:space="0"/>
              <w:right w:val="single" w:color="000000" w:sz="4" w:space="0"/>
            </w:tcBorders>
            <w:vAlign w:val="center"/>
          </w:tcPr>
          <w:p w14:paraId="6B4EAEF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E587287">
            <w:pP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349492E">
            <w:pP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65D0D759">
            <w:pP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A45CEDA">
            <w:pP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D0E74DE">
            <w:pPr>
              <w:textAlignment w:val="center"/>
              <w:rPr>
                <w:rFonts w:ascii="仿宋" w:hAnsi="仿宋" w:eastAsia="仿宋" w:cs="仿宋"/>
                <w:color w:val="auto"/>
                <w:highlight w:val="none"/>
              </w:rPr>
            </w:pPr>
          </w:p>
        </w:tc>
      </w:tr>
      <w:tr w14:paraId="008DDEC4">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66CC60D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6</w:t>
            </w:r>
          </w:p>
        </w:tc>
        <w:tc>
          <w:tcPr>
            <w:tcW w:w="1843" w:type="dxa"/>
            <w:tcBorders>
              <w:top w:val="single" w:color="000000" w:sz="4" w:space="0"/>
              <w:left w:val="single" w:color="000000" w:sz="4" w:space="0"/>
              <w:bottom w:val="single" w:color="000000" w:sz="4" w:space="0"/>
              <w:right w:val="single" w:color="000000" w:sz="4" w:space="0"/>
            </w:tcBorders>
            <w:vAlign w:val="center"/>
          </w:tcPr>
          <w:p w14:paraId="00474B9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学生凳</w:t>
            </w:r>
          </w:p>
        </w:tc>
        <w:tc>
          <w:tcPr>
            <w:tcW w:w="1180" w:type="dxa"/>
            <w:tcBorders>
              <w:top w:val="single" w:color="000000" w:sz="4" w:space="0"/>
              <w:left w:val="single" w:color="000000" w:sz="4" w:space="0"/>
              <w:bottom w:val="single" w:color="000000" w:sz="4" w:space="0"/>
              <w:right w:val="single" w:color="000000" w:sz="4" w:space="0"/>
            </w:tcBorders>
            <w:vAlign w:val="center"/>
          </w:tcPr>
          <w:p w14:paraId="50BA9D9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B4449FF">
            <w:pP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3BCD89B">
            <w:pP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18738599">
            <w:pP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1B51645">
            <w:pP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BA0CBD6">
            <w:pPr>
              <w:textAlignment w:val="center"/>
              <w:rPr>
                <w:rFonts w:ascii="仿宋" w:hAnsi="仿宋" w:eastAsia="仿宋" w:cs="仿宋"/>
                <w:color w:val="auto"/>
                <w:highlight w:val="none"/>
              </w:rPr>
            </w:pPr>
          </w:p>
        </w:tc>
      </w:tr>
      <w:tr w14:paraId="5604A64C">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642EF34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7</w:t>
            </w:r>
          </w:p>
        </w:tc>
        <w:tc>
          <w:tcPr>
            <w:tcW w:w="1843" w:type="dxa"/>
            <w:tcBorders>
              <w:top w:val="single" w:color="000000" w:sz="4" w:space="0"/>
              <w:left w:val="single" w:color="000000" w:sz="4" w:space="0"/>
              <w:bottom w:val="single" w:color="000000" w:sz="4" w:space="0"/>
              <w:right w:val="single" w:color="000000" w:sz="4" w:space="0"/>
            </w:tcBorders>
            <w:vAlign w:val="center"/>
          </w:tcPr>
          <w:p w14:paraId="511066CA">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升降电源（核心产品）</w:t>
            </w:r>
          </w:p>
        </w:tc>
        <w:tc>
          <w:tcPr>
            <w:tcW w:w="1180" w:type="dxa"/>
            <w:tcBorders>
              <w:top w:val="single" w:color="000000" w:sz="4" w:space="0"/>
              <w:left w:val="single" w:color="000000" w:sz="4" w:space="0"/>
              <w:bottom w:val="single" w:color="000000" w:sz="4" w:space="0"/>
              <w:right w:val="single" w:color="000000" w:sz="4" w:space="0"/>
            </w:tcBorders>
            <w:vAlign w:val="center"/>
          </w:tcPr>
          <w:p w14:paraId="4FB73A9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BED15B1">
            <w:pP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DCD95F6">
            <w:pP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5054DE65">
            <w:pP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E7F1A64">
            <w:pP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448C2C6">
            <w:pPr>
              <w:textAlignment w:val="center"/>
              <w:rPr>
                <w:rFonts w:ascii="仿宋" w:hAnsi="仿宋" w:eastAsia="仿宋" w:cs="仿宋"/>
                <w:color w:val="auto"/>
                <w:highlight w:val="none"/>
              </w:rPr>
            </w:pPr>
          </w:p>
        </w:tc>
      </w:tr>
      <w:tr w14:paraId="3183B1C4">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2EFB7E3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8</w:t>
            </w:r>
          </w:p>
        </w:tc>
        <w:tc>
          <w:tcPr>
            <w:tcW w:w="1843" w:type="dxa"/>
            <w:tcBorders>
              <w:top w:val="single" w:color="000000" w:sz="4" w:space="0"/>
              <w:left w:val="single" w:color="000000" w:sz="4" w:space="0"/>
              <w:bottom w:val="single" w:color="000000" w:sz="4" w:space="0"/>
              <w:right w:val="single" w:color="000000" w:sz="4" w:space="0"/>
            </w:tcBorders>
            <w:vAlign w:val="center"/>
          </w:tcPr>
          <w:p w14:paraId="721AFC4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储物架（主）</w:t>
            </w:r>
          </w:p>
        </w:tc>
        <w:tc>
          <w:tcPr>
            <w:tcW w:w="1180" w:type="dxa"/>
            <w:tcBorders>
              <w:top w:val="single" w:color="000000" w:sz="4" w:space="0"/>
              <w:left w:val="single" w:color="000000" w:sz="4" w:space="0"/>
              <w:bottom w:val="single" w:color="000000" w:sz="4" w:space="0"/>
              <w:right w:val="single" w:color="000000" w:sz="4" w:space="0"/>
            </w:tcBorders>
            <w:vAlign w:val="center"/>
          </w:tcPr>
          <w:p w14:paraId="23EF44E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B166F03">
            <w:pP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1B1DC66">
            <w:pP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50D54151">
            <w:pP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ACD6243">
            <w:pP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2799FAE">
            <w:pPr>
              <w:textAlignment w:val="center"/>
              <w:rPr>
                <w:rFonts w:ascii="仿宋" w:hAnsi="仿宋" w:eastAsia="仿宋" w:cs="仿宋"/>
                <w:color w:val="auto"/>
                <w:highlight w:val="none"/>
              </w:rPr>
            </w:pPr>
          </w:p>
        </w:tc>
      </w:tr>
      <w:tr w14:paraId="79A57B25">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1171BC3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9</w:t>
            </w:r>
          </w:p>
        </w:tc>
        <w:tc>
          <w:tcPr>
            <w:tcW w:w="1843" w:type="dxa"/>
            <w:tcBorders>
              <w:top w:val="single" w:color="000000" w:sz="4" w:space="0"/>
              <w:left w:val="single" w:color="000000" w:sz="4" w:space="0"/>
              <w:bottom w:val="single" w:color="000000" w:sz="4" w:space="0"/>
              <w:right w:val="single" w:color="000000" w:sz="4" w:space="0"/>
            </w:tcBorders>
            <w:vAlign w:val="center"/>
          </w:tcPr>
          <w:p w14:paraId="10AB8DB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储物架（副）</w:t>
            </w:r>
          </w:p>
        </w:tc>
        <w:tc>
          <w:tcPr>
            <w:tcW w:w="1180" w:type="dxa"/>
            <w:tcBorders>
              <w:top w:val="single" w:color="000000" w:sz="4" w:space="0"/>
              <w:left w:val="single" w:color="000000" w:sz="4" w:space="0"/>
              <w:bottom w:val="single" w:color="000000" w:sz="4" w:space="0"/>
              <w:right w:val="single" w:color="000000" w:sz="4" w:space="0"/>
            </w:tcBorders>
            <w:vAlign w:val="center"/>
          </w:tcPr>
          <w:p w14:paraId="7306ECBA">
            <w:pPr>
              <w:ind w:left="-65" w:leftChars="-31" w:right="-149" w:rightChars="-71"/>
              <w:jc w:val="cente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09F6037">
            <w:pPr>
              <w:textAlignment w:val="center"/>
              <w:rPr>
                <w:rFonts w:ascii="仿宋" w:hAnsi="仿宋" w:eastAsia="仿宋" w:cs="仿宋"/>
                <w:color w:val="auto"/>
                <w:highlight w:val="none"/>
                <w:lang w:eastAsia="zh-CN"/>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E401780">
            <w:pPr>
              <w:textAlignment w:val="center"/>
              <w:rPr>
                <w:rFonts w:ascii="仿宋" w:hAnsi="仿宋" w:eastAsia="仿宋" w:cs="仿宋"/>
                <w:color w:val="auto"/>
                <w:highlight w:val="none"/>
                <w:lang w:eastAsia="zh-CN"/>
              </w:rPr>
            </w:pPr>
          </w:p>
        </w:tc>
        <w:tc>
          <w:tcPr>
            <w:tcW w:w="1134" w:type="dxa"/>
            <w:tcBorders>
              <w:top w:val="single" w:color="000000" w:sz="4" w:space="0"/>
              <w:left w:val="single" w:color="auto" w:sz="4" w:space="0"/>
              <w:bottom w:val="single" w:color="000000" w:sz="4" w:space="0"/>
              <w:right w:val="single" w:color="auto" w:sz="4" w:space="0"/>
            </w:tcBorders>
            <w:vAlign w:val="center"/>
          </w:tcPr>
          <w:p w14:paraId="2D23ECC4">
            <w:pPr>
              <w:textAlignment w:val="center"/>
              <w:rPr>
                <w:rFonts w:ascii="仿宋" w:hAnsi="仿宋" w:eastAsia="仿宋" w:cs="仿宋"/>
                <w:color w:val="auto"/>
                <w:highlight w:val="none"/>
                <w:lang w:eastAsia="zh-CN"/>
              </w:rPr>
            </w:pPr>
          </w:p>
        </w:tc>
        <w:tc>
          <w:tcPr>
            <w:tcW w:w="1276" w:type="dxa"/>
            <w:tcBorders>
              <w:top w:val="single" w:color="000000" w:sz="4" w:space="0"/>
              <w:left w:val="single" w:color="auto" w:sz="4" w:space="0"/>
              <w:bottom w:val="single" w:color="000000" w:sz="4" w:space="0"/>
              <w:right w:val="single" w:color="auto" w:sz="4" w:space="0"/>
            </w:tcBorders>
            <w:vAlign w:val="center"/>
          </w:tcPr>
          <w:p w14:paraId="0C832178">
            <w:pPr>
              <w:textAlignment w:val="center"/>
              <w:rPr>
                <w:rFonts w:ascii="仿宋" w:hAnsi="仿宋" w:eastAsia="仿宋" w:cs="仿宋"/>
                <w:color w:val="auto"/>
                <w:highlight w:val="none"/>
                <w:lang w:eastAsia="zh-CN"/>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CF811D5">
            <w:pPr>
              <w:textAlignment w:val="center"/>
              <w:rPr>
                <w:rFonts w:ascii="仿宋" w:hAnsi="仿宋" w:eastAsia="仿宋" w:cs="仿宋"/>
                <w:color w:val="auto"/>
                <w:highlight w:val="none"/>
                <w:lang w:eastAsia="zh-CN"/>
              </w:rPr>
            </w:pPr>
          </w:p>
        </w:tc>
      </w:tr>
      <w:tr w14:paraId="60B86DE2">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756151C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10</w:t>
            </w:r>
          </w:p>
        </w:tc>
        <w:tc>
          <w:tcPr>
            <w:tcW w:w="1843" w:type="dxa"/>
            <w:tcBorders>
              <w:top w:val="single" w:color="000000" w:sz="4" w:space="0"/>
              <w:left w:val="single" w:color="000000" w:sz="4" w:space="0"/>
              <w:bottom w:val="single" w:color="000000" w:sz="4" w:space="0"/>
              <w:right w:val="single" w:color="000000" w:sz="4" w:space="0"/>
            </w:tcBorders>
            <w:vAlign w:val="center"/>
          </w:tcPr>
          <w:p w14:paraId="78F73DB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平放框</w:t>
            </w:r>
          </w:p>
        </w:tc>
        <w:tc>
          <w:tcPr>
            <w:tcW w:w="1180" w:type="dxa"/>
            <w:tcBorders>
              <w:top w:val="single" w:color="000000" w:sz="4" w:space="0"/>
              <w:left w:val="single" w:color="000000" w:sz="4" w:space="0"/>
              <w:bottom w:val="single" w:color="000000" w:sz="4" w:space="0"/>
              <w:right w:val="single" w:color="000000" w:sz="4" w:space="0"/>
            </w:tcBorders>
            <w:vAlign w:val="center"/>
          </w:tcPr>
          <w:p w14:paraId="1FDF6482">
            <w:pPr>
              <w:ind w:left="-65" w:leftChars="-31" w:right="-149" w:rightChars="-71"/>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C5209CA">
            <w:pP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A60BAC4">
            <w:pP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290AFE16">
            <w:pP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01D00D0">
            <w:pP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EB3D373">
            <w:pPr>
              <w:textAlignment w:val="center"/>
              <w:rPr>
                <w:rFonts w:ascii="仿宋" w:hAnsi="仿宋" w:eastAsia="仿宋" w:cs="仿宋"/>
                <w:color w:val="auto"/>
                <w:highlight w:val="none"/>
              </w:rPr>
            </w:pPr>
          </w:p>
        </w:tc>
      </w:tr>
      <w:tr w14:paraId="284920E0">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444811D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11</w:t>
            </w:r>
          </w:p>
        </w:tc>
        <w:tc>
          <w:tcPr>
            <w:tcW w:w="1843" w:type="dxa"/>
            <w:tcBorders>
              <w:top w:val="single" w:color="000000" w:sz="4" w:space="0"/>
              <w:left w:val="single" w:color="000000" w:sz="4" w:space="0"/>
              <w:bottom w:val="single" w:color="000000" w:sz="4" w:space="0"/>
              <w:right w:val="single" w:color="000000" w:sz="4" w:space="0"/>
            </w:tcBorders>
            <w:vAlign w:val="center"/>
          </w:tcPr>
          <w:p w14:paraId="3268CCF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斜放框</w:t>
            </w:r>
          </w:p>
        </w:tc>
        <w:tc>
          <w:tcPr>
            <w:tcW w:w="1180" w:type="dxa"/>
            <w:tcBorders>
              <w:top w:val="single" w:color="000000" w:sz="4" w:space="0"/>
              <w:left w:val="single" w:color="000000" w:sz="4" w:space="0"/>
              <w:bottom w:val="single" w:color="000000" w:sz="4" w:space="0"/>
              <w:right w:val="single" w:color="000000" w:sz="4" w:space="0"/>
            </w:tcBorders>
            <w:vAlign w:val="center"/>
          </w:tcPr>
          <w:p w14:paraId="4FCC20D8">
            <w:pPr>
              <w:ind w:left="-65" w:leftChars="-31" w:right="-149" w:rightChars="-71"/>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505F531">
            <w:pP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4CDF0EC">
            <w:pP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258B88ED">
            <w:pP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B9A3A43">
            <w:pP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DEF5E7C">
            <w:pPr>
              <w:textAlignment w:val="center"/>
              <w:rPr>
                <w:rFonts w:ascii="仿宋" w:hAnsi="仿宋" w:eastAsia="仿宋" w:cs="仿宋"/>
                <w:color w:val="auto"/>
                <w:highlight w:val="none"/>
              </w:rPr>
            </w:pPr>
          </w:p>
        </w:tc>
      </w:tr>
      <w:tr w14:paraId="15199B72">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4777FF9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12</w:t>
            </w:r>
          </w:p>
        </w:tc>
        <w:tc>
          <w:tcPr>
            <w:tcW w:w="1843" w:type="dxa"/>
            <w:tcBorders>
              <w:top w:val="single" w:color="000000" w:sz="4" w:space="0"/>
              <w:left w:val="single" w:color="000000" w:sz="4" w:space="0"/>
              <w:bottom w:val="single" w:color="000000" w:sz="4" w:space="0"/>
              <w:right w:val="single" w:color="000000" w:sz="4" w:space="0"/>
            </w:tcBorders>
            <w:vAlign w:val="center"/>
          </w:tcPr>
          <w:p w14:paraId="42CB3E1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层板</w:t>
            </w:r>
          </w:p>
        </w:tc>
        <w:tc>
          <w:tcPr>
            <w:tcW w:w="1180" w:type="dxa"/>
            <w:tcBorders>
              <w:top w:val="single" w:color="000000" w:sz="4" w:space="0"/>
              <w:left w:val="single" w:color="000000" w:sz="4" w:space="0"/>
              <w:bottom w:val="single" w:color="000000" w:sz="4" w:space="0"/>
              <w:right w:val="single" w:color="000000" w:sz="4" w:space="0"/>
            </w:tcBorders>
            <w:vAlign w:val="center"/>
          </w:tcPr>
          <w:p w14:paraId="244EB399">
            <w:pPr>
              <w:ind w:left="-65" w:leftChars="-31" w:right="-149" w:rightChars="-71"/>
              <w:jc w:val="cente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0D02F2C">
            <w:pPr>
              <w:textAlignment w:val="center"/>
              <w:rPr>
                <w:rFonts w:ascii="仿宋" w:hAnsi="仿宋" w:eastAsia="仿宋" w:cs="仿宋"/>
                <w:color w:val="auto"/>
                <w:highlight w:val="none"/>
                <w:lang w:eastAsia="zh-CN"/>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6046265">
            <w:pPr>
              <w:textAlignment w:val="center"/>
              <w:rPr>
                <w:rFonts w:ascii="仿宋" w:hAnsi="仿宋" w:eastAsia="仿宋" w:cs="仿宋"/>
                <w:color w:val="auto"/>
                <w:highlight w:val="none"/>
                <w:lang w:eastAsia="zh-CN"/>
              </w:rPr>
            </w:pPr>
          </w:p>
        </w:tc>
        <w:tc>
          <w:tcPr>
            <w:tcW w:w="1134" w:type="dxa"/>
            <w:tcBorders>
              <w:top w:val="single" w:color="000000" w:sz="4" w:space="0"/>
              <w:left w:val="single" w:color="auto" w:sz="4" w:space="0"/>
              <w:bottom w:val="single" w:color="000000" w:sz="4" w:space="0"/>
              <w:right w:val="single" w:color="auto" w:sz="4" w:space="0"/>
            </w:tcBorders>
            <w:vAlign w:val="center"/>
          </w:tcPr>
          <w:p w14:paraId="5E35455A">
            <w:pPr>
              <w:textAlignment w:val="center"/>
              <w:rPr>
                <w:rFonts w:ascii="仿宋" w:hAnsi="仿宋" w:eastAsia="仿宋" w:cs="仿宋"/>
                <w:color w:val="auto"/>
                <w:highlight w:val="none"/>
                <w:lang w:eastAsia="zh-CN"/>
              </w:rPr>
            </w:pPr>
          </w:p>
        </w:tc>
        <w:tc>
          <w:tcPr>
            <w:tcW w:w="1276" w:type="dxa"/>
            <w:tcBorders>
              <w:top w:val="single" w:color="000000" w:sz="4" w:space="0"/>
              <w:left w:val="single" w:color="auto" w:sz="4" w:space="0"/>
              <w:bottom w:val="single" w:color="000000" w:sz="4" w:space="0"/>
              <w:right w:val="single" w:color="auto" w:sz="4" w:space="0"/>
            </w:tcBorders>
            <w:vAlign w:val="center"/>
          </w:tcPr>
          <w:p w14:paraId="55BEB5B0">
            <w:pPr>
              <w:textAlignment w:val="center"/>
              <w:rPr>
                <w:rFonts w:ascii="仿宋" w:hAnsi="仿宋" w:eastAsia="仿宋" w:cs="仿宋"/>
                <w:color w:val="auto"/>
                <w:highlight w:val="none"/>
                <w:lang w:eastAsia="zh-CN"/>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7FC79B9">
            <w:pPr>
              <w:textAlignment w:val="center"/>
              <w:rPr>
                <w:rFonts w:ascii="仿宋" w:hAnsi="仿宋" w:eastAsia="仿宋" w:cs="仿宋"/>
                <w:color w:val="auto"/>
                <w:highlight w:val="none"/>
                <w:lang w:eastAsia="zh-CN"/>
              </w:rPr>
            </w:pPr>
          </w:p>
        </w:tc>
      </w:tr>
      <w:tr w14:paraId="29F7A68F">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1732519A">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13</w:t>
            </w:r>
          </w:p>
        </w:tc>
        <w:tc>
          <w:tcPr>
            <w:tcW w:w="1843" w:type="dxa"/>
            <w:tcBorders>
              <w:top w:val="single" w:color="000000" w:sz="4" w:space="0"/>
              <w:left w:val="single" w:color="000000" w:sz="4" w:space="0"/>
              <w:bottom w:val="single" w:color="000000" w:sz="4" w:space="0"/>
              <w:right w:val="single" w:color="000000" w:sz="4" w:space="0"/>
            </w:tcBorders>
            <w:vAlign w:val="center"/>
          </w:tcPr>
          <w:p w14:paraId="193AF12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移动推车</w:t>
            </w:r>
          </w:p>
        </w:tc>
        <w:tc>
          <w:tcPr>
            <w:tcW w:w="1180" w:type="dxa"/>
            <w:tcBorders>
              <w:top w:val="single" w:color="000000" w:sz="4" w:space="0"/>
              <w:left w:val="single" w:color="000000" w:sz="4" w:space="0"/>
              <w:bottom w:val="single" w:color="000000" w:sz="4" w:space="0"/>
              <w:right w:val="single" w:color="000000" w:sz="4" w:space="0"/>
            </w:tcBorders>
            <w:vAlign w:val="center"/>
          </w:tcPr>
          <w:p w14:paraId="7E629721">
            <w:pPr>
              <w:ind w:left="-65" w:leftChars="-31" w:right="-149" w:rightChars="-71"/>
              <w:jc w:val="cente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BE8F7EE">
            <w:pPr>
              <w:textAlignment w:val="center"/>
              <w:rPr>
                <w:rFonts w:ascii="仿宋" w:hAnsi="仿宋" w:eastAsia="仿宋" w:cs="仿宋"/>
                <w:color w:val="auto"/>
                <w:highlight w:val="none"/>
                <w:lang w:eastAsia="zh-CN"/>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43DA8EB">
            <w:pPr>
              <w:textAlignment w:val="center"/>
              <w:rPr>
                <w:rFonts w:ascii="仿宋" w:hAnsi="仿宋" w:eastAsia="仿宋" w:cs="仿宋"/>
                <w:color w:val="auto"/>
                <w:highlight w:val="none"/>
                <w:lang w:eastAsia="zh-CN"/>
              </w:rPr>
            </w:pPr>
          </w:p>
        </w:tc>
        <w:tc>
          <w:tcPr>
            <w:tcW w:w="1134" w:type="dxa"/>
            <w:tcBorders>
              <w:top w:val="single" w:color="000000" w:sz="4" w:space="0"/>
              <w:left w:val="single" w:color="auto" w:sz="4" w:space="0"/>
              <w:bottom w:val="single" w:color="000000" w:sz="4" w:space="0"/>
              <w:right w:val="single" w:color="auto" w:sz="4" w:space="0"/>
            </w:tcBorders>
            <w:vAlign w:val="center"/>
          </w:tcPr>
          <w:p w14:paraId="3F079294">
            <w:pPr>
              <w:textAlignment w:val="center"/>
              <w:rPr>
                <w:rFonts w:ascii="仿宋" w:hAnsi="仿宋" w:eastAsia="仿宋" w:cs="仿宋"/>
                <w:color w:val="auto"/>
                <w:highlight w:val="none"/>
                <w:lang w:eastAsia="zh-CN"/>
              </w:rPr>
            </w:pPr>
          </w:p>
        </w:tc>
        <w:tc>
          <w:tcPr>
            <w:tcW w:w="1276" w:type="dxa"/>
            <w:tcBorders>
              <w:top w:val="single" w:color="000000" w:sz="4" w:space="0"/>
              <w:left w:val="single" w:color="auto" w:sz="4" w:space="0"/>
              <w:bottom w:val="single" w:color="000000" w:sz="4" w:space="0"/>
              <w:right w:val="single" w:color="auto" w:sz="4" w:space="0"/>
            </w:tcBorders>
            <w:vAlign w:val="center"/>
          </w:tcPr>
          <w:p w14:paraId="4176CD52">
            <w:pPr>
              <w:textAlignment w:val="center"/>
              <w:rPr>
                <w:rFonts w:ascii="仿宋" w:hAnsi="仿宋" w:eastAsia="仿宋" w:cs="仿宋"/>
                <w:color w:val="auto"/>
                <w:highlight w:val="none"/>
                <w:lang w:eastAsia="zh-CN"/>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1916E25">
            <w:pPr>
              <w:textAlignment w:val="center"/>
              <w:rPr>
                <w:rFonts w:ascii="仿宋" w:hAnsi="仿宋" w:eastAsia="仿宋" w:cs="仿宋"/>
                <w:color w:val="auto"/>
                <w:highlight w:val="none"/>
                <w:lang w:eastAsia="zh-CN"/>
              </w:rPr>
            </w:pPr>
          </w:p>
        </w:tc>
      </w:tr>
      <w:tr w14:paraId="5E12E56E">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470BE0A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14</w:t>
            </w:r>
          </w:p>
        </w:tc>
        <w:tc>
          <w:tcPr>
            <w:tcW w:w="1843" w:type="dxa"/>
            <w:tcBorders>
              <w:top w:val="single" w:color="000000" w:sz="4" w:space="0"/>
              <w:left w:val="single" w:color="000000" w:sz="4" w:space="0"/>
              <w:bottom w:val="single" w:color="000000" w:sz="4" w:space="0"/>
              <w:right w:val="single" w:color="000000" w:sz="4" w:space="0"/>
            </w:tcBorders>
            <w:vAlign w:val="center"/>
          </w:tcPr>
          <w:p w14:paraId="6C446E8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电源布线耗材</w:t>
            </w:r>
          </w:p>
        </w:tc>
        <w:tc>
          <w:tcPr>
            <w:tcW w:w="11739" w:type="dxa"/>
            <w:gridSpan w:val="6"/>
            <w:tcBorders>
              <w:top w:val="single" w:color="000000" w:sz="4" w:space="0"/>
              <w:left w:val="single" w:color="000000" w:sz="4" w:space="0"/>
              <w:bottom w:val="single" w:color="000000" w:sz="4" w:space="0"/>
              <w:right w:val="single" w:color="000000" w:sz="4" w:space="0"/>
            </w:tcBorders>
            <w:vAlign w:val="center"/>
          </w:tcPr>
          <w:p w14:paraId="73CFC853">
            <w:pPr>
              <w:tabs>
                <w:tab w:val="left" w:pos="1208"/>
              </w:tabs>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ab/>
            </w:r>
            <w:r>
              <w:rPr>
                <w:rFonts w:hint="eastAsia" w:ascii="仿宋" w:hAnsi="仿宋" w:eastAsia="仿宋"/>
                <w:bCs/>
                <w:color w:val="auto"/>
                <w:highlight w:val="none"/>
                <w:lang w:eastAsia="zh-CN"/>
              </w:rPr>
              <w:t>该项属于设备的配件、辅料等材料，不对其生产厂商做要求。无需填报中小企业声明函制造商信息</w:t>
            </w:r>
          </w:p>
        </w:tc>
      </w:tr>
      <w:tr w14:paraId="7D0114BC">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30CA885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15</w:t>
            </w:r>
          </w:p>
        </w:tc>
        <w:tc>
          <w:tcPr>
            <w:tcW w:w="1843" w:type="dxa"/>
            <w:tcBorders>
              <w:top w:val="single" w:color="000000" w:sz="4" w:space="0"/>
              <w:left w:val="single" w:color="000000" w:sz="4" w:space="0"/>
              <w:bottom w:val="single" w:color="000000" w:sz="4" w:space="0"/>
              <w:right w:val="single" w:color="000000" w:sz="4" w:space="0"/>
            </w:tcBorders>
            <w:vAlign w:val="center"/>
          </w:tcPr>
          <w:p w14:paraId="195F93C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安装辅件</w:t>
            </w:r>
          </w:p>
        </w:tc>
        <w:tc>
          <w:tcPr>
            <w:tcW w:w="11739" w:type="dxa"/>
            <w:gridSpan w:val="6"/>
            <w:tcBorders>
              <w:top w:val="single" w:color="000000" w:sz="4" w:space="0"/>
              <w:left w:val="single" w:color="000000" w:sz="4" w:space="0"/>
              <w:bottom w:val="single" w:color="000000" w:sz="4" w:space="0"/>
              <w:right w:val="single" w:color="000000" w:sz="4" w:space="0"/>
            </w:tcBorders>
            <w:vAlign w:val="center"/>
          </w:tcPr>
          <w:p w14:paraId="1F813A20">
            <w:pPr>
              <w:jc w:val="center"/>
              <w:textAlignment w:val="center"/>
              <w:rPr>
                <w:rFonts w:ascii="仿宋" w:hAnsi="仿宋" w:eastAsia="仿宋" w:cs="仿宋"/>
                <w:color w:val="auto"/>
                <w:highlight w:val="none"/>
                <w:lang w:eastAsia="zh-CN"/>
              </w:rPr>
            </w:pPr>
            <w:r>
              <w:rPr>
                <w:rFonts w:hint="eastAsia" w:ascii="仿宋" w:hAnsi="仿宋" w:eastAsia="仿宋"/>
                <w:bCs/>
                <w:color w:val="auto"/>
                <w:highlight w:val="none"/>
                <w:lang w:eastAsia="zh-CN"/>
              </w:rPr>
              <w:t>该项属于设备的配件、辅料等材料，不对其生产厂商做要求。无需填报中小企业声明函制造商信息</w:t>
            </w:r>
          </w:p>
        </w:tc>
      </w:tr>
      <w:tr w14:paraId="4B2943B8">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14:paraId="23BFD87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16</w:t>
            </w:r>
          </w:p>
        </w:tc>
        <w:tc>
          <w:tcPr>
            <w:tcW w:w="1843" w:type="dxa"/>
            <w:tcBorders>
              <w:top w:val="single" w:color="000000" w:sz="4" w:space="0"/>
              <w:left w:val="single" w:color="000000" w:sz="4" w:space="0"/>
              <w:bottom w:val="single" w:color="000000" w:sz="4" w:space="0"/>
              <w:right w:val="single" w:color="000000" w:sz="4" w:space="0"/>
            </w:tcBorders>
            <w:vAlign w:val="center"/>
          </w:tcPr>
          <w:p w14:paraId="2A8A966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吊装系统安装调试</w:t>
            </w:r>
          </w:p>
        </w:tc>
        <w:tc>
          <w:tcPr>
            <w:tcW w:w="11739" w:type="dxa"/>
            <w:gridSpan w:val="6"/>
            <w:tcBorders>
              <w:top w:val="single" w:color="000000" w:sz="4" w:space="0"/>
              <w:left w:val="single" w:color="000000" w:sz="4" w:space="0"/>
              <w:bottom w:val="single" w:color="000000" w:sz="4" w:space="0"/>
              <w:right w:val="single" w:color="000000" w:sz="4" w:space="0"/>
            </w:tcBorders>
            <w:vAlign w:val="center"/>
          </w:tcPr>
          <w:p w14:paraId="799246A8">
            <w:pPr>
              <w:jc w:val="cente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该项属于配套服务，不对其中涉及的承接商作出要求，无需填报中小企业声明函承接商信息</w:t>
            </w:r>
          </w:p>
        </w:tc>
      </w:tr>
      <w:tr w14:paraId="7F3BD179">
        <w:tblPrEx>
          <w:tblCellMar>
            <w:top w:w="0" w:type="dxa"/>
            <w:left w:w="108" w:type="dxa"/>
            <w:bottom w:w="0" w:type="dxa"/>
            <w:right w:w="108" w:type="dxa"/>
          </w:tblCellMar>
        </w:tblPrEx>
        <w:trPr>
          <w:trHeight w:val="340" w:hRule="atLeast"/>
        </w:trPr>
        <w:tc>
          <w:tcPr>
            <w:tcW w:w="14145" w:type="dxa"/>
            <w:gridSpan w:val="8"/>
            <w:tcBorders>
              <w:top w:val="single" w:color="000000" w:sz="4" w:space="0"/>
              <w:left w:val="single" w:color="000000" w:sz="4" w:space="0"/>
              <w:bottom w:val="single" w:color="000000" w:sz="4" w:space="0"/>
              <w:right w:val="single" w:color="000000" w:sz="4" w:space="0"/>
            </w:tcBorders>
            <w:noWrap/>
            <w:vAlign w:val="center"/>
          </w:tcPr>
          <w:p w14:paraId="2CD7F896">
            <w:pPr>
              <w:jc w:val="center"/>
              <w:rPr>
                <w:rFonts w:ascii="仿宋" w:hAnsi="仿宋" w:eastAsia="仿宋" w:cs="仿宋"/>
                <w:b/>
                <w:bCs/>
                <w:color w:val="auto"/>
                <w:highlight w:val="none"/>
              </w:rPr>
            </w:pPr>
            <w:r>
              <w:rPr>
                <w:rFonts w:hint="eastAsia" w:ascii="仿宋" w:hAnsi="仿宋" w:eastAsia="仿宋" w:cs="仿宋"/>
                <w:b/>
                <w:bCs/>
                <w:color w:val="auto"/>
                <w:highlight w:val="none"/>
                <w:lang w:eastAsia="zh-CN"/>
              </w:rPr>
              <w:t>2、常态化录播系统</w:t>
            </w:r>
          </w:p>
        </w:tc>
      </w:tr>
      <w:tr w14:paraId="258CEAFB">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471789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w:t>
            </w:r>
          </w:p>
        </w:tc>
        <w:tc>
          <w:tcPr>
            <w:tcW w:w="1843" w:type="dxa"/>
            <w:tcBorders>
              <w:top w:val="single" w:color="000000" w:sz="4" w:space="0"/>
              <w:left w:val="single" w:color="000000" w:sz="4" w:space="0"/>
              <w:bottom w:val="single" w:color="000000" w:sz="4" w:space="0"/>
              <w:right w:val="single" w:color="000000" w:sz="4" w:space="0"/>
            </w:tcBorders>
            <w:vAlign w:val="center"/>
          </w:tcPr>
          <w:p w14:paraId="77A6E1F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高清录播主机</w:t>
            </w:r>
          </w:p>
        </w:tc>
        <w:tc>
          <w:tcPr>
            <w:tcW w:w="1180" w:type="dxa"/>
            <w:tcBorders>
              <w:top w:val="single" w:color="000000" w:sz="4" w:space="0"/>
              <w:left w:val="single" w:color="000000" w:sz="4" w:space="0"/>
              <w:bottom w:val="single" w:color="000000" w:sz="4" w:space="0"/>
              <w:right w:val="single" w:color="000000" w:sz="4" w:space="0"/>
            </w:tcBorders>
            <w:vAlign w:val="center"/>
          </w:tcPr>
          <w:p w14:paraId="036B3F3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53F67F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B3A575B">
            <w:pPr>
              <w:jc w:val="cente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25CB2E6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56042F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4F7AB04">
            <w:pPr>
              <w:jc w:val="center"/>
              <w:textAlignment w:val="center"/>
              <w:rPr>
                <w:rFonts w:ascii="仿宋" w:hAnsi="仿宋" w:eastAsia="仿宋" w:cs="仿宋"/>
                <w:color w:val="auto"/>
                <w:highlight w:val="none"/>
              </w:rPr>
            </w:pPr>
          </w:p>
        </w:tc>
      </w:tr>
      <w:tr w14:paraId="33A50CC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58A22EA">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w:t>
            </w:r>
          </w:p>
        </w:tc>
        <w:tc>
          <w:tcPr>
            <w:tcW w:w="1843" w:type="dxa"/>
            <w:tcBorders>
              <w:top w:val="single" w:color="000000" w:sz="4" w:space="0"/>
              <w:left w:val="single" w:color="000000" w:sz="4" w:space="0"/>
              <w:bottom w:val="single" w:color="000000" w:sz="4" w:space="0"/>
              <w:right w:val="single" w:color="000000" w:sz="4" w:space="0"/>
            </w:tcBorders>
            <w:vAlign w:val="center"/>
          </w:tcPr>
          <w:p w14:paraId="613A501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录播流媒体处理软件</w:t>
            </w:r>
          </w:p>
        </w:tc>
        <w:tc>
          <w:tcPr>
            <w:tcW w:w="1180" w:type="dxa"/>
            <w:tcBorders>
              <w:top w:val="single" w:color="000000" w:sz="4" w:space="0"/>
              <w:left w:val="single" w:color="000000" w:sz="4" w:space="0"/>
              <w:bottom w:val="single" w:color="000000" w:sz="4" w:space="0"/>
              <w:right w:val="single" w:color="000000" w:sz="4" w:space="0"/>
            </w:tcBorders>
            <w:vAlign w:val="center"/>
          </w:tcPr>
          <w:p w14:paraId="7579575F">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软件和信息技术服务业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79DAA37">
            <w:pPr>
              <w:jc w:val="center"/>
              <w:textAlignment w:val="center"/>
              <w:rPr>
                <w:rFonts w:ascii="仿宋" w:hAnsi="仿宋" w:eastAsia="仿宋" w:cs="仿宋"/>
                <w:color w:val="auto"/>
                <w:highlight w:val="none"/>
                <w:lang w:eastAsia="zh-CN"/>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0EF34DB">
            <w:pPr>
              <w:jc w:val="center"/>
              <w:textAlignment w:val="center"/>
              <w:rPr>
                <w:rFonts w:ascii="仿宋" w:hAnsi="仿宋" w:eastAsia="仿宋" w:cs="仿宋"/>
                <w:color w:val="auto"/>
                <w:highlight w:val="none"/>
                <w:lang w:eastAsia="zh-CN"/>
              </w:rPr>
            </w:pPr>
          </w:p>
        </w:tc>
        <w:tc>
          <w:tcPr>
            <w:tcW w:w="1134" w:type="dxa"/>
            <w:tcBorders>
              <w:top w:val="single" w:color="000000" w:sz="4" w:space="0"/>
              <w:left w:val="single" w:color="auto" w:sz="4" w:space="0"/>
              <w:bottom w:val="single" w:color="000000" w:sz="4" w:space="0"/>
              <w:right w:val="single" w:color="auto" w:sz="4" w:space="0"/>
            </w:tcBorders>
            <w:vAlign w:val="center"/>
          </w:tcPr>
          <w:p w14:paraId="51232449">
            <w:pPr>
              <w:jc w:val="center"/>
              <w:textAlignment w:val="center"/>
              <w:rPr>
                <w:rFonts w:ascii="仿宋" w:hAnsi="仿宋" w:eastAsia="仿宋" w:cs="仿宋"/>
                <w:color w:val="auto"/>
                <w:highlight w:val="none"/>
                <w:lang w:eastAsia="zh-CN"/>
              </w:rPr>
            </w:pPr>
          </w:p>
        </w:tc>
        <w:tc>
          <w:tcPr>
            <w:tcW w:w="1276" w:type="dxa"/>
            <w:tcBorders>
              <w:top w:val="single" w:color="000000" w:sz="4" w:space="0"/>
              <w:left w:val="single" w:color="auto" w:sz="4" w:space="0"/>
              <w:bottom w:val="single" w:color="000000" w:sz="4" w:space="0"/>
              <w:right w:val="single" w:color="auto" w:sz="4" w:space="0"/>
            </w:tcBorders>
            <w:vAlign w:val="center"/>
          </w:tcPr>
          <w:p w14:paraId="26CE0FC1">
            <w:pPr>
              <w:jc w:val="center"/>
              <w:textAlignment w:val="center"/>
              <w:rPr>
                <w:rFonts w:ascii="仿宋" w:hAnsi="仿宋" w:eastAsia="仿宋" w:cs="仿宋"/>
                <w:color w:val="auto"/>
                <w:highlight w:val="none"/>
                <w:lang w:eastAsia="zh-CN"/>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F7487F5">
            <w:pPr>
              <w:jc w:val="center"/>
              <w:textAlignment w:val="center"/>
              <w:rPr>
                <w:rFonts w:ascii="仿宋" w:hAnsi="仿宋" w:eastAsia="仿宋" w:cs="仿宋"/>
                <w:color w:val="auto"/>
                <w:highlight w:val="none"/>
                <w:lang w:eastAsia="zh-CN"/>
              </w:rPr>
            </w:pPr>
          </w:p>
        </w:tc>
      </w:tr>
      <w:tr w14:paraId="4EADD035">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2F63E8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w:t>
            </w:r>
          </w:p>
        </w:tc>
        <w:tc>
          <w:tcPr>
            <w:tcW w:w="1843" w:type="dxa"/>
            <w:tcBorders>
              <w:top w:val="single" w:color="000000" w:sz="4" w:space="0"/>
              <w:left w:val="single" w:color="000000" w:sz="4" w:space="0"/>
              <w:bottom w:val="single" w:color="000000" w:sz="4" w:space="0"/>
              <w:right w:val="single" w:color="000000" w:sz="4" w:space="0"/>
            </w:tcBorders>
            <w:vAlign w:val="center"/>
          </w:tcPr>
          <w:p w14:paraId="6776C64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教师高清摄像机</w:t>
            </w:r>
          </w:p>
        </w:tc>
        <w:tc>
          <w:tcPr>
            <w:tcW w:w="1180" w:type="dxa"/>
            <w:tcBorders>
              <w:top w:val="single" w:color="000000" w:sz="4" w:space="0"/>
              <w:left w:val="single" w:color="000000" w:sz="4" w:space="0"/>
              <w:bottom w:val="single" w:color="000000" w:sz="4" w:space="0"/>
              <w:right w:val="single" w:color="000000" w:sz="4" w:space="0"/>
            </w:tcBorders>
            <w:vAlign w:val="center"/>
          </w:tcPr>
          <w:p w14:paraId="099CA31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E9A461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EA2F503">
            <w:pPr>
              <w:jc w:val="cente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43788DE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E1EEA2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EAC26E8">
            <w:pPr>
              <w:jc w:val="center"/>
              <w:textAlignment w:val="center"/>
              <w:rPr>
                <w:rFonts w:ascii="仿宋" w:hAnsi="仿宋" w:eastAsia="仿宋" w:cs="仿宋"/>
                <w:color w:val="auto"/>
                <w:highlight w:val="none"/>
              </w:rPr>
            </w:pPr>
          </w:p>
        </w:tc>
      </w:tr>
      <w:tr w14:paraId="2392F40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036753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1843" w:type="dxa"/>
            <w:tcBorders>
              <w:top w:val="single" w:color="000000" w:sz="4" w:space="0"/>
              <w:left w:val="single" w:color="000000" w:sz="4" w:space="0"/>
              <w:bottom w:val="single" w:color="000000" w:sz="4" w:space="0"/>
              <w:right w:val="single" w:color="000000" w:sz="4" w:space="0"/>
            </w:tcBorders>
            <w:vAlign w:val="center"/>
          </w:tcPr>
          <w:p w14:paraId="5435B1E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学生高清摄像机</w:t>
            </w:r>
          </w:p>
        </w:tc>
        <w:tc>
          <w:tcPr>
            <w:tcW w:w="1180" w:type="dxa"/>
            <w:tcBorders>
              <w:top w:val="single" w:color="000000" w:sz="4" w:space="0"/>
              <w:left w:val="single" w:color="000000" w:sz="4" w:space="0"/>
              <w:bottom w:val="single" w:color="000000" w:sz="4" w:space="0"/>
              <w:right w:val="single" w:color="000000" w:sz="4" w:space="0"/>
            </w:tcBorders>
            <w:vAlign w:val="center"/>
          </w:tcPr>
          <w:p w14:paraId="104787F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1D69F7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09F19DE">
            <w:pPr>
              <w:jc w:val="cente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492071C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76685A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1F39514">
            <w:pPr>
              <w:jc w:val="center"/>
              <w:textAlignment w:val="center"/>
              <w:rPr>
                <w:rFonts w:ascii="仿宋" w:hAnsi="仿宋" w:eastAsia="仿宋" w:cs="仿宋"/>
                <w:color w:val="auto"/>
                <w:highlight w:val="none"/>
              </w:rPr>
            </w:pPr>
          </w:p>
        </w:tc>
      </w:tr>
      <w:tr w14:paraId="73EF2D1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4EE84FA">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5</w:t>
            </w:r>
          </w:p>
        </w:tc>
        <w:tc>
          <w:tcPr>
            <w:tcW w:w="1843" w:type="dxa"/>
            <w:tcBorders>
              <w:top w:val="single" w:color="000000" w:sz="4" w:space="0"/>
              <w:left w:val="single" w:color="000000" w:sz="4" w:space="0"/>
              <w:bottom w:val="single" w:color="000000" w:sz="4" w:space="0"/>
              <w:right w:val="single" w:color="000000" w:sz="4" w:space="0"/>
            </w:tcBorders>
            <w:vAlign w:val="center"/>
          </w:tcPr>
          <w:p w14:paraId="265C9870">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高清摄像机传输处理软件</w:t>
            </w:r>
          </w:p>
        </w:tc>
        <w:tc>
          <w:tcPr>
            <w:tcW w:w="1180" w:type="dxa"/>
            <w:tcBorders>
              <w:top w:val="single" w:color="000000" w:sz="4" w:space="0"/>
              <w:left w:val="single" w:color="000000" w:sz="4" w:space="0"/>
              <w:bottom w:val="single" w:color="000000" w:sz="4" w:space="0"/>
              <w:right w:val="single" w:color="000000" w:sz="4" w:space="0"/>
            </w:tcBorders>
            <w:vAlign w:val="center"/>
          </w:tcPr>
          <w:p w14:paraId="2663BBBA">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软件和信息技术服务业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664C0A5">
            <w:pPr>
              <w:jc w:val="center"/>
              <w:textAlignment w:val="center"/>
              <w:rPr>
                <w:rFonts w:ascii="仿宋" w:hAnsi="仿宋" w:eastAsia="仿宋" w:cs="仿宋"/>
                <w:color w:val="auto"/>
                <w:highlight w:val="none"/>
                <w:lang w:eastAsia="zh-CN"/>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CCF5C81">
            <w:pPr>
              <w:jc w:val="center"/>
              <w:textAlignment w:val="center"/>
              <w:rPr>
                <w:rFonts w:ascii="仿宋" w:hAnsi="仿宋" w:eastAsia="仿宋" w:cs="仿宋"/>
                <w:color w:val="auto"/>
                <w:highlight w:val="none"/>
                <w:lang w:eastAsia="zh-CN"/>
              </w:rPr>
            </w:pPr>
          </w:p>
        </w:tc>
        <w:tc>
          <w:tcPr>
            <w:tcW w:w="1134" w:type="dxa"/>
            <w:tcBorders>
              <w:top w:val="single" w:color="000000" w:sz="4" w:space="0"/>
              <w:left w:val="single" w:color="auto" w:sz="4" w:space="0"/>
              <w:bottom w:val="single" w:color="000000" w:sz="4" w:space="0"/>
              <w:right w:val="single" w:color="auto" w:sz="4" w:space="0"/>
            </w:tcBorders>
            <w:vAlign w:val="center"/>
          </w:tcPr>
          <w:p w14:paraId="13221513">
            <w:pPr>
              <w:jc w:val="center"/>
              <w:textAlignment w:val="center"/>
              <w:rPr>
                <w:rFonts w:ascii="仿宋" w:hAnsi="仿宋" w:eastAsia="仿宋" w:cs="仿宋"/>
                <w:color w:val="auto"/>
                <w:highlight w:val="none"/>
                <w:lang w:eastAsia="zh-CN"/>
              </w:rPr>
            </w:pPr>
          </w:p>
        </w:tc>
        <w:tc>
          <w:tcPr>
            <w:tcW w:w="1276" w:type="dxa"/>
            <w:tcBorders>
              <w:top w:val="single" w:color="000000" w:sz="4" w:space="0"/>
              <w:left w:val="single" w:color="auto" w:sz="4" w:space="0"/>
              <w:bottom w:val="single" w:color="000000" w:sz="4" w:space="0"/>
              <w:right w:val="single" w:color="auto" w:sz="4" w:space="0"/>
            </w:tcBorders>
            <w:vAlign w:val="center"/>
          </w:tcPr>
          <w:p w14:paraId="2F66238D">
            <w:pPr>
              <w:jc w:val="center"/>
              <w:textAlignment w:val="center"/>
              <w:rPr>
                <w:rFonts w:ascii="仿宋" w:hAnsi="仿宋" w:eastAsia="仿宋" w:cs="仿宋"/>
                <w:color w:val="auto"/>
                <w:highlight w:val="none"/>
                <w:lang w:eastAsia="zh-CN"/>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9E4DB0E">
            <w:pPr>
              <w:jc w:val="center"/>
              <w:textAlignment w:val="center"/>
              <w:rPr>
                <w:rFonts w:ascii="仿宋" w:hAnsi="仿宋" w:eastAsia="仿宋" w:cs="仿宋"/>
                <w:color w:val="auto"/>
                <w:highlight w:val="none"/>
                <w:lang w:eastAsia="zh-CN"/>
              </w:rPr>
            </w:pPr>
          </w:p>
        </w:tc>
      </w:tr>
      <w:tr w14:paraId="21B0264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71DA6B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6</w:t>
            </w:r>
          </w:p>
        </w:tc>
        <w:tc>
          <w:tcPr>
            <w:tcW w:w="1843" w:type="dxa"/>
            <w:tcBorders>
              <w:top w:val="single" w:color="000000" w:sz="4" w:space="0"/>
              <w:left w:val="single" w:color="000000" w:sz="4" w:space="0"/>
              <w:bottom w:val="single" w:color="000000" w:sz="4" w:space="0"/>
              <w:right w:val="single" w:color="000000" w:sz="4" w:space="0"/>
            </w:tcBorders>
            <w:vAlign w:val="center"/>
          </w:tcPr>
          <w:p w14:paraId="28FCEEE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录制面板</w:t>
            </w:r>
          </w:p>
        </w:tc>
        <w:tc>
          <w:tcPr>
            <w:tcW w:w="1180" w:type="dxa"/>
            <w:tcBorders>
              <w:top w:val="single" w:color="000000" w:sz="4" w:space="0"/>
              <w:left w:val="single" w:color="000000" w:sz="4" w:space="0"/>
              <w:bottom w:val="single" w:color="000000" w:sz="4" w:space="0"/>
              <w:right w:val="single" w:color="000000" w:sz="4" w:space="0"/>
            </w:tcBorders>
            <w:vAlign w:val="center"/>
          </w:tcPr>
          <w:p w14:paraId="675A86E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373E4E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3BC5750">
            <w:pPr>
              <w:jc w:val="cente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2030E74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1E2591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26C91BD">
            <w:pPr>
              <w:jc w:val="center"/>
              <w:textAlignment w:val="center"/>
              <w:rPr>
                <w:rFonts w:ascii="仿宋" w:hAnsi="仿宋" w:eastAsia="仿宋" w:cs="仿宋"/>
                <w:color w:val="auto"/>
                <w:highlight w:val="none"/>
              </w:rPr>
            </w:pPr>
          </w:p>
        </w:tc>
      </w:tr>
      <w:tr w14:paraId="0AD007F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4A65E5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7</w:t>
            </w:r>
          </w:p>
        </w:tc>
        <w:tc>
          <w:tcPr>
            <w:tcW w:w="1843" w:type="dxa"/>
            <w:tcBorders>
              <w:top w:val="single" w:color="000000" w:sz="4" w:space="0"/>
              <w:left w:val="single" w:color="000000" w:sz="4" w:space="0"/>
              <w:bottom w:val="single" w:color="000000" w:sz="4" w:space="0"/>
              <w:right w:val="single" w:color="000000" w:sz="4" w:space="0"/>
            </w:tcBorders>
            <w:vAlign w:val="center"/>
          </w:tcPr>
          <w:p w14:paraId="651F52F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拾音话筒</w:t>
            </w:r>
          </w:p>
        </w:tc>
        <w:tc>
          <w:tcPr>
            <w:tcW w:w="1180" w:type="dxa"/>
            <w:tcBorders>
              <w:top w:val="single" w:color="000000" w:sz="4" w:space="0"/>
              <w:left w:val="single" w:color="000000" w:sz="4" w:space="0"/>
              <w:bottom w:val="single" w:color="000000" w:sz="4" w:space="0"/>
              <w:right w:val="single" w:color="000000" w:sz="4" w:space="0"/>
            </w:tcBorders>
            <w:vAlign w:val="center"/>
          </w:tcPr>
          <w:p w14:paraId="4B42D7B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8122E4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EDCBC48">
            <w:pPr>
              <w:jc w:val="cente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3E0155B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872B72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49DD967">
            <w:pPr>
              <w:jc w:val="center"/>
              <w:textAlignment w:val="center"/>
              <w:rPr>
                <w:rFonts w:ascii="仿宋" w:hAnsi="仿宋" w:eastAsia="仿宋" w:cs="仿宋"/>
                <w:color w:val="auto"/>
                <w:highlight w:val="none"/>
              </w:rPr>
            </w:pPr>
          </w:p>
        </w:tc>
      </w:tr>
      <w:tr w14:paraId="43DC8B3E">
        <w:tblPrEx>
          <w:tblCellMar>
            <w:top w:w="0" w:type="dxa"/>
            <w:left w:w="108" w:type="dxa"/>
            <w:bottom w:w="0" w:type="dxa"/>
            <w:right w:w="108" w:type="dxa"/>
          </w:tblCellMar>
        </w:tblPrEx>
        <w:trPr>
          <w:trHeight w:val="340" w:hRule="atLeast"/>
        </w:trPr>
        <w:tc>
          <w:tcPr>
            <w:tcW w:w="14145" w:type="dxa"/>
            <w:gridSpan w:val="8"/>
            <w:tcBorders>
              <w:top w:val="single" w:color="000000" w:sz="4" w:space="0"/>
              <w:left w:val="single" w:color="auto" w:sz="4" w:space="0"/>
              <w:bottom w:val="single" w:color="000000" w:sz="4" w:space="0"/>
              <w:right w:val="single" w:color="000000" w:sz="4" w:space="0"/>
            </w:tcBorders>
            <w:vAlign w:val="center"/>
          </w:tcPr>
          <w:p w14:paraId="7E90F851">
            <w:pPr>
              <w:jc w:val="cente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二、物理力学实验室</w:t>
            </w:r>
          </w:p>
        </w:tc>
      </w:tr>
      <w:tr w14:paraId="1BDED2E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9D00A4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w:t>
            </w:r>
          </w:p>
        </w:tc>
        <w:tc>
          <w:tcPr>
            <w:tcW w:w="1843" w:type="dxa"/>
            <w:tcBorders>
              <w:top w:val="single" w:color="000000" w:sz="4" w:space="0"/>
              <w:left w:val="single" w:color="000000" w:sz="4" w:space="0"/>
              <w:bottom w:val="single" w:color="000000" w:sz="4" w:space="0"/>
              <w:right w:val="single" w:color="000000" w:sz="4" w:space="0"/>
            </w:tcBorders>
            <w:vAlign w:val="center"/>
          </w:tcPr>
          <w:p w14:paraId="2A7EE7F3">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实验桌（教师演示台）</w:t>
            </w:r>
          </w:p>
        </w:tc>
        <w:tc>
          <w:tcPr>
            <w:tcW w:w="1180" w:type="dxa"/>
            <w:tcBorders>
              <w:top w:val="single" w:color="000000" w:sz="4" w:space="0"/>
              <w:left w:val="single" w:color="000000" w:sz="4" w:space="0"/>
              <w:bottom w:val="single" w:color="000000" w:sz="4" w:space="0"/>
              <w:right w:val="single" w:color="000000" w:sz="4" w:space="0"/>
            </w:tcBorders>
            <w:vAlign w:val="center"/>
          </w:tcPr>
          <w:p w14:paraId="44F61EF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noWrap/>
            <w:vAlign w:val="center"/>
          </w:tcPr>
          <w:p w14:paraId="391E6F4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1A448A9">
            <w:pPr>
              <w:jc w:val="cente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60CBAE5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07BBC8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1C7D68C">
            <w:pPr>
              <w:jc w:val="center"/>
              <w:textAlignment w:val="center"/>
              <w:rPr>
                <w:rFonts w:ascii="仿宋" w:hAnsi="仿宋" w:eastAsia="仿宋" w:cs="仿宋"/>
                <w:color w:val="auto"/>
                <w:highlight w:val="none"/>
              </w:rPr>
            </w:pPr>
          </w:p>
        </w:tc>
      </w:tr>
      <w:tr w14:paraId="2082048C">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vAlign w:val="center"/>
          </w:tcPr>
          <w:p w14:paraId="5912F87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w:t>
            </w:r>
          </w:p>
        </w:tc>
        <w:tc>
          <w:tcPr>
            <w:tcW w:w="1843" w:type="dxa"/>
            <w:tcBorders>
              <w:top w:val="single" w:color="000000" w:sz="4" w:space="0"/>
              <w:left w:val="single" w:color="000000" w:sz="4" w:space="0"/>
              <w:bottom w:val="single" w:color="000000" w:sz="4" w:space="0"/>
              <w:right w:val="single" w:color="000000" w:sz="4" w:space="0"/>
            </w:tcBorders>
            <w:vAlign w:val="center"/>
          </w:tcPr>
          <w:p w14:paraId="5836B10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教师椅</w:t>
            </w:r>
          </w:p>
        </w:tc>
        <w:tc>
          <w:tcPr>
            <w:tcW w:w="1180" w:type="dxa"/>
            <w:tcBorders>
              <w:top w:val="single" w:color="000000" w:sz="4" w:space="0"/>
              <w:left w:val="single" w:color="000000" w:sz="4" w:space="0"/>
              <w:bottom w:val="single" w:color="000000" w:sz="4" w:space="0"/>
              <w:right w:val="single" w:color="000000" w:sz="4" w:space="0"/>
            </w:tcBorders>
            <w:vAlign w:val="center"/>
          </w:tcPr>
          <w:p w14:paraId="4E889AE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noWrap/>
            <w:vAlign w:val="center"/>
          </w:tcPr>
          <w:p w14:paraId="68B3B90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4B82189">
            <w:pPr>
              <w:jc w:val="cente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79484ED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742C7D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A3667B5">
            <w:pPr>
              <w:jc w:val="center"/>
              <w:textAlignment w:val="center"/>
              <w:rPr>
                <w:rFonts w:ascii="仿宋" w:hAnsi="仿宋" w:eastAsia="仿宋" w:cs="仿宋"/>
                <w:color w:val="auto"/>
                <w:highlight w:val="none"/>
              </w:rPr>
            </w:pPr>
          </w:p>
        </w:tc>
      </w:tr>
      <w:tr w14:paraId="4B88A305">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vAlign w:val="center"/>
          </w:tcPr>
          <w:p w14:paraId="4381400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w:t>
            </w:r>
          </w:p>
        </w:tc>
        <w:tc>
          <w:tcPr>
            <w:tcW w:w="1843" w:type="dxa"/>
            <w:tcBorders>
              <w:top w:val="single" w:color="000000" w:sz="4" w:space="0"/>
              <w:left w:val="single" w:color="000000" w:sz="4" w:space="0"/>
              <w:bottom w:val="single" w:color="000000" w:sz="4" w:space="0"/>
              <w:right w:val="single" w:color="000000" w:sz="4" w:space="0"/>
            </w:tcBorders>
            <w:vAlign w:val="center"/>
          </w:tcPr>
          <w:p w14:paraId="06334FE4">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教师电源</w:t>
            </w:r>
          </w:p>
        </w:tc>
        <w:tc>
          <w:tcPr>
            <w:tcW w:w="1180" w:type="dxa"/>
            <w:tcBorders>
              <w:top w:val="single" w:color="000000" w:sz="4" w:space="0"/>
              <w:left w:val="single" w:color="000000" w:sz="4" w:space="0"/>
              <w:bottom w:val="single" w:color="000000" w:sz="4" w:space="0"/>
              <w:right w:val="single" w:color="000000" w:sz="4" w:space="0"/>
            </w:tcBorders>
            <w:vAlign w:val="center"/>
          </w:tcPr>
          <w:p w14:paraId="18FE57EF">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noWrap/>
            <w:vAlign w:val="center"/>
          </w:tcPr>
          <w:p w14:paraId="4EC7BC4F">
            <w:pPr>
              <w:jc w:val="center"/>
              <w:textAlignment w:val="center"/>
              <w:rPr>
                <w:rFonts w:ascii="仿宋" w:hAnsi="仿宋" w:eastAsia="仿宋" w:cs="仿宋"/>
                <w:color w:val="auto"/>
                <w:highlight w:val="none"/>
                <w:lang w:eastAsia="zh-CN"/>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E3B7CD8">
            <w:pPr>
              <w:jc w:val="center"/>
              <w:textAlignment w:val="center"/>
              <w:rPr>
                <w:rFonts w:ascii="仿宋" w:hAnsi="仿宋" w:eastAsia="仿宋" w:cs="仿宋"/>
                <w:color w:val="auto"/>
                <w:highlight w:val="none"/>
                <w:lang w:eastAsia="zh-CN"/>
              </w:rPr>
            </w:pPr>
          </w:p>
        </w:tc>
        <w:tc>
          <w:tcPr>
            <w:tcW w:w="1134" w:type="dxa"/>
            <w:tcBorders>
              <w:top w:val="single" w:color="000000" w:sz="4" w:space="0"/>
              <w:left w:val="single" w:color="auto" w:sz="4" w:space="0"/>
              <w:bottom w:val="single" w:color="000000" w:sz="4" w:space="0"/>
              <w:right w:val="single" w:color="auto" w:sz="4" w:space="0"/>
            </w:tcBorders>
            <w:vAlign w:val="center"/>
          </w:tcPr>
          <w:p w14:paraId="2D874997">
            <w:pPr>
              <w:jc w:val="center"/>
              <w:textAlignment w:val="center"/>
              <w:rPr>
                <w:rFonts w:ascii="仿宋" w:hAnsi="仿宋" w:eastAsia="仿宋" w:cs="仿宋"/>
                <w:color w:val="auto"/>
                <w:highlight w:val="none"/>
                <w:lang w:eastAsia="zh-CN"/>
              </w:rPr>
            </w:pPr>
          </w:p>
        </w:tc>
        <w:tc>
          <w:tcPr>
            <w:tcW w:w="1276" w:type="dxa"/>
            <w:tcBorders>
              <w:top w:val="single" w:color="000000" w:sz="4" w:space="0"/>
              <w:left w:val="single" w:color="auto" w:sz="4" w:space="0"/>
              <w:bottom w:val="single" w:color="000000" w:sz="4" w:space="0"/>
              <w:right w:val="single" w:color="auto" w:sz="4" w:space="0"/>
            </w:tcBorders>
            <w:vAlign w:val="center"/>
          </w:tcPr>
          <w:p w14:paraId="43A0253D">
            <w:pPr>
              <w:jc w:val="center"/>
              <w:textAlignment w:val="center"/>
              <w:rPr>
                <w:rFonts w:ascii="仿宋" w:hAnsi="仿宋" w:eastAsia="仿宋" w:cs="仿宋"/>
                <w:color w:val="auto"/>
                <w:highlight w:val="none"/>
                <w:lang w:eastAsia="zh-CN"/>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C829ABD">
            <w:pPr>
              <w:jc w:val="center"/>
              <w:textAlignment w:val="center"/>
              <w:rPr>
                <w:rFonts w:ascii="仿宋" w:hAnsi="仿宋" w:eastAsia="仿宋" w:cs="仿宋"/>
                <w:color w:val="auto"/>
                <w:highlight w:val="none"/>
                <w:lang w:eastAsia="zh-CN"/>
              </w:rPr>
            </w:pPr>
          </w:p>
        </w:tc>
      </w:tr>
      <w:tr w14:paraId="11BF14E4">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vAlign w:val="center"/>
          </w:tcPr>
          <w:p w14:paraId="6EE0634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1843" w:type="dxa"/>
            <w:tcBorders>
              <w:top w:val="single" w:color="000000" w:sz="4" w:space="0"/>
              <w:left w:val="single" w:color="000000" w:sz="4" w:space="0"/>
              <w:bottom w:val="single" w:color="000000" w:sz="4" w:space="0"/>
              <w:right w:val="single" w:color="000000" w:sz="4" w:space="0"/>
            </w:tcBorders>
            <w:vAlign w:val="center"/>
          </w:tcPr>
          <w:p w14:paraId="0AB2A54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智能吊装控制系统</w:t>
            </w:r>
          </w:p>
        </w:tc>
        <w:tc>
          <w:tcPr>
            <w:tcW w:w="1180" w:type="dxa"/>
            <w:tcBorders>
              <w:top w:val="single" w:color="000000" w:sz="4" w:space="0"/>
              <w:left w:val="single" w:color="000000" w:sz="4" w:space="0"/>
              <w:bottom w:val="single" w:color="000000" w:sz="4" w:space="0"/>
              <w:right w:val="single" w:color="000000" w:sz="4" w:space="0"/>
            </w:tcBorders>
            <w:vAlign w:val="center"/>
          </w:tcPr>
          <w:p w14:paraId="2ED233C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noWrap/>
            <w:vAlign w:val="center"/>
          </w:tcPr>
          <w:p w14:paraId="4520854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AB192CA">
            <w:pPr>
              <w:jc w:val="cente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31079DE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3E2732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AB15527">
            <w:pPr>
              <w:jc w:val="center"/>
              <w:textAlignment w:val="center"/>
              <w:rPr>
                <w:rFonts w:ascii="仿宋" w:hAnsi="仿宋" w:eastAsia="仿宋" w:cs="仿宋"/>
                <w:color w:val="auto"/>
                <w:highlight w:val="none"/>
              </w:rPr>
            </w:pPr>
          </w:p>
        </w:tc>
      </w:tr>
      <w:tr w14:paraId="2AA624F2">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vAlign w:val="center"/>
          </w:tcPr>
          <w:p w14:paraId="5231C4B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5</w:t>
            </w:r>
          </w:p>
        </w:tc>
        <w:tc>
          <w:tcPr>
            <w:tcW w:w="1843" w:type="dxa"/>
            <w:tcBorders>
              <w:top w:val="single" w:color="000000" w:sz="4" w:space="0"/>
              <w:left w:val="single" w:color="000000" w:sz="4" w:space="0"/>
              <w:bottom w:val="single" w:color="000000" w:sz="4" w:space="0"/>
              <w:right w:val="single" w:color="000000" w:sz="4" w:space="0"/>
            </w:tcBorders>
            <w:vAlign w:val="center"/>
          </w:tcPr>
          <w:p w14:paraId="642FB8A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实验桌（学生）</w:t>
            </w:r>
          </w:p>
        </w:tc>
        <w:tc>
          <w:tcPr>
            <w:tcW w:w="1180" w:type="dxa"/>
            <w:tcBorders>
              <w:top w:val="single" w:color="000000" w:sz="4" w:space="0"/>
              <w:left w:val="single" w:color="000000" w:sz="4" w:space="0"/>
              <w:bottom w:val="single" w:color="000000" w:sz="4" w:space="0"/>
              <w:right w:val="single" w:color="000000" w:sz="4" w:space="0"/>
            </w:tcBorders>
            <w:vAlign w:val="center"/>
          </w:tcPr>
          <w:p w14:paraId="6EF672C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noWrap/>
            <w:vAlign w:val="center"/>
          </w:tcPr>
          <w:p w14:paraId="545CF95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59C61E6">
            <w:pPr>
              <w:jc w:val="cente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4F7CA22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DFCF07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98FD3E8">
            <w:pPr>
              <w:jc w:val="center"/>
              <w:textAlignment w:val="center"/>
              <w:rPr>
                <w:rFonts w:ascii="仿宋" w:hAnsi="仿宋" w:eastAsia="仿宋" w:cs="仿宋"/>
                <w:color w:val="auto"/>
                <w:highlight w:val="none"/>
              </w:rPr>
            </w:pPr>
          </w:p>
        </w:tc>
      </w:tr>
      <w:tr w14:paraId="383A4C4E">
        <w:tblPrEx>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vAlign w:val="center"/>
          </w:tcPr>
          <w:p w14:paraId="5E84FE1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6</w:t>
            </w:r>
          </w:p>
        </w:tc>
        <w:tc>
          <w:tcPr>
            <w:tcW w:w="1843" w:type="dxa"/>
            <w:tcBorders>
              <w:top w:val="single" w:color="000000" w:sz="4" w:space="0"/>
              <w:left w:val="single" w:color="000000" w:sz="4" w:space="0"/>
              <w:bottom w:val="single" w:color="000000" w:sz="4" w:space="0"/>
              <w:right w:val="single" w:color="000000" w:sz="4" w:space="0"/>
            </w:tcBorders>
            <w:vAlign w:val="center"/>
          </w:tcPr>
          <w:p w14:paraId="5FCE0BC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学生凳</w:t>
            </w:r>
          </w:p>
        </w:tc>
        <w:tc>
          <w:tcPr>
            <w:tcW w:w="1180" w:type="dxa"/>
            <w:tcBorders>
              <w:top w:val="single" w:color="000000" w:sz="4" w:space="0"/>
              <w:left w:val="single" w:color="000000" w:sz="4" w:space="0"/>
              <w:bottom w:val="single" w:color="000000" w:sz="4" w:space="0"/>
              <w:right w:val="single" w:color="000000" w:sz="4" w:space="0"/>
            </w:tcBorders>
            <w:vAlign w:val="center"/>
          </w:tcPr>
          <w:p w14:paraId="74C1AFD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noWrap/>
            <w:vAlign w:val="center"/>
          </w:tcPr>
          <w:p w14:paraId="105958B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995ED74">
            <w:pPr>
              <w:jc w:val="cente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2FA65F6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B35C8C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5EAE0BD">
            <w:pPr>
              <w:jc w:val="center"/>
              <w:textAlignment w:val="center"/>
              <w:rPr>
                <w:rFonts w:ascii="仿宋" w:hAnsi="仿宋" w:eastAsia="仿宋" w:cs="仿宋"/>
                <w:color w:val="auto"/>
                <w:highlight w:val="none"/>
              </w:rPr>
            </w:pPr>
          </w:p>
        </w:tc>
      </w:tr>
      <w:tr w14:paraId="5BAD09C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E38CD8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7</w:t>
            </w:r>
          </w:p>
        </w:tc>
        <w:tc>
          <w:tcPr>
            <w:tcW w:w="1843" w:type="dxa"/>
            <w:tcBorders>
              <w:top w:val="single" w:color="000000" w:sz="4" w:space="0"/>
              <w:left w:val="single" w:color="000000" w:sz="4" w:space="0"/>
              <w:bottom w:val="single" w:color="000000" w:sz="4" w:space="0"/>
              <w:right w:val="single" w:color="000000" w:sz="4" w:space="0"/>
            </w:tcBorders>
            <w:vAlign w:val="center"/>
          </w:tcPr>
          <w:p w14:paraId="787291B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升降电源</w:t>
            </w:r>
          </w:p>
        </w:tc>
        <w:tc>
          <w:tcPr>
            <w:tcW w:w="1180" w:type="dxa"/>
            <w:tcBorders>
              <w:top w:val="single" w:color="000000" w:sz="4" w:space="0"/>
              <w:left w:val="single" w:color="000000" w:sz="4" w:space="0"/>
              <w:bottom w:val="single" w:color="000000" w:sz="4" w:space="0"/>
              <w:right w:val="single" w:color="000000" w:sz="4" w:space="0"/>
            </w:tcBorders>
            <w:vAlign w:val="center"/>
          </w:tcPr>
          <w:p w14:paraId="6174FF1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noWrap/>
            <w:vAlign w:val="center"/>
          </w:tcPr>
          <w:p w14:paraId="2E6FAE0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5E246ED">
            <w:pPr>
              <w:jc w:val="cente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347B684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7C6A91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1382138">
            <w:pPr>
              <w:jc w:val="center"/>
              <w:textAlignment w:val="center"/>
              <w:rPr>
                <w:rFonts w:ascii="仿宋" w:hAnsi="仿宋" w:eastAsia="仿宋" w:cs="仿宋"/>
                <w:color w:val="auto"/>
                <w:highlight w:val="none"/>
              </w:rPr>
            </w:pPr>
          </w:p>
        </w:tc>
      </w:tr>
      <w:tr w14:paraId="7B22026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609C03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8</w:t>
            </w:r>
          </w:p>
        </w:tc>
        <w:tc>
          <w:tcPr>
            <w:tcW w:w="1843" w:type="dxa"/>
            <w:tcBorders>
              <w:top w:val="single" w:color="000000" w:sz="4" w:space="0"/>
              <w:left w:val="single" w:color="000000" w:sz="4" w:space="0"/>
              <w:bottom w:val="single" w:color="000000" w:sz="4" w:space="0"/>
              <w:right w:val="single" w:color="000000" w:sz="4" w:space="0"/>
            </w:tcBorders>
            <w:vAlign w:val="center"/>
          </w:tcPr>
          <w:p w14:paraId="555572B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电源布线耗材</w:t>
            </w:r>
          </w:p>
        </w:tc>
        <w:tc>
          <w:tcPr>
            <w:tcW w:w="11739" w:type="dxa"/>
            <w:gridSpan w:val="6"/>
            <w:tcBorders>
              <w:top w:val="single" w:color="000000" w:sz="4" w:space="0"/>
              <w:left w:val="single" w:color="000000" w:sz="4" w:space="0"/>
              <w:bottom w:val="single" w:color="000000" w:sz="4" w:space="0"/>
              <w:right w:val="single" w:color="000000" w:sz="4" w:space="0"/>
            </w:tcBorders>
            <w:vAlign w:val="center"/>
          </w:tcPr>
          <w:p w14:paraId="50B99805">
            <w:pPr>
              <w:jc w:val="center"/>
              <w:textAlignment w:val="center"/>
              <w:rPr>
                <w:rFonts w:ascii="仿宋" w:hAnsi="仿宋" w:eastAsia="仿宋" w:cs="仿宋"/>
                <w:color w:val="auto"/>
                <w:highlight w:val="none"/>
                <w:lang w:eastAsia="zh-CN"/>
              </w:rPr>
            </w:pPr>
            <w:r>
              <w:rPr>
                <w:rFonts w:hint="eastAsia" w:ascii="仿宋" w:hAnsi="仿宋" w:eastAsia="仿宋"/>
                <w:bCs/>
                <w:color w:val="auto"/>
                <w:highlight w:val="none"/>
                <w:lang w:eastAsia="zh-CN"/>
              </w:rPr>
              <w:t>该项属于设备的配件、辅料等材料，不对其生产厂商做要求。无需填报中小企业声明函制造商信息</w:t>
            </w:r>
          </w:p>
        </w:tc>
      </w:tr>
      <w:tr w14:paraId="0C64617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A20135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9</w:t>
            </w:r>
          </w:p>
        </w:tc>
        <w:tc>
          <w:tcPr>
            <w:tcW w:w="1843" w:type="dxa"/>
            <w:tcBorders>
              <w:top w:val="single" w:color="000000" w:sz="4" w:space="0"/>
              <w:left w:val="single" w:color="000000" w:sz="4" w:space="0"/>
              <w:bottom w:val="single" w:color="000000" w:sz="4" w:space="0"/>
              <w:right w:val="single" w:color="000000" w:sz="4" w:space="0"/>
            </w:tcBorders>
            <w:vAlign w:val="center"/>
          </w:tcPr>
          <w:p w14:paraId="3A74798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安装辅件</w:t>
            </w:r>
          </w:p>
        </w:tc>
        <w:tc>
          <w:tcPr>
            <w:tcW w:w="11739" w:type="dxa"/>
            <w:gridSpan w:val="6"/>
            <w:tcBorders>
              <w:top w:val="single" w:color="000000" w:sz="4" w:space="0"/>
              <w:left w:val="single" w:color="000000" w:sz="4" w:space="0"/>
              <w:bottom w:val="single" w:color="000000" w:sz="4" w:space="0"/>
              <w:right w:val="single" w:color="000000" w:sz="4" w:space="0"/>
            </w:tcBorders>
            <w:vAlign w:val="center"/>
          </w:tcPr>
          <w:p w14:paraId="6DAFF507">
            <w:pPr>
              <w:jc w:val="center"/>
              <w:textAlignment w:val="center"/>
              <w:rPr>
                <w:rFonts w:ascii="仿宋" w:hAnsi="仿宋" w:eastAsia="仿宋" w:cs="仿宋"/>
                <w:color w:val="auto"/>
                <w:highlight w:val="none"/>
                <w:lang w:eastAsia="zh-CN"/>
              </w:rPr>
            </w:pPr>
            <w:r>
              <w:rPr>
                <w:rFonts w:hint="eastAsia" w:ascii="仿宋" w:hAnsi="仿宋" w:eastAsia="仿宋"/>
                <w:bCs/>
                <w:color w:val="auto"/>
                <w:highlight w:val="none"/>
                <w:lang w:eastAsia="zh-CN"/>
              </w:rPr>
              <w:t>该项属于设备的配件、辅料等材料，不对其生产厂商做要求。无需填报中小企业声明函制造商信息</w:t>
            </w:r>
          </w:p>
        </w:tc>
      </w:tr>
      <w:tr w14:paraId="60117E2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AA5C22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10</w:t>
            </w:r>
          </w:p>
        </w:tc>
        <w:tc>
          <w:tcPr>
            <w:tcW w:w="1843" w:type="dxa"/>
            <w:tcBorders>
              <w:top w:val="single" w:color="000000" w:sz="4" w:space="0"/>
              <w:left w:val="single" w:color="000000" w:sz="4" w:space="0"/>
              <w:bottom w:val="single" w:color="000000" w:sz="4" w:space="0"/>
              <w:right w:val="single" w:color="000000" w:sz="4" w:space="0"/>
            </w:tcBorders>
            <w:vAlign w:val="center"/>
          </w:tcPr>
          <w:p w14:paraId="526CFF9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吊装系统安装调试</w:t>
            </w:r>
          </w:p>
        </w:tc>
        <w:tc>
          <w:tcPr>
            <w:tcW w:w="11739" w:type="dxa"/>
            <w:gridSpan w:val="6"/>
            <w:tcBorders>
              <w:top w:val="single" w:color="000000" w:sz="4" w:space="0"/>
              <w:left w:val="single" w:color="000000" w:sz="4" w:space="0"/>
              <w:bottom w:val="single" w:color="000000" w:sz="4" w:space="0"/>
              <w:right w:val="single" w:color="000000" w:sz="4" w:space="0"/>
            </w:tcBorders>
            <w:vAlign w:val="center"/>
          </w:tcPr>
          <w:p w14:paraId="5FE2B3DB">
            <w:pPr>
              <w:jc w:val="cente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该项属于配套服务，不对其中涉及的承接商作出要求，无需填报中小企业声明函承接商信息</w:t>
            </w:r>
          </w:p>
        </w:tc>
      </w:tr>
      <w:tr w14:paraId="781484B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47EA05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11</w:t>
            </w:r>
          </w:p>
        </w:tc>
        <w:tc>
          <w:tcPr>
            <w:tcW w:w="1843" w:type="dxa"/>
            <w:tcBorders>
              <w:top w:val="single" w:color="000000" w:sz="4" w:space="0"/>
              <w:left w:val="single" w:color="000000" w:sz="4" w:space="0"/>
              <w:bottom w:val="single" w:color="000000" w:sz="4" w:space="0"/>
              <w:right w:val="single" w:color="000000" w:sz="4" w:space="0"/>
            </w:tcBorders>
            <w:vAlign w:val="center"/>
          </w:tcPr>
          <w:p w14:paraId="24FC710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交互式书写板</w:t>
            </w:r>
          </w:p>
        </w:tc>
        <w:tc>
          <w:tcPr>
            <w:tcW w:w="1180" w:type="dxa"/>
            <w:tcBorders>
              <w:top w:val="single" w:color="000000" w:sz="4" w:space="0"/>
              <w:left w:val="single" w:color="000000" w:sz="4" w:space="0"/>
              <w:bottom w:val="single" w:color="000000" w:sz="4" w:space="0"/>
              <w:right w:val="single" w:color="000000" w:sz="4" w:space="0"/>
            </w:tcBorders>
            <w:vAlign w:val="center"/>
          </w:tcPr>
          <w:p w14:paraId="7EA6F2C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noWrap/>
            <w:vAlign w:val="center"/>
          </w:tcPr>
          <w:p w14:paraId="1912040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45AFF1F">
            <w:pPr>
              <w:jc w:val="cente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51BB710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3AAF8A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5560393">
            <w:pPr>
              <w:jc w:val="center"/>
              <w:textAlignment w:val="center"/>
              <w:rPr>
                <w:rFonts w:ascii="仿宋" w:hAnsi="仿宋" w:eastAsia="仿宋" w:cs="仿宋"/>
                <w:color w:val="auto"/>
                <w:highlight w:val="none"/>
              </w:rPr>
            </w:pPr>
          </w:p>
        </w:tc>
      </w:tr>
      <w:tr w14:paraId="274859B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A12367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12</w:t>
            </w:r>
          </w:p>
        </w:tc>
        <w:tc>
          <w:tcPr>
            <w:tcW w:w="1843" w:type="dxa"/>
            <w:tcBorders>
              <w:top w:val="single" w:color="000000" w:sz="4" w:space="0"/>
              <w:left w:val="single" w:color="000000" w:sz="4" w:space="0"/>
              <w:bottom w:val="single" w:color="000000" w:sz="4" w:space="0"/>
              <w:right w:val="single" w:color="000000" w:sz="4" w:space="0"/>
            </w:tcBorders>
            <w:vAlign w:val="center"/>
          </w:tcPr>
          <w:p w14:paraId="6BD157E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壁挂新风机</w:t>
            </w:r>
          </w:p>
        </w:tc>
        <w:tc>
          <w:tcPr>
            <w:tcW w:w="1180" w:type="dxa"/>
            <w:tcBorders>
              <w:top w:val="single" w:color="000000" w:sz="4" w:space="0"/>
              <w:left w:val="single" w:color="000000" w:sz="4" w:space="0"/>
              <w:bottom w:val="single" w:color="000000" w:sz="4" w:space="0"/>
              <w:right w:val="single" w:color="000000" w:sz="4" w:space="0"/>
            </w:tcBorders>
            <w:vAlign w:val="center"/>
          </w:tcPr>
          <w:p w14:paraId="157C387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noWrap/>
            <w:vAlign w:val="center"/>
          </w:tcPr>
          <w:p w14:paraId="7C473DF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783DA69">
            <w:pPr>
              <w:jc w:val="center"/>
              <w:textAlignment w:val="center"/>
              <w:rPr>
                <w:rFonts w:ascii="仿宋" w:hAnsi="仿宋" w:eastAsia="仿宋" w:cs="仿宋"/>
                <w:color w:val="auto"/>
                <w:highlight w:val="none"/>
              </w:rPr>
            </w:pPr>
          </w:p>
        </w:tc>
        <w:tc>
          <w:tcPr>
            <w:tcW w:w="1134" w:type="dxa"/>
            <w:tcBorders>
              <w:top w:val="single" w:color="000000" w:sz="4" w:space="0"/>
              <w:left w:val="single" w:color="auto" w:sz="4" w:space="0"/>
              <w:bottom w:val="single" w:color="000000" w:sz="4" w:space="0"/>
              <w:right w:val="single" w:color="auto" w:sz="4" w:space="0"/>
            </w:tcBorders>
            <w:vAlign w:val="center"/>
          </w:tcPr>
          <w:p w14:paraId="0B79CDA6">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509739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F437BC7">
            <w:pPr>
              <w:jc w:val="center"/>
              <w:textAlignment w:val="center"/>
              <w:rPr>
                <w:rFonts w:ascii="仿宋" w:hAnsi="仿宋" w:eastAsia="仿宋" w:cs="仿宋"/>
                <w:color w:val="auto"/>
                <w:highlight w:val="none"/>
              </w:rPr>
            </w:pPr>
          </w:p>
        </w:tc>
      </w:tr>
      <w:tr w14:paraId="3071330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2550B8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13</w:t>
            </w:r>
          </w:p>
        </w:tc>
        <w:tc>
          <w:tcPr>
            <w:tcW w:w="1843" w:type="dxa"/>
            <w:tcBorders>
              <w:top w:val="single" w:color="000000" w:sz="4" w:space="0"/>
              <w:left w:val="single" w:color="000000" w:sz="4" w:space="0"/>
              <w:bottom w:val="single" w:color="000000" w:sz="4" w:space="0"/>
              <w:right w:val="single" w:color="000000" w:sz="4" w:space="0"/>
            </w:tcBorders>
            <w:vAlign w:val="center"/>
          </w:tcPr>
          <w:p w14:paraId="4C71A46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技术服务</w:t>
            </w:r>
          </w:p>
        </w:tc>
        <w:tc>
          <w:tcPr>
            <w:tcW w:w="11739" w:type="dxa"/>
            <w:gridSpan w:val="6"/>
            <w:tcBorders>
              <w:top w:val="single" w:color="000000" w:sz="4" w:space="0"/>
              <w:left w:val="single" w:color="000000" w:sz="4" w:space="0"/>
              <w:bottom w:val="single" w:color="000000" w:sz="4" w:space="0"/>
              <w:right w:val="single" w:color="000000" w:sz="4" w:space="0"/>
            </w:tcBorders>
            <w:vAlign w:val="center"/>
          </w:tcPr>
          <w:p w14:paraId="372F5032">
            <w:pPr>
              <w:jc w:val="cente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该项属于配套服务，不对其中涉及的承接商作出要求，无需填报中小企业声明函承接商信息</w:t>
            </w:r>
          </w:p>
        </w:tc>
      </w:tr>
      <w:tr w14:paraId="34927536">
        <w:tblPrEx>
          <w:tblCellMar>
            <w:top w:w="0" w:type="dxa"/>
            <w:left w:w="108" w:type="dxa"/>
            <w:bottom w:w="0" w:type="dxa"/>
            <w:right w:w="108" w:type="dxa"/>
          </w:tblCellMar>
        </w:tblPrEx>
        <w:trPr>
          <w:trHeight w:val="340" w:hRule="atLeast"/>
        </w:trPr>
        <w:tc>
          <w:tcPr>
            <w:tcW w:w="14145" w:type="dxa"/>
            <w:gridSpan w:val="8"/>
            <w:tcBorders>
              <w:top w:val="single" w:color="000000" w:sz="4" w:space="0"/>
              <w:left w:val="single" w:color="auto" w:sz="4" w:space="0"/>
              <w:bottom w:val="single" w:color="000000" w:sz="4" w:space="0"/>
              <w:right w:val="single" w:color="000000" w:sz="4" w:space="0"/>
            </w:tcBorders>
            <w:vAlign w:val="center"/>
          </w:tcPr>
          <w:p w14:paraId="7BB31694">
            <w:pPr>
              <w:jc w:val="cente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三、高中新课标物理实验仪器</w:t>
            </w:r>
          </w:p>
        </w:tc>
      </w:tr>
      <w:tr w14:paraId="253ABFD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AE0712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w:t>
            </w:r>
          </w:p>
        </w:tc>
        <w:tc>
          <w:tcPr>
            <w:tcW w:w="1843" w:type="dxa"/>
            <w:tcBorders>
              <w:top w:val="single" w:color="000000" w:sz="4" w:space="0"/>
              <w:left w:val="single" w:color="000000" w:sz="4" w:space="0"/>
              <w:bottom w:val="single" w:color="000000" w:sz="4" w:space="0"/>
              <w:right w:val="single" w:color="000000" w:sz="4" w:space="0"/>
            </w:tcBorders>
            <w:vAlign w:val="center"/>
          </w:tcPr>
          <w:p w14:paraId="3E8327E4">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数据采集器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339F142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4A040C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3A4F9C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021D09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7BFC5A6">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07DAFD4">
            <w:pPr>
              <w:jc w:val="center"/>
              <w:textAlignment w:val="center"/>
              <w:rPr>
                <w:rFonts w:ascii="仿宋" w:hAnsi="仿宋" w:eastAsia="仿宋" w:cs="仿宋"/>
                <w:color w:val="auto"/>
                <w:highlight w:val="none"/>
              </w:rPr>
            </w:pPr>
          </w:p>
        </w:tc>
      </w:tr>
      <w:tr w14:paraId="7FC30D1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778788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w:t>
            </w:r>
          </w:p>
        </w:tc>
        <w:tc>
          <w:tcPr>
            <w:tcW w:w="1843" w:type="dxa"/>
            <w:tcBorders>
              <w:top w:val="single" w:color="000000" w:sz="4" w:space="0"/>
              <w:left w:val="single" w:color="000000" w:sz="4" w:space="0"/>
              <w:bottom w:val="single" w:color="000000" w:sz="4" w:space="0"/>
              <w:right w:val="single" w:color="000000" w:sz="4" w:space="0"/>
            </w:tcBorders>
            <w:vAlign w:val="center"/>
          </w:tcPr>
          <w:p w14:paraId="64B4762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数据显示模块</w:t>
            </w:r>
          </w:p>
        </w:tc>
        <w:tc>
          <w:tcPr>
            <w:tcW w:w="1180" w:type="dxa"/>
            <w:tcBorders>
              <w:top w:val="single" w:color="000000" w:sz="4" w:space="0"/>
              <w:left w:val="single" w:color="000000" w:sz="4" w:space="0"/>
              <w:bottom w:val="single" w:color="000000" w:sz="4" w:space="0"/>
              <w:right w:val="single" w:color="000000" w:sz="4" w:space="0"/>
            </w:tcBorders>
            <w:vAlign w:val="center"/>
          </w:tcPr>
          <w:p w14:paraId="6D5AA8B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9A0FB3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64FA33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379EBB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8C6528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78B78ED">
            <w:pPr>
              <w:jc w:val="center"/>
              <w:textAlignment w:val="center"/>
              <w:rPr>
                <w:rFonts w:ascii="仿宋" w:hAnsi="仿宋" w:eastAsia="仿宋" w:cs="仿宋"/>
                <w:color w:val="auto"/>
                <w:highlight w:val="none"/>
              </w:rPr>
            </w:pPr>
          </w:p>
        </w:tc>
      </w:tr>
      <w:tr w14:paraId="7A141CB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C7F40A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w:t>
            </w:r>
          </w:p>
        </w:tc>
        <w:tc>
          <w:tcPr>
            <w:tcW w:w="1843" w:type="dxa"/>
            <w:tcBorders>
              <w:top w:val="single" w:color="000000" w:sz="4" w:space="0"/>
              <w:left w:val="single" w:color="000000" w:sz="4" w:space="0"/>
              <w:bottom w:val="single" w:color="000000" w:sz="4" w:space="0"/>
              <w:right w:val="single" w:color="000000" w:sz="4" w:space="0"/>
            </w:tcBorders>
            <w:vAlign w:val="center"/>
          </w:tcPr>
          <w:p w14:paraId="39517D8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传感器转接模块</w:t>
            </w:r>
          </w:p>
        </w:tc>
        <w:tc>
          <w:tcPr>
            <w:tcW w:w="1180" w:type="dxa"/>
            <w:tcBorders>
              <w:top w:val="single" w:color="000000" w:sz="4" w:space="0"/>
              <w:left w:val="single" w:color="000000" w:sz="4" w:space="0"/>
              <w:bottom w:val="single" w:color="000000" w:sz="4" w:space="0"/>
              <w:right w:val="single" w:color="000000" w:sz="4" w:space="0"/>
            </w:tcBorders>
            <w:vAlign w:val="center"/>
          </w:tcPr>
          <w:p w14:paraId="7C2E29E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8CDF94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3D2708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56A379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F4C4CC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E358754">
            <w:pPr>
              <w:jc w:val="center"/>
              <w:textAlignment w:val="center"/>
              <w:rPr>
                <w:rFonts w:ascii="仿宋" w:hAnsi="仿宋" w:eastAsia="仿宋" w:cs="仿宋"/>
                <w:color w:val="auto"/>
                <w:highlight w:val="none"/>
              </w:rPr>
            </w:pPr>
          </w:p>
        </w:tc>
      </w:tr>
      <w:tr w14:paraId="03DA5CA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D4FDCF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1843" w:type="dxa"/>
            <w:tcBorders>
              <w:top w:val="single" w:color="000000" w:sz="4" w:space="0"/>
              <w:left w:val="single" w:color="000000" w:sz="4" w:space="0"/>
              <w:bottom w:val="single" w:color="000000" w:sz="4" w:space="0"/>
              <w:right w:val="single" w:color="000000" w:sz="4" w:space="0"/>
            </w:tcBorders>
            <w:vAlign w:val="center"/>
          </w:tcPr>
          <w:p w14:paraId="4503C5C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无线接口</w:t>
            </w:r>
          </w:p>
        </w:tc>
        <w:tc>
          <w:tcPr>
            <w:tcW w:w="1180" w:type="dxa"/>
            <w:tcBorders>
              <w:top w:val="single" w:color="000000" w:sz="4" w:space="0"/>
              <w:left w:val="single" w:color="000000" w:sz="4" w:space="0"/>
              <w:bottom w:val="single" w:color="000000" w:sz="4" w:space="0"/>
              <w:right w:val="single" w:color="000000" w:sz="4" w:space="0"/>
            </w:tcBorders>
            <w:vAlign w:val="center"/>
          </w:tcPr>
          <w:p w14:paraId="2664A3D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EF1096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5307B4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C9DD85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D3EA46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A0AB2FD">
            <w:pPr>
              <w:jc w:val="center"/>
              <w:textAlignment w:val="center"/>
              <w:rPr>
                <w:rFonts w:ascii="仿宋" w:hAnsi="仿宋" w:eastAsia="仿宋" w:cs="仿宋"/>
                <w:color w:val="auto"/>
                <w:highlight w:val="none"/>
              </w:rPr>
            </w:pPr>
          </w:p>
        </w:tc>
      </w:tr>
      <w:tr w14:paraId="07610CA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AF5550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5</w:t>
            </w:r>
          </w:p>
        </w:tc>
        <w:tc>
          <w:tcPr>
            <w:tcW w:w="1843" w:type="dxa"/>
            <w:tcBorders>
              <w:top w:val="single" w:color="000000" w:sz="4" w:space="0"/>
              <w:left w:val="single" w:color="000000" w:sz="4" w:space="0"/>
              <w:bottom w:val="single" w:color="000000" w:sz="4" w:space="0"/>
              <w:right w:val="single" w:color="000000" w:sz="4" w:space="0"/>
            </w:tcBorders>
            <w:vAlign w:val="center"/>
          </w:tcPr>
          <w:p w14:paraId="6281868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无线发射模块</w:t>
            </w:r>
          </w:p>
        </w:tc>
        <w:tc>
          <w:tcPr>
            <w:tcW w:w="1180" w:type="dxa"/>
            <w:tcBorders>
              <w:top w:val="single" w:color="000000" w:sz="4" w:space="0"/>
              <w:left w:val="single" w:color="000000" w:sz="4" w:space="0"/>
              <w:bottom w:val="single" w:color="000000" w:sz="4" w:space="0"/>
              <w:right w:val="single" w:color="000000" w:sz="4" w:space="0"/>
            </w:tcBorders>
            <w:vAlign w:val="center"/>
          </w:tcPr>
          <w:p w14:paraId="0614148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4DE669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0B9DB2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317C63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732A05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60B1B67">
            <w:pPr>
              <w:jc w:val="center"/>
              <w:textAlignment w:val="center"/>
              <w:rPr>
                <w:rFonts w:ascii="仿宋" w:hAnsi="仿宋" w:eastAsia="仿宋" w:cs="仿宋"/>
                <w:color w:val="auto"/>
                <w:highlight w:val="none"/>
              </w:rPr>
            </w:pPr>
          </w:p>
        </w:tc>
      </w:tr>
      <w:tr w14:paraId="1406CC1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DF7B6F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6</w:t>
            </w:r>
          </w:p>
        </w:tc>
        <w:tc>
          <w:tcPr>
            <w:tcW w:w="1843" w:type="dxa"/>
            <w:tcBorders>
              <w:top w:val="single" w:color="000000" w:sz="4" w:space="0"/>
              <w:left w:val="single" w:color="000000" w:sz="4" w:space="0"/>
              <w:bottom w:val="single" w:color="000000" w:sz="4" w:space="0"/>
              <w:right w:val="single" w:color="000000" w:sz="4" w:space="0"/>
            </w:tcBorders>
            <w:vAlign w:val="center"/>
          </w:tcPr>
          <w:p w14:paraId="6F6203A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力传感器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8C5E43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037A52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EC3B8A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46AB01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41E3F3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0F87FB9">
            <w:pPr>
              <w:jc w:val="center"/>
              <w:textAlignment w:val="center"/>
              <w:rPr>
                <w:rFonts w:ascii="仿宋" w:hAnsi="仿宋" w:eastAsia="仿宋" w:cs="仿宋"/>
                <w:color w:val="auto"/>
                <w:highlight w:val="none"/>
              </w:rPr>
            </w:pPr>
          </w:p>
        </w:tc>
      </w:tr>
      <w:tr w14:paraId="532E634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CF7E5D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7</w:t>
            </w:r>
          </w:p>
        </w:tc>
        <w:tc>
          <w:tcPr>
            <w:tcW w:w="1843" w:type="dxa"/>
            <w:tcBorders>
              <w:top w:val="single" w:color="000000" w:sz="4" w:space="0"/>
              <w:left w:val="single" w:color="000000" w:sz="4" w:space="0"/>
              <w:bottom w:val="single" w:color="000000" w:sz="4" w:space="0"/>
              <w:right w:val="single" w:color="000000" w:sz="4" w:space="0"/>
            </w:tcBorders>
            <w:vAlign w:val="center"/>
          </w:tcPr>
          <w:p w14:paraId="011F31A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微力传感器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78CAE3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A22801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51F1EF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EF0FEC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21F15A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55BF958">
            <w:pPr>
              <w:jc w:val="center"/>
              <w:textAlignment w:val="center"/>
              <w:rPr>
                <w:rFonts w:ascii="仿宋" w:hAnsi="仿宋" w:eastAsia="仿宋" w:cs="仿宋"/>
                <w:color w:val="auto"/>
                <w:highlight w:val="none"/>
              </w:rPr>
            </w:pPr>
          </w:p>
        </w:tc>
      </w:tr>
      <w:tr w14:paraId="588D1A9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1064E9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8</w:t>
            </w:r>
          </w:p>
        </w:tc>
        <w:tc>
          <w:tcPr>
            <w:tcW w:w="1843" w:type="dxa"/>
            <w:tcBorders>
              <w:top w:val="single" w:color="000000" w:sz="4" w:space="0"/>
              <w:left w:val="single" w:color="000000" w:sz="4" w:space="0"/>
              <w:bottom w:val="single" w:color="000000" w:sz="4" w:space="0"/>
              <w:right w:val="single" w:color="000000" w:sz="4" w:space="0"/>
            </w:tcBorders>
            <w:vAlign w:val="center"/>
          </w:tcPr>
          <w:p w14:paraId="3F6E48FE">
            <w:pPr>
              <w:jc w:val="both"/>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温度传感器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1033A4A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6982C7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D58E1C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C70BC6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A1ADB1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B0788AA">
            <w:pPr>
              <w:jc w:val="center"/>
              <w:textAlignment w:val="center"/>
              <w:rPr>
                <w:rFonts w:ascii="仿宋" w:hAnsi="仿宋" w:eastAsia="仿宋" w:cs="仿宋"/>
                <w:color w:val="auto"/>
                <w:highlight w:val="none"/>
              </w:rPr>
            </w:pPr>
          </w:p>
        </w:tc>
      </w:tr>
      <w:tr w14:paraId="515FC71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03CB28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9</w:t>
            </w:r>
          </w:p>
        </w:tc>
        <w:tc>
          <w:tcPr>
            <w:tcW w:w="1843" w:type="dxa"/>
            <w:tcBorders>
              <w:top w:val="single" w:color="000000" w:sz="4" w:space="0"/>
              <w:left w:val="single" w:color="000000" w:sz="4" w:space="0"/>
              <w:bottom w:val="single" w:color="000000" w:sz="4" w:space="0"/>
              <w:right w:val="single" w:color="000000" w:sz="4" w:space="0"/>
            </w:tcBorders>
            <w:vAlign w:val="center"/>
          </w:tcPr>
          <w:p w14:paraId="23DDF85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声波/声级传感器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7D088F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66F3E7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E3B785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5F0D75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D5EC83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C5FA1A3">
            <w:pPr>
              <w:jc w:val="center"/>
              <w:textAlignment w:val="center"/>
              <w:rPr>
                <w:rFonts w:ascii="仿宋" w:hAnsi="仿宋" w:eastAsia="仿宋" w:cs="仿宋"/>
                <w:color w:val="auto"/>
                <w:highlight w:val="none"/>
              </w:rPr>
            </w:pPr>
          </w:p>
        </w:tc>
      </w:tr>
      <w:tr w14:paraId="2042656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6BE3D4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10</w:t>
            </w:r>
          </w:p>
        </w:tc>
        <w:tc>
          <w:tcPr>
            <w:tcW w:w="1843" w:type="dxa"/>
            <w:tcBorders>
              <w:top w:val="single" w:color="000000" w:sz="4" w:space="0"/>
              <w:left w:val="single" w:color="000000" w:sz="4" w:space="0"/>
              <w:bottom w:val="single" w:color="000000" w:sz="4" w:space="0"/>
              <w:right w:val="single" w:color="000000" w:sz="4" w:space="0"/>
            </w:tcBorders>
            <w:vAlign w:val="center"/>
          </w:tcPr>
          <w:p w14:paraId="7E80FEA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光电门传感器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6B6AF1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E30CDB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2FB88D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743929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3E1D9D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44CCB16">
            <w:pPr>
              <w:jc w:val="center"/>
              <w:textAlignment w:val="center"/>
              <w:rPr>
                <w:rFonts w:ascii="仿宋" w:hAnsi="仿宋" w:eastAsia="仿宋" w:cs="仿宋"/>
                <w:color w:val="auto"/>
                <w:highlight w:val="none"/>
              </w:rPr>
            </w:pPr>
          </w:p>
        </w:tc>
      </w:tr>
      <w:tr w14:paraId="25D0B62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85E6E6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11</w:t>
            </w:r>
          </w:p>
        </w:tc>
        <w:tc>
          <w:tcPr>
            <w:tcW w:w="1843" w:type="dxa"/>
            <w:tcBorders>
              <w:top w:val="single" w:color="000000" w:sz="4" w:space="0"/>
              <w:left w:val="single" w:color="000000" w:sz="4" w:space="0"/>
              <w:bottom w:val="single" w:color="000000" w:sz="4" w:space="0"/>
              <w:right w:val="single" w:color="000000" w:sz="4" w:space="0"/>
            </w:tcBorders>
            <w:vAlign w:val="center"/>
          </w:tcPr>
          <w:p w14:paraId="4D0CBA5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分体式位移传感器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02AB080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B13B1C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34585B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3F8466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A60062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253EB1F">
            <w:pPr>
              <w:jc w:val="center"/>
              <w:textAlignment w:val="center"/>
              <w:rPr>
                <w:rFonts w:ascii="仿宋" w:hAnsi="仿宋" w:eastAsia="仿宋" w:cs="仿宋"/>
                <w:color w:val="auto"/>
                <w:highlight w:val="none"/>
              </w:rPr>
            </w:pPr>
          </w:p>
        </w:tc>
      </w:tr>
      <w:tr w14:paraId="14271CB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37A523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12</w:t>
            </w:r>
          </w:p>
        </w:tc>
        <w:tc>
          <w:tcPr>
            <w:tcW w:w="1843" w:type="dxa"/>
            <w:tcBorders>
              <w:top w:val="single" w:color="000000" w:sz="4" w:space="0"/>
              <w:left w:val="single" w:color="000000" w:sz="4" w:space="0"/>
              <w:bottom w:val="single" w:color="000000" w:sz="4" w:space="0"/>
              <w:right w:val="single" w:color="000000" w:sz="4" w:space="0"/>
            </w:tcBorders>
            <w:vAlign w:val="center"/>
          </w:tcPr>
          <w:p w14:paraId="4CBA1BC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一体式位移传感器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E7A573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D23D56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1ECA15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91428A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58B9E5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5FE37D2">
            <w:pPr>
              <w:jc w:val="center"/>
              <w:textAlignment w:val="center"/>
              <w:rPr>
                <w:rFonts w:ascii="仿宋" w:hAnsi="仿宋" w:eastAsia="仿宋" w:cs="仿宋"/>
                <w:color w:val="auto"/>
                <w:highlight w:val="none"/>
              </w:rPr>
            </w:pPr>
          </w:p>
        </w:tc>
      </w:tr>
      <w:tr w14:paraId="3EA5BE3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02ACD8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13</w:t>
            </w:r>
          </w:p>
        </w:tc>
        <w:tc>
          <w:tcPr>
            <w:tcW w:w="1843" w:type="dxa"/>
            <w:tcBorders>
              <w:top w:val="single" w:color="000000" w:sz="4" w:space="0"/>
              <w:left w:val="single" w:color="000000" w:sz="4" w:space="0"/>
              <w:bottom w:val="single" w:color="000000" w:sz="4" w:space="0"/>
              <w:right w:val="single" w:color="000000" w:sz="4" w:space="0"/>
            </w:tcBorders>
            <w:vAlign w:val="center"/>
          </w:tcPr>
          <w:p w14:paraId="77BAD77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小量程位移传感器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C1ED1C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9BF800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002082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7FCBAD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A4EA43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EE45FFA">
            <w:pPr>
              <w:jc w:val="center"/>
              <w:textAlignment w:val="center"/>
              <w:rPr>
                <w:rFonts w:ascii="仿宋" w:hAnsi="仿宋" w:eastAsia="仿宋" w:cs="仿宋"/>
                <w:color w:val="auto"/>
                <w:highlight w:val="none"/>
              </w:rPr>
            </w:pPr>
          </w:p>
        </w:tc>
      </w:tr>
      <w:tr w14:paraId="354C8EB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FAE901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14</w:t>
            </w:r>
          </w:p>
        </w:tc>
        <w:tc>
          <w:tcPr>
            <w:tcW w:w="1843" w:type="dxa"/>
            <w:tcBorders>
              <w:top w:val="single" w:color="000000" w:sz="4" w:space="0"/>
              <w:left w:val="single" w:color="000000" w:sz="4" w:space="0"/>
              <w:bottom w:val="single" w:color="000000" w:sz="4" w:space="0"/>
              <w:right w:val="single" w:color="000000" w:sz="4" w:space="0"/>
            </w:tcBorders>
            <w:vAlign w:val="center"/>
          </w:tcPr>
          <w:p w14:paraId="123C393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微电流传感器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2D2EBAE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7368CD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2C223C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3918436">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4DF1F0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D033481">
            <w:pPr>
              <w:jc w:val="center"/>
              <w:textAlignment w:val="center"/>
              <w:rPr>
                <w:rFonts w:ascii="仿宋" w:hAnsi="仿宋" w:eastAsia="仿宋" w:cs="仿宋"/>
                <w:color w:val="auto"/>
                <w:highlight w:val="none"/>
              </w:rPr>
            </w:pPr>
          </w:p>
        </w:tc>
      </w:tr>
      <w:tr w14:paraId="1182EB2B">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8ACE1A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15</w:t>
            </w:r>
          </w:p>
        </w:tc>
        <w:tc>
          <w:tcPr>
            <w:tcW w:w="1843" w:type="dxa"/>
            <w:tcBorders>
              <w:top w:val="single" w:color="000000" w:sz="4" w:space="0"/>
              <w:left w:val="single" w:color="000000" w:sz="4" w:space="0"/>
              <w:bottom w:val="single" w:color="000000" w:sz="4" w:space="0"/>
              <w:right w:val="single" w:color="000000" w:sz="4" w:space="0"/>
            </w:tcBorders>
            <w:vAlign w:val="center"/>
          </w:tcPr>
          <w:p w14:paraId="4A8BFA7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多量程电流传感器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BA6A49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A6F049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036AA5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4925AB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280CDB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F8DAC7D">
            <w:pPr>
              <w:jc w:val="center"/>
              <w:textAlignment w:val="center"/>
              <w:rPr>
                <w:rFonts w:ascii="仿宋" w:hAnsi="仿宋" w:eastAsia="仿宋" w:cs="仿宋"/>
                <w:color w:val="auto"/>
                <w:highlight w:val="none"/>
              </w:rPr>
            </w:pPr>
          </w:p>
        </w:tc>
      </w:tr>
      <w:tr w14:paraId="25B5A51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34513E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16</w:t>
            </w:r>
          </w:p>
        </w:tc>
        <w:tc>
          <w:tcPr>
            <w:tcW w:w="1843" w:type="dxa"/>
            <w:tcBorders>
              <w:top w:val="single" w:color="000000" w:sz="4" w:space="0"/>
              <w:left w:val="single" w:color="000000" w:sz="4" w:space="0"/>
              <w:bottom w:val="single" w:color="000000" w:sz="4" w:space="0"/>
              <w:right w:val="single" w:color="000000" w:sz="4" w:space="0"/>
            </w:tcBorders>
            <w:vAlign w:val="center"/>
          </w:tcPr>
          <w:p w14:paraId="3E1E4C9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多量程电压传感器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2F440F6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395D5B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FA59DB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B558A7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48B8ED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5950D3C">
            <w:pPr>
              <w:jc w:val="center"/>
              <w:textAlignment w:val="center"/>
              <w:rPr>
                <w:rFonts w:ascii="仿宋" w:hAnsi="仿宋" w:eastAsia="仿宋" w:cs="仿宋"/>
                <w:color w:val="auto"/>
                <w:highlight w:val="none"/>
              </w:rPr>
            </w:pPr>
          </w:p>
        </w:tc>
      </w:tr>
      <w:tr w14:paraId="61B8E39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FC5016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17</w:t>
            </w:r>
          </w:p>
        </w:tc>
        <w:tc>
          <w:tcPr>
            <w:tcW w:w="1843" w:type="dxa"/>
            <w:tcBorders>
              <w:top w:val="single" w:color="000000" w:sz="4" w:space="0"/>
              <w:left w:val="single" w:color="000000" w:sz="4" w:space="0"/>
              <w:bottom w:val="single" w:color="000000" w:sz="4" w:space="0"/>
              <w:right w:val="single" w:color="000000" w:sz="4" w:space="0"/>
            </w:tcBorders>
            <w:vAlign w:val="center"/>
          </w:tcPr>
          <w:p w14:paraId="40A6622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磁感应强度传感器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79B40C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1F84DC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0A3A00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C0252D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F386C9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A593994">
            <w:pPr>
              <w:jc w:val="center"/>
              <w:textAlignment w:val="center"/>
              <w:rPr>
                <w:rFonts w:ascii="仿宋" w:hAnsi="仿宋" w:eastAsia="仿宋" w:cs="仿宋"/>
                <w:color w:val="auto"/>
                <w:highlight w:val="none"/>
              </w:rPr>
            </w:pPr>
          </w:p>
        </w:tc>
      </w:tr>
      <w:tr w14:paraId="1108F735">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BF5FB9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18</w:t>
            </w:r>
          </w:p>
        </w:tc>
        <w:tc>
          <w:tcPr>
            <w:tcW w:w="1843" w:type="dxa"/>
            <w:tcBorders>
              <w:top w:val="single" w:color="000000" w:sz="4" w:space="0"/>
              <w:left w:val="single" w:color="000000" w:sz="4" w:space="0"/>
              <w:bottom w:val="single" w:color="000000" w:sz="4" w:space="0"/>
              <w:right w:val="single" w:color="000000" w:sz="4" w:space="0"/>
            </w:tcBorders>
            <w:vAlign w:val="center"/>
          </w:tcPr>
          <w:p w14:paraId="635CA425">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三维磁感应强度传感器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00F5A63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98A0AF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E25614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81B684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36EBB1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AF35D3B">
            <w:pPr>
              <w:jc w:val="center"/>
              <w:textAlignment w:val="center"/>
              <w:rPr>
                <w:rFonts w:ascii="仿宋" w:hAnsi="仿宋" w:eastAsia="仿宋" w:cs="仿宋"/>
                <w:color w:val="auto"/>
                <w:highlight w:val="none"/>
              </w:rPr>
            </w:pPr>
          </w:p>
        </w:tc>
      </w:tr>
      <w:tr w14:paraId="2800171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9BFCA2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19</w:t>
            </w:r>
          </w:p>
        </w:tc>
        <w:tc>
          <w:tcPr>
            <w:tcW w:w="1843" w:type="dxa"/>
            <w:tcBorders>
              <w:top w:val="single" w:color="000000" w:sz="4" w:space="0"/>
              <w:left w:val="single" w:color="000000" w:sz="4" w:space="0"/>
              <w:bottom w:val="single" w:color="000000" w:sz="4" w:space="0"/>
              <w:right w:val="single" w:color="000000" w:sz="4" w:space="0"/>
            </w:tcBorders>
            <w:vAlign w:val="center"/>
          </w:tcPr>
          <w:p w14:paraId="7612F3E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旋转运动传感器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379BE53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CF5ECE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75A907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5333FC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7FA15F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8AD23B3">
            <w:pPr>
              <w:jc w:val="center"/>
              <w:textAlignment w:val="center"/>
              <w:rPr>
                <w:rFonts w:ascii="仿宋" w:hAnsi="仿宋" w:eastAsia="仿宋" w:cs="仿宋"/>
                <w:color w:val="auto"/>
                <w:highlight w:val="none"/>
              </w:rPr>
            </w:pPr>
          </w:p>
        </w:tc>
      </w:tr>
      <w:tr w14:paraId="01023CD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7FE279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20</w:t>
            </w:r>
          </w:p>
        </w:tc>
        <w:tc>
          <w:tcPr>
            <w:tcW w:w="1843" w:type="dxa"/>
            <w:tcBorders>
              <w:top w:val="single" w:color="000000" w:sz="4" w:space="0"/>
              <w:left w:val="single" w:color="000000" w:sz="4" w:space="0"/>
              <w:bottom w:val="single" w:color="000000" w:sz="4" w:space="0"/>
              <w:right w:val="single" w:color="000000" w:sz="4" w:space="0"/>
            </w:tcBorders>
            <w:vAlign w:val="center"/>
          </w:tcPr>
          <w:p w14:paraId="620AE6B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加速度传感器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BD339E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D4F340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50237C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FA4347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2851D3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19CDCB7">
            <w:pPr>
              <w:jc w:val="center"/>
              <w:textAlignment w:val="center"/>
              <w:rPr>
                <w:rFonts w:ascii="仿宋" w:hAnsi="仿宋" w:eastAsia="仿宋" w:cs="仿宋"/>
                <w:color w:val="auto"/>
                <w:highlight w:val="none"/>
              </w:rPr>
            </w:pPr>
          </w:p>
        </w:tc>
      </w:tr>
      <w:tr w14:paraId="54DA1F6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A2F03B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21</w:t>
            </w:r>
          </w:p>
        </w:tc>
        <w:tc>
          <w:tcPr>
            <w:tcW w:w="1843" w:type="dxa"/>
            <w:tcBorders>
              <w:top w:val="single" w:color="000000" w:sz="4" w:space="0"/>
              <w:left w:val="single" w:color="000000" w:sz="4" w:space="0"/>
              <w:bottom w:val="single" w:color="000000" w:sz="4" w:space="0"/>
              <w:right w:val="single" w:color="000000" w:sz="4" w:space="0"/>
            </w:tcBorders>
            <w:vAlign w:val="center"/>
          </w:tcPr>
          <w:p w14:paraId="496D60CD">
            <w:pPr>
              <w:jc w:val="both"/>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压强传感器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A4BD2E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4BACC3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AE612D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A017DE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07D8AEF">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FD94AAC">
            <w:pPr>
              <w:jc w:val="center"/>
              <w:textAlignment w:val="center"/>
              <w:rPr>
                <w:rFonts w:ascii="仿宋" w:hAnsi="仿宋" w:eastAsia="仿宋" w:cs="仿宋"/>
                <w:color w:val="auto"/>
                <w:highlight w:val="none"/>
              </w:rPr>
            </w:pPr>
          </w:p>
        </w:tc>
      </w:tr>
      <w:tr w14:paraId="52A23A1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C51B37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22</w:t>
            </w:r>
          </w:p>
        </w:tc>
        <w:tc>
          <w:tcPr>
            <w:tcW w:w="1843" w:type="dxa"/>
            <w:tcBorders>
              <w:top w:val="single" w:color="000000" w:sz="4" w:space="0"/>
              <w:left w:val="single" w:color="000000" w:sz="4" w:space="0"/>
              <w:bottom w:val="single" w:color="000000" w:sz="4" w:space="0"/>
              <w:right w:val="single" w:color="000000" w:sz="4" w:space="0"/>
            </w:tcBorders>
            <w:vAlign w:val="center"/>
          </w:tcPr>
          <w:p w14:paraId="57482FC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相对压强传感器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547D16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35C9D9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09BE19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2DBC9A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E69F4C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FEF5480">
            <w:pPr>
              <w:jc w:val="center"/>
              <w:textAlignment w:val="center"/>
              <w:rPr>
                <w:rFonts w:ascii="仿宋" w:hAnsi="仿宋" w:eastAsia="仿宋" w:cs="仿宋"/>
                <w:color w:val="auto"/>
                <w:highlight w:val="none"/>
              </w:rPr>
            </w:pPr>
          </w:p>
        </w:tc>
      </w:tr>
      <w:tr w14:paraId="65728B7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99B640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23</w:t>
            </w:r>
          </w:p>
        </w:tc>
        <w:tc>
          <w:tcPr>
            <w:tcW w:w="1843" w:type="dxa"/>
            <w:tcBorders>
              <w:top w:val="single" w:color="000000" w:sz="4" w:space="0"/>
              <w:left w:val="single" w:color="000000" w:sz="4" w:space="0"/>
              <w:bottom w:val="single" w:color="000000" w:sz="4" w:space="0"/>
              <w:right w:val="single" w:color="000000" w:sz="4" w:space="0"/>
            </w:tcBorders>
            <w:vAlign w:val="center"/>
          </w:tcPr>
          <w:p w14:paraId="7475317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多用力学轨道系统</w:t>
            </w:r>
          </w:p>
        </w:tc>
        <w:tc>
          <w:tcPr>
            <w:tcW w:w="1180" w:type="dxa"/>
            <w:tcBorders>
              <w:top w:val="single" w:color="000000" w:sz="4" w:space="0"/>
              <w:left w:val="single" w:color="000000" w:sz="4" w:space="0"/>
              <w:bottom w:val="single" w:color="000000" w:sz="4" w:space="0"/>
              <w:right w:val="single" w:color="000000" w:sz="4" w:space="0"/>
            </w:tcBorders>
            <w:vAlign w:val="center"/>
          </w:tcPr>
          <w:p w14:paraId="367CC67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22AE5D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BC9991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EB75F8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5FC52A6">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447EE64">
            <w:pPr>
              <w:jc w:val="center"/>
              <w:textAlignment w:val="center"/>
              <w:rPr>
                <w:rFonts w:ascii="仿宋" w:hAnsi="仿宋" w:eastAsia="仿宋" w:cs="仿宋"/>
                <w:color w:val="auto"/>
                <w:highlight w:val="none"/>
              </w:rPr>
            </w:pPr>
          </w:p>
        </w:tc>
      </w:tr>
      <w:tr w14:paraId="4B05FAB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12C34E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24</w:t>
            </w:r>
          </w:p>
        </w:tc>
        <w:tc>
          <w:tcPr>
            <w:tcW w:w="1843" w:type="dxa"/>
            <w:tcBorders>
              <w:top w:val="single" w:color="000000" w:sz="4" w:space="0"/>
              <w:left w:val="single" w:color="000000" w:sz="4" w:space="0"/>
              <w:bottom w:val="single" w:color="000000" w:sz="4" w:space="0"/>
              <w:right w:val="single" w:color="000000" w:sz="4" w:space="0"/>
            </w:tcBorders>
            <w:vAlign w:val="center"/>
          </w:tcPr>
          <w:p w14:paraId="5D9BC456">
            <w:pPr>
              <w:jc w:val="both"/>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光电计时测距实验器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52141F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58B7C0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7D2F13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620BAC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C05CB21">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F0393FA">
            <w:pPr>
              <w:jc w:val="center"/>
              <w:textAlignment w:val="center"/>
              <w:rPr>
                <w:rFonts w:ascii="仿宋" w:hAnsi="仿宋" w:eastAsia="仿宋" w:cs="仿宋"/>
                <w:color w:val="auto"/>
                <w:highlight w:val="none"/>
              </w:rPr>
            </w:pPr>
          </w:p>
        </w:tc>
      </w:tr>
      <w:tr w14:paraId="69B94B6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2D31CA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25</w:t>
            </w:r>
          </w:p>
        </w:tc>
        <w:tc>
          <w:tcPr>
            <w:tcW w:w="1843" w:type="dxa"/>
            <w:tcBorders>
              <w:top w:val="single" w:color="000000" w:sz="4" w:space="0"/>
              <w:left w:val="single" w:color="000000" w:sz="4" w:space="0"/>
              <w:bottom w:val="single" w:color="000000" w:sz="4" w:space="0"/>
              <w:right w:val="single" w:color="000000" w:sz="4" w:space="0"/>
            </w:tcBorders>
            <w:vAlign w:val="center"/>
          </w:tcPr>
          <w:p w14:paraId="608AE98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二力平衡实验器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C1CF35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A0C473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0904FF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B86B70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634B39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0CC7837">
            <w:pPr>
              <w:jc w:val="center"/>
              <w:textAlignment w:val="center"/>
              <w:rPr>
                <w:rFonts w:ascii="仿宋" w:hAnsi="仿宋" w:eastAsia="仿宋" w:cs="仿宋"/>
                <w:color w:val="auto"/>
                <w:highlight w:val="none"/>
              </w:rPr>
            </w:pPr>
          </w:p>
        </w:tc>
      </w:tr>
      <w:tr w14:paraId="2247A46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59FF5D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26</w:t>
            </w:r>
          </w:p>
        </w:tc>
        <w:tc>
          <w:tcPr>
            <w:tcW w:w="1843" w:type="dxa"/>
            <w:tcBorders>
              <w:top w:val="single" w:color="000000" w:sz="4" w:space="0"/>
              <w:left w:val="single" w:color="000000" w:sz="4" w:space="0"/>
              <w:bottom w:val="single" w:color="000000" w:sz="4" w:space="0"/>
              <w:right w:val="single" w:color="000000" w:sz="4" w:space="0"/>
            </w:tcBorders>
            <w:vAlign w:val="center"/>
          </w:tcPr>
          <w:p w14:paraId="77614E93">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作用力与反作用力实验器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BF9E0A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DD8803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887031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10BCC5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C02F55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52A2633">
            <w:pPr>
              <w:jc w:val="center"/>
              <w:textAlignment w:val="center"/>
              <w:rPr>
                <w:rFonts w:ascii="仿宋" w:hAnsi="仿宋" w:eastAsia="仿宋" w:cs="仿宋"/>
                <w:color w:val="auto"/>
                <w:highlight w:val="none"/>
              </w:rPr>
            </w:pPr>
          </w:p>
        </w:tc>
      </w:tr>
      <w:tr w14:paraId="02D7A5E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603A6DA">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27</w:t>
            </w:r>
          </w:p>
        </w:tc>
        <w:tc>
          <w:tcPr>
            <w:tcW w:w="1843" w:type="dxa"/>
            <w:tcBorders>
              <w:top w:val="single" w:color="000000" w:sz="4" w:space="0"/>
              <w:left w:val="single" w:color="000000" w:sz="4" w:space="0"/>
              <w:bottom w:val="single" w:color="000000" w:sz="4" w:space="0"/>
              <w:right w:val="single" w:color="000000" w:sz="4" w:space="0"/>
            </w:tcBorders>
            <w:vAlign w:val="center"/>
          </w:tcPr>
          <w:p w14:paraId="6B0B4B0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浮力定律实验器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2E0E0BA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67A312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67914C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637EF5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3BA50E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5441FA8">
            <w:pPr>
              <w:jc w:val="center"/>
              <w:textAlignment w:val="center"/>
              <w:rPr>
                <w:rFonts w:ascii="仿宋" w:hAnsi="仿宋" w:eastAsia="仿宋" w:cs="仿宋"/>
                <w:color w:val="auto"/>
                <w:highlight w:val="none"/>
              </w:rPr>
            </w:pPr>
          </w:p>
        </w:tc>
      </w:tr>
      <w:tr w14:paraId="5D041FF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8700C0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28</w:t>
            </w:r>
          </w:p>
        </w:tc>
        <w:tc>
          <w:tcPr>
            <w:tcW w:w="1843" w:type="dxa"/>
            <w:tcBorders>
              <w:top w:val="single" w:color="000000" w:sz="4" w:space="0"/>
              <w:left w:val="single" w:color="000000" w:sz="4" w:space="0"/>
              <w:bottom w:val="single" w:color="000000" w:sz="4" w:space="0"/>
              <w:right w:val="single" w:color="000000" w:sz="4" w:space="0"/>
            </w:tcBorders>
            <w:vAlign w:val="center"/>
          </w:tcPr>
          <w:p w14:paraId="7812080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液体内部压强实验器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018931D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1F1B69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C923A9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2E153E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E333A0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FA4C123">
            <w:pPr>
              <w:jc w:val="center"/>
              <w:textAlignment w:val="center"/>
              <w:rPr>
                <w:rFonts w:ascii="仿宋" w:hAnsi="仿宋" w:eastAsia="仿宋" w:cs="仿宋"/>
                <w:color w:val="auto"/>
                <w:highlight w:val="none"/>
              </w:rPr>
            </w:pPr>
          </w:p>
        </w:tc>
      </w:tr>
      <w:tr w14:paraId="2811A07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303BD3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29</w:t>
            </w:r>
          </w:p>
        </w:tc>
        <w:tc>
          <w:tcPr>
            <w:tcW w:w="1843" w:type="dxa"/>
            <w:tcBorders>
              <w:top w:val="single" w:color="000000" w:sz="4" w:space="0"/>
              <w:left w:val="single" w:color="000000" w:sz="4" w:space="0"/>
              <w:bottom w:val="single" w:color="000000" w:sz="4" w:space="0"/>
              <w:right w:val="single" w:color="000000" w:sz="4" w:space="0"/>
            </w:tcBorders>
            <w:vAlign w:val="center"/>
          </w:tcPr>
          <w:p w14:paraId="70C53AD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流体压强实验器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909A3B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8B48FF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4D05FE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CE4866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C3DE0A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5A51BD4">
            <w:pPr>
              <w:jc w:val="center"/>
              <w:textAlignment w:val="center"/>
              <w:rPr>
                <w:rFonts w:ascii="仿宋" w:hAnsi="仿宋" w:eastAsia="仿宋" w:cs="仿宋"/>
                <w:color w:val="auto"/>
                <w:highlight w:val="none"/>
              </w:rPr>
            </w:pPr>
          </w:p>
        </w:tc>
      </w:tr>
      <w:tr w14:paraId="590324C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013079A">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30</w:t>
            </w:r>
          </w:p>
        </w:tc>
        <w:tc>
          <w:tcPr>
            <w:tcW w:w="1843" w:type="dxa"/>
            <w:tcBorders>
              <w:top w:val="single" w:color="000000" w:sz="4" w:space="0"/>
              <w:left w:val="single" w:color="000000" w:sz="4" w:space="0"/>
              <w:bottom w:val="single" w:color="000000" w:sz="4" w:space="0"/>
              <w:right w:val="single" w:color="000000" w:sz="4" w:space="0"/>
            </w:tcBorders>
            <w:vAlign w:val="center"/>
          </w:tcPr>
          <w:p w14:paraId="63E3164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热辐射的吸收实验器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7FFFCA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3ADF0B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289746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E6EBC2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4B7428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1A57A79">
            <w:pPr>
              <w:jc w:val="center"/>
              <w:textAlignment w:val="center"/>
              <w:rPr>
                <w:rFonts w:ascii="仿宋" w:hAnsi="仿宋" w:eastAsia="仿宋" w:cs="仿宋"/>
                <w:color w:val="auto"/>
                <w:highlight w:val="none"/>
              </w:rPr>
            </w:pPr>
          </w:p>
        </w:tc>
      </w:tr>
      <w:tr w14:paraId="14F59CC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A08F71A">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31</w:t>
            </w:r>
          </w:p>
        </w:tc>
        <w:tc>
          <w:tcPr>
            <w:tcW w:w="1843" w:type="dxa"/>
            <w:tcBorders>
              <w:top w:val="single" w:color="000000" w:sz="4" w:space="0"/>
              <w:left w:val="single" w:color="000000" w:sz="4" w:space="0"/>
              <w:bottom w:val="single" w:color="000000" w:sz="4" w:space="0"/>
              <w:right w:val="single" w:color="000000" w:sz="4" w:space="0"/>
            </w:tcBorders>
            <w:vAlign w:val="center"/>
          </w:tcPr>
          <w:p w14:paraId="16094C0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热辐射实验器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26EC56A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889F67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3FC4B2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1438CD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430376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EA9F100">
            <w:pPr>
              <w:jc w:val="center"/>
              <w:textAlignment w:val="center"/>
              <w:rPr>
                <w:rFonts w:ascii="仿宋" w:hAnsi="仿宋" w:eastAsia="仿宋" w:cs="仿宋"/>
                <w:color w:val="auto"/>
                <w:highlight w:val="none"/>
              </w:rPr>
            </w:pPr>
          </w:p>
        </w:tc>
      </w:tr>
      <w:tr w14:paraId="02269A5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7A9825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32</w:t>
            </w:r>
          </w:p>
        </w:tc>
        <w:tc>
          <w:tcPr>
            <w:tcW w:w="1843" w:type="dxa"/>
            <w:tcBorders>
              <w:top w:val="single" w:color="000000" w:sz="4" w:space="0"/>
              <w:left w:val="single" w:color="000000" w:sz="4" w:space="0"/>
              <w:bottom w:val="single" w:color="000000" w:sz="4" w:space="0"/>
              <w:right w:val="single" w:color="000000" w:sz="4" w:space="0"/>
            </w:tcBorders>
            <w:vAlign w:val="center"/>
          </w:tcPr>
          <w:p w14:paraId="664ABD1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热传导实验器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E33EF2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F5D937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DB2C93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7EB633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8BC9AA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A927CB7">
            <w:pPr>
              <w:jc w:val="center"/>
              <w:textAlignment w:val="center"/>
              <w:rPr>
                <w:rFonts w:ascii="仿宋" w:hAnsi="仿宋" w:eastAsia="仿宋" w:cs="仿宋"/>
                <w:color w:val="auto"/>
                <w:highlight w:val="none"/>
              </w:rPr>
            </w:pPr>
          </w:p>
        </w:tc>
      </w:tr>
      <w:tr w14:paraId="2E094A9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C65F40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33</w:t>
            </w:r>
          </w:p>
        </w:tc>
        <w:tc>
          <w:tcPr>
            <w:tcW w:w="1843" w:type="dxa"/>
            <w:tcBorders>
              <w:top w:val="single" w:color="000000" w:sz="4" w:space="0"/>
              <w:left w:val="single" w:color="000000" w:sz="4" w:space="0"/>
              <w:bottom w:val="single" w:color="000000" w:sz="4" w:space="0"/>
              <w:right w:val="single" w:color="000000" w:sz="4" w:space="0"/>
            </w:tcBorders>
            <w:vAlign w:val="center"/>
          </w:tcPr>
          <w:p w14:paraId="6B34E70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电磁铁实验器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78148C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346AD3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E5F319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96AD0C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8C8176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6F58E85">
            <w:pPr>
              <w:jc w:val="center"/>
              <w:textAlignment w:val="center"/>
              <w:rPr>
                <w:rFonts w:ascii="仿宋" w:hAnsi="仿宋" w:eastAsia="仿宋" w:cs="仿宋"/>
                <w:color w:val="auto"/>
                <w:highlight w:val="none"/>
              </w:rPr>
            </w:pPr>
          </w:p>
        </w:tc>
      </w:tr>
      <w:tr w14:paraId="2C14D75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50F18C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34</w:t>
            </w:r>
          </w:p>
        </w:tc>
        <w:tc>
          <w:tcPr>
            <w:tcW w:w="1843" w:type="dxa"/>
            <w:tcBorders>
              <w:top w:val="single" w:color="000000" w:sz="4" w:space="0"/>
              <w:left w:val="single" w:color="000000" w:sz="4" w:space="0"/>
              <w:bottom w:val="single" w:color="000000" w:sz="4" w:space="0"/>
              <w:right w:val="single" w:color="000000" w:sz="4" w:space="0"/>
            </w:tcBorders>
            <w:vAlign w:val="center"/>
          </w:tcPr>
          <w:p w14:paraId="3D682103">
            <w:pPr>
              <w:jc w:val="both"/>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电磁波传播实验器发射模块</w:t>
            </w:r>
          </w:p>
        </w:tc>
        <w:tc>
          <w:tcPr>
            <w:tcW w:w="1180" w:type="dxa"/>
            <w:tcBorders>
              <w:top w:val="single" w:color="000000" w:sz="4" w:space="0"/>
              <w:left w:val="single" w:color="000000" w:sz="4" w:space="0"/>
              <w:bottom w:val="single" w:color="000000" w:sz="4" w:space="0"/>
              <w:right w:val="single" w:color="000000" w:sz="4" w:space="0"/>
            </w:tcBorders>
            <w:vAlign w:val="center"/>
          </w:tcPr>
          <w:p w14:paraId="3A6A084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63C181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0E0B50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22DDD7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A293E8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D5B7DDF">
            <w:pPr>
              <w:jc w:val="center"/>
              <w:textAlignment w:val="center"/>
              <w:rPr>
                <w:rFonts w:ascii="仿宋" w:hAnsi="仿宋" w:eastAsia="仿宋" w:cs="仿宋"/>
                <w:color w:val="auto"/>
                <w:highlight w:val="none"/>
              </w:rPr>
            </w:pPr>
          </w:p>
        </w:tc>
      </w:tr>
      <w:tr w14:paraId="4245F8C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266852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35</w:t>
            </w:r>
          </w:p>
        </w:tc>
        <w:tc>
          <w:tcPr>
            <w:tcW w:w="1843" w:type="dxa"/>
            <w:tcBorders>
              <w:top w:val="single" w:color="000000" w:sz="4" w:space="0"/>
              <w:left w:val="single" w:color="000000" w:sz="4" w:space="0"/>
              <w:bottom w:val="single" w:color="000000" w:sz="4" w:space="0"/>
              <w:right w:val="single" w:color="000000" w:sz="4" w:space="0"/>
            </w:tcBorders>
            <w:vAlign w:val="center"/>
          </w:tcPr>
          <w:p w14:paraId="3883A83E">
            <w:pPr>
              <w:jc w:val="both"/>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电磁波传播实验器接收模块</w:t>
            </w:r>
          </w:p>
        </w:tc>
        <w:tc>
          <w:tcPr>
            <w:tcW w:w="1180" w:type="dxa"/>
            <w:tcBorders>
              <w:top w:val="single" w:color="000000" w:sz="4" w:space="0"/>
              <w:left w:val="single" w:color="000000" w:sz="4" w:space="0"/>
              <w:bottom w:val="single" w:color="000000" w:sz="4" w:space="0"/>
              <w:right w:val="single" w:color="000000" w:sz="4" w:space="0"/>
            </w:tcBorders>
            <w:vAlign w:val="center"/>
          </w:tcPr>
          <w:p w14:paraId="7F177F7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F3E325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1210AE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C2A25C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D2F510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1A349FF">
            <w:pPr>
              <w:jc w:val="center"/>
              <w:textAlignment w:val="center"/>
              <w:rPr>
                <w:rFonts w:ascii="仿宋" w:hAnsi="仿宋" w:eastAsia="仿宋" w:cs="仿宋"/>
                <w:color w:val="auto"/>
                <w:highlight w:val="none"/>
              </w:rPr>
            </w:pPr>
          </w:p>
        </w:tc>
      </w:tr>
      <w:tr w14:paraId="58D4B7A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487B1B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36</w:t>
            </w:r>
          </w:p>
        </w:tc>
        <w:tc>
          <w:tcPr>
            <w:tcW w:w="1843" w:type="dxa"/>
            <w:tcBorders>
              <w:top w:val="single" w:color="000000" w:sz="4" w:space="0"/>
              <w:left w:val="single" w:color="000000" w:sz="4" w:space="0"/>
              <w:bottom w:val="single" w:color="000000" w:sz="4" w:space="0"/>
              <w:right w:val="single" w:color="000000" w:sz="4" w:space="0"/>
            </w:tcBorders>
            <w:vAlign w:val="center"/>
          </w:tcPr>
          <w:p w14:paraId="3B8F85FB">
            <w:pPr>
              <w:jc w:val="both"/>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马德堡实验器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148AD8E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963422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493D36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119DCC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F31B61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54AFD8E">
            <w:pPr>
              <w:jc w:val="center"/>
              <w:textAlignment w:val="center"/>
              <w:rPr>
                <w:rFonts w:ascii="仿宋" w:hAnsi="仿宋" w:eastAsia="仿宋" w:cs="仿宋"/>
                <w:color w:val="auto"/>
                <w:highlight w:val="none"/>
              </w:rPr>
            </w:pPr>
          </w:p>
        </w:tc>
      </w:tr>
      <w:tr w14:paraId="5F727A4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898185A">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37</w:t>
            </w:r>
          </w:p>
        </w:tc>
        <w:tc>
          <w:tcPr>
            <w:tcW w:w="1843" w:type="dxa"/>
            <w:tcBorders>
              <w:top w:val="single" w:color="000000" w:sz="4" w:space="0"/>
              <w:left w:val="single" w:color="000000" w:sz="4" w:space="0"/>
              <w:bottom w:val="single" w:color="000000" w:sz="4" w:space="0"/>
              <w:right w:val="single" w:color="000000" w:sz="4" w:space="0"/>
            </w:tcBorders>
            <w:vAlign w:val="center"/>
          </w:tcPr>
          <w:p w14:paraId="18975D1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力的分解合成实验器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3871A7D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352F50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ED5ADA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496DE9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CD3DAB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075A269">
            <w:pPr>
              <w:jc w:val="center"/>
              <w:textAlignment w:val="center"/>
              <w:rPr>
                <w:rFonts w:ascii="仿宋" w:hAnsi="仿宋" w:eastAsia="仿宋" w:cs="仿宋"/>
                <w:color w:val="auto"/>
                <w:highlight w:val="none"/>
              </w:rPr>
            </w:pPr>
          </w:p>
        </w:tc>
      </w:tr>
      <w:tr w14:paraId="457E6C9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5B65E3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38</w:t>
            </w:r>
          </w:p>
        </w:tc>
        <w:tc>
          <w:tcPr>
            <w:tcW w:w="1843" w:type="dxa"/>
            <w:tcBorders>
              <w:top w:val="single" w:color="000000" w:sz="4" w:space="0"/>
              <w:left w:val="single" w:color="000000" w:sz="4" w:space="0"/>
              <w:bottom w:val="single" w:color="000000" w:sz="4" w:space="0"/>
              <w:right w:val="single" w:color="000000" w:sz="4" w:space="0"/>
            </w:tcBorders>
            <w:vAlign w:val="center"/>
          </w:tcPr>
          <w:p w14:paraId="2C876AD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智能力盘</w:t>
            </w:r>
          </w:p>
        </w:tc>
        <w:tc>
          <w:tcPr>
            <w:tcW w:w="1180" w:type="dxa"/>
            <w:tcBorders>
              <w:top w:val="single" w:color="000000" w:sz="4" w:space="0"/>
              <w:left w:val="single" w:color="000000" w:sz="4" w:space="0"/>
              <w:bottom w:val="single" w:color="000000" w:sz="4" w:space="0"/>
              <w:right w:val="single" w:color="000000" w:sz="4" w:space="0"/>
            </w:tcBorders>
            <w:vAlign w:val="center"/>
          </w:tcPr>
          <w:p w14:paraId="0B49F09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6690BB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D3BCAC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C472F3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924964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369BF58">
            <w:pPr>
              <w:jc w:val="center"/>
              <w:textAlignment w:val="center"/>
              <w:rPr>
                <w:rFonts w:ascii="仿宋" w:hAnsi="仿宋" w:eastAsia="仿宋" w:cs="仿宋"/>
                <w:color w:val="auto"/>
                <w:highlight w:val="none"/>
              </w:rPr>
            </w:pPr>
          </w:p>
        </w:tc>
      </w:tr>
      <w:tr w14:paraId="013BF9C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1CE18E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39</w:t>
            </w:r>
          </w:p>
        </w:tc>
        <w:tc>
          <w:tcPr>
            <w:tcW w:w="1843" w:type="dxa"/>
            <w:tcBorders>
              <w:top w:val="single" w:color="000000" w:sz="4" w:space="0"/>
              <w:left w:val="single" w:color="000000" w:sz="4" w:space="0"/>
              <w:bottom w:val="single" w:color="000000" w:sz="4" w:space="0"/>
              <w:right w:val="single" w:color="000000" w:sz="4" w:space="0"/>
            </w:tcBorders>
            <w:vAlign w:val="center"/>
          </w:tcPr>
          <w:p w14:paraId="03909106">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斜面上力的分解实验器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B5FD2E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601DB4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99D0F1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0D6E90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8D2DD4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A67ACF0">
            <w:pPr>
              <w:jc w:val="center"/>
              <w:textAlignment w:val="center"/>
              <w:rPr>
                <w:rFonts w:ascii="仿宋" w:hAnsi="仿宋" w:eastAsia="仿宋" w:cs="仿宋"/>
                <w:color w:val="auto"/>
                <w:highlight w:val="none"/>
              </w:rPr>
            </w:pPr>
          </w:p>
        </w:tc>
      </w:tr>
      <w:tr w14:paraId="3D11E30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1923E0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40</w:t>
            </w:r>
          </w:p>
        </w:tc>
        <w:tc>
          <w:tcPr>
            <w:tcW w:w="1843" w:type="dxa"/>
            <w:tcBorders>
              <w:top w:val="single" w:color="000000" w:sz="4" w:space="0"/>
              <w:left w:val="single" w:color="000000" w:sz="4" w:space="0"/>
              <w:bottom w:val="single" w:color="000000" w:sz="4" w:space="0"/>
              <w:right w:val="single" w:color="000000" w:sz="4" w:space="0"/>
            </w:tcBorders>
            <w:vAlign w:val="center"/>
          </w:tcPr>
          <w:p w14:paraId="0B27CBAA">
            <w:pPr>
              <w:jc w:val="both"/>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机械能守恒实验器Ⅰ</w:t>
            </w:r>
          </w:p>
        </w:tc>
        <w:tc>
          <w:tcPr>
            <w:tcW w:w="1180" w:type="dxa"/>
            <w:tcBorders>
              <w:top w:val="single" w:color="000000" w:sz="4" w:space="0"/>
              <w:left w:val="single" w:color="000000" w:sz="4" w:space="0"/>
              <w:bottom w:val="single" w:color="000000" w:sz="4" w:space="0"/>
              <w:right w:val="single" w:color="000000" w:sz="4" w:space="0"/>
            </w:tcBorders>
            <w:vAlign w:val="center"/>
          </w:tcPr>
          <w:p w14:paraId="2E0EB52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6FD577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F71A77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AA3879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83D2BD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8674006">
            <w:pPr>
              <w:jc w:val="center"/>
              <w:textAlignment w:val="center"/>
              <w:rPr>
                <w:rFonts w:ascii="仿宋" w:hAnsi="仿宋" w:eastAsia="仿宋" w:cs="仿宋"/>
                <w:color w:val="auto"/>
                <w:highlight w:val="none"/>
              </w:rPr>
            </w:pPr>
          </w:p>
        </w:tc>
      </w:tr>
      <w:tr w14:paraId="1E86218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A172F8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41</w:t>
            </w:r>
          </w:p>
        </w:tc>
        <w:tc>
          <w:tcPr>
            <w:tcW w:w="1843" w:type="dxa"/>
            <w:tcBorders>
              <w:top w:val="single" w:color="000000" w:sz="4" w:space="0"/>
              <w:left w:val="single" w:color="000000" w:sz="4" w:space="0"/>
              <w:bottom w:val="single" w:color="000000" w:sz="4" w:space="0"/>
              <w:right w:val="single" w:color="000000" w:sz="4" w:space="0"/>
            </w:tcBorders>
            <w:vAlign w:val="center"/>
          </w:tcPr>
          <w:p w14:paraId="42A93BB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机械能守恒实验器Ⅱ</w:t>
            </w:r>
          </w:p>
        </w:tc>
        <w:tc>
          <w:tcPr>
            <w:tcW w:w="1180" w:type="dxa"/>
            <w:tcBorders>
              <w:top w:val="single" w:color="000000" w:sz="4" w:space="0"/>
              <w:left w:val="single" w:color="000000" w:sz="4" w:space="0"/>
              <w:bottom w:val="single" w:color="000000" w:sz="4" w:space="0"/>
              <w:right w:val="single" w:color="000000" w:sz="4" w:space="0"/>
            </w:tcBorders>
            <w:vAlign w:val="center"/>
          </w:tcPr>
          <w:p w14:paraId="332682E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6B8F1A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38447B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975DE2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6493AD1">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9A8DB9A">
            <w:pPr>
              <w:jc w:val="center"/>
              <w:textAlignment w:val="center"/>
              <w:rPr>
                <w:rFonts w:ascii="仿宋" w:hAnsi="仿宋" w:eastAsia="仿宋" w:cs="仿宋"/>
                <w:color w:val="auto"/>
                <w:highlight w:val="none"/>
              </w:rPr>
            </w:pPr>
          </w:p>
        </w:tc>
      </w:tr>
      <w:tr w14:paraId="11C4575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F3F64E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42</w:t>
            </w:r>
          </w:p>
        </w:tc>
        <w:tc>
          <w:tcPr>
            <w:tcW w:w="1843" w:type="dxa"/>
            <w:tcBorders>
              <w:top w:val="single" w:color="000000" w:sz="4" w:space="0"/>
              <w:left w:val="single" w:color="000000" w:sz="4" w:space="0"/>
              <w:bottom w:val="single" w:color="000000" w:sz="4" w:space="0"/>
              <w:right w:val="single" w:color="000000" w:sz="4" w:space="0"/>
            </w:tcBorders>
            <w:vAlign w:val="center"/>
          </w:tcPr>
          <w:p w14:paraId="4D6C0704">
            <w:pPr>
              <w:jc w:val="both"/>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法拉第电磁感应实验器Ⅰ</w:t>
            </w:r>
          </w:p>
        </w:tc>
        <w:tc>
          <w:tcPr>
            <w:tcW w:w="1180" w:type="dxa"/>
            <w:tcBorders>
              <w:top w:val="single" w:color="000000" w:sz="4" w:space="0"/>
              <w:left w:val="single" w:color="000000" w:sz="4" w:space="0"/>
              <w:bottom w:val="single" w:color="000000" w:sz="4" w:space="0"/>
              <w:right w:val="single" w:color="000000" w:sz="4" w:space="0"/>
            </w:tcBorders>
            <w:vAlign w:val="center"/>
          </w:tcPr>
          <w:p w14:paraId="121D699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C0CBDA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B134BD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059876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9CB691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C105FAE">
            <w:pPr>
              <w:jc w:val="center"/>
              <w:textAlignment w:val="center"/>
              <w:rPr>
                <w:rFonts w:ascii="仿宋" w:hAnsi="仿宋" w:eastAsia="仿宋" w:cs="仿宋"/>
                <w:color w:val="auto"/>
                <w:highlight w:val="none"/>
              </w:rPr>
            </w:pPr>
          </w:p>
        </w:tc>
      </w:tr>
      <w:tr w14:paraId="12E603C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4ACB73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43</w:t>
            </w:r>
          </w:p>
        </w:tc>
        <w:tc>
          <w:tcPr>
            <w:tcW w:w="1843" w:type="dxa"/>
            <w:tcBorders>
              <w:top w:val="single" w:color="000000" w:sz="4" w:space="0"/>
              <w:left w:val="single" w:color="000000" w:sz="4" w:space="0"/>
              <w:bottom w:val="single" w:color="000000" w:sz="4" w:space="0"/>
              <w:right w:val="single" w:color="000000" w:sz="4" w:space="0"/>
            </w:tcBorders>
            <w:vAlign w:val="center"/>
          </w:tcPr>
          <w:p w14:paraId="1420F917">
            <w:pPr>
              <w:jc w:val="both"/>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法拉第电磁感应实验器Ⅱ</w:t>
            </w:r>
          </w:p>
        </w:tc>
        <w:tc>
          <w:tcPr>
            <w:tcW w:w="1180" w:type="dxa"/>
            <w:tcBorders>
              <w:top w:val="single" w:color="000000" w:sz="4" w:space="0"/>
              <w:left w:val="single" w:color="000000" w:sz="4" w:space="0"/>
              <w:bottom w:val="single" w:color="000000" w:sz="4" w:space="0"/>
              <w:right w:val="single" w:color="000000" w:sz="4" w:space="0"/>
            </w:tcBorders>
            <w:vAlign w:val="center"/>
          </w:tcPr>
          <w:p w14:paraId="16686B5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7CCEE7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B855F8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2F7ACF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EB8450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9426470">
            <w:pPr>
              <w:jc w:val="center"/>
              <w:textAlignment w:val="center"/>
              <w:rPr>
                <w:rFonts w:ascii="仿宋" w:hAnsi="仿宋" w:eastAsia="仿宋" w:cs="仿宋"/>
                <w:color w:val="auto"/>
                <w:highlight w:val="none"/>
              </w:rPr>
            </w:pPr>
          </w:p>
        </w:tc>
      </w:tr>
      <w:tr w14:paraId="0A0A30C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DCA82E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44</w:t>
            </w:r>
          </w:p>
        </w:tc>
        <w:tc>
          <w:tcPr>
            <w:tcW w:w="1843" w:type="dxa"/>
            <w:tcBorders>
              <w:top w:val="single" w:color="000000" w:sz="4" w:space="0"/>
              <w:left w:val="single" w:color="000000" w:sz="4" w:space="0"/>
              <w:bottom w:val="single" w:color="000000" w:sz="4" w:space="0"/>
              <w:right w:val="single" w:color="000000" w:sz="4" w:space="0"/>
            </w:tcBorders>
            <w:vAlign w:val="center"/>
          </w:tcPr>
          <w:p w14:paraId="32997F94">
            <w:pPr>
              <w:jc w:val="both"/>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智能电源</w:t>
            </w:r>
          </w:p>
        </w:tc>
        <w:tc>
          <w:tcPr>
            <w:tcW w:w="1180" w:type="dxa"/>
            <w:tcBorders>
              <w:top w:val="single" w:color="000000" w:sz="4" w:space="0"/>
              <w:left w:val="single" w:color="000000" w:sz="4" w:space="0"/>
              <w:bottom w:val="single" w:color="000000" w:sz="4" w:space="0"/>
              <w:right w:val="single" w:color="000000" w:sz="4" w:space="0"/>
            </w:tcBorders>
            <w:vAlign w:val="center"/>
          </w:tcPr>
          <w:p w14:paraId="2B8F4A9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DE9682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9B5DFE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7C06A6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22CBB8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D5845D1">
            <w:pPr>
              <w:jc w:val="center"/>
              <w:textAlignment w:val="center"/>
              <w:rPr>
                <w:rFonts w:ascii="仿宋" w:hAnsi="仿宋" w:eastAsia="仿宋" w:cs="仿宋"/>
                <w:color w:val="auto"/>
                <w:highlight w:val="none"/>
              </w:rPr>
            </w:pPr>
          </w:p>
        </w:tc>
      </w:tr>
      <w:tr w14:paraId="651388D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B2B6BC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45</w:t>
            </w:r>
          </w:p>
        </w:tc>
        <w:tc>
          <w:tcPr>
            <w:tcW w:w="1843" w:type="dxa"/>
            <w:tcBorders>
              <w:top w:val="single" w:color="000000" w:sz="4" w:space="0"/>
              <w:left w:val="single" w:color="000000" w:sz="4" w:space="0"/>
              <w:bottom w:val="single" w:color="000000" w:sz="4" w:space="0"/>
              <w:right w:val="single" w:color="000000" w:sz="4" w:space="0"/>
            </w:tcBorders>
            <w:vAlign w:val="center"/>
          </w:tcPr>
          <w:p w14:paraId="7340DAA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平抛运动实验器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0CC35C4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C91532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2946BD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53A053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F167DF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60156F2">
            <w:pPr>
              <w:jc w:val="center"/>
              <w:textAlignment w:val="center"/>
              <w:rPr>
                <w:rFonts w:ascii="仿宋" w:hAnsi="仿宋" w:eastAsia="仿宋" w:cs="仿宋"/>
                <w:color w:val="auto"/>
                <w:highlight w:val="none"/>
              </w:rPr>
            </w:pPr>
          </w:p>
        </w:tc>
      </w:tr>
      <w:tr w14:paraId="3D0F097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144840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46</w:t>
            </w:r>
          </w:p>
        </w:tc>
        <w:tc>
          <w:tcPr>
            <w:tcW w:w="1843" w:type="dxa"/>
            <w:tcBorders>
              <w:top w:val="single" w:color="000000" w:sz="4" w:space="0"/>
              <w:left w:val="single" w:color="000000" w:sz="4" w:space="0"/>
              <w:bottom w:val="single" w:color="000000" w:sz="4" w:space="0"/>
              <w:right w:val="single" w:color="000000" w:sz="4" w:space="0"/>
            </w:tcBorders>
            <w:vAlign w:val="center"/>
          </w:tcPr>
          <w:p w14:paraId="47124601">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无线向心力实验器（电机版）</w:t>
            </w:r>
          </w:p>
        </w:tc>
        <w:tc>
          <w:tcPr>
            <w:tcW w:w="1180" w:type="dxa"/>
            <w:tcBorders>
              <w:top w:val="single" w:color="000000" w:sz="4" w:space="0"/>
              <w:left w:val="single" w:color="000000" w:sz="4" w:space="0"/>
              <w:bottom w:val="single" w:color="000000" w:sz="4" w:space="0"/>
              <w:right w:val="single" w:color="000000" w:sz="4" w:space="0"/>
            </w:tcBorders>
            <w:vAlign w:val="center"/>
          </w:tcPr>
          <w:p w14:paraId="175E78C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193A10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C084CA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AEFBE1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22F9C45">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1B2B0BB">
            <w:pPr>
              <w:jc w:val="center"/>
              <w:textAlignment w:val="center"/>
              <w:rPr>
                <w:rFonts w:ascii="仿宋" w:hAnsi="仿宋" w:eastAsia="仿宋" w:cs="仿宋"/>
                <w:color w:val="auto"/>
                <w:highlight w:val="none"/>
              </w:rPr>
            </w:pPr>
          </w:p>
        </w:tc>
      </w:tr>
      <w:tr w14:paraId="386A215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2986C6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47</w:t>
            </w:r>
          </w:p>
        </w:tc>
        <w:tc>
          <w:tcPr>
            <w:tcW w:w="1843" w:type="dxa"/>
            <w:tcBorders>
              <w:top w:val="single" w:color="000000" w:sz="4" w:space="0"/>
              <w:left w:val="single" w:color="000000" w:sz="4" w:space="0"/>
              <w:bottom w:val="single" w:color="000000" w:sz="4" w:space="0"/>
              <w:right w:val="single" w:color="000000" w:sz="4" w:space="0"/>
            </w:tcBorders>
            <w:vAlign w:val="center"/>
          </w:tcPr>
          <w:p w14:paraId="6556A0D4">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魔板（电磁定位系统）</w:t>
            </w:r>
          </w:p>
        </w:tc>
        <w:tc>
          <w:tcPr>
            <w:tcW w:w="1180" w:type="dxa"/>
            <w:tcBorders>
              <w:top w:val="single" w:color="000000" w:sz="4" w:space="0"/>
              <w:left w:val="single" w:color="000000" w:sz="4" w:space="0"/>
              <w:bottom w:val="single" w:color="000000" w:sz="4" w:space="0"/>
              <w:right w:val="single" w:color="000000" w:sz="4" w:space="0"/>
            </w:tcBorders>
            <w:vAlign w:val="center"/>
          </w:tcPr>
          <w:p w14:paraId="105513B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C4F0C8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DA988C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19C666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0B8867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E249A8E">
            <w:pPr>
              <w:jc w:val="center"/>
              <w:textAlignment w:val="center"/>
              <w:rPr>
                <w:rFonts w:ascii="仿宋" w:hAnsi="仿宋" w:eastAsia="仿宋" w:cs="仿宋"/>
                <w:color w:val="auto"/>
                <w:highlight w:val="none"/>
              </w:rPr>
            </w:pPr>
          </w:p>
        </w:tc>
      </w:tr>
      <w:tr w14:paraId="76331E9B">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4D7C80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48</w:t>
            </w:r>
          </w:p>
        </w:tc>
        <w:tc>
          <w:tcPr>
            <w:tcW w:w="1843" w:type="dxa"/>
            <w:tcBorders>
              <w:top w:val="single" w:color="000000" w:sz="4" w:space="0"/>
              <w:left w:val="single" w:color="000000" w:sz="4" w:space="0"/>
              <w:bottom w:val="single" w:color="000000" w:sz="4" w:space="0"/>
              <w:right w:val="single" w:color="000000" w:sz="4" w:space="0"/>
            </w:tcBorders>
            <w:vAlign w:val="center"/>
          </w:tcPr>
          <w:p w14:paraId="7E277BBA">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魔板-运动的合成实验器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68F4B0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3FF01D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AA655D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1A9CDB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E82C486">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5F48B9A">
            <w:pPr>
              <w:jc w:val="center"/>
              <w:textAlignment w:val="center"/>
              <w:rPr>
                <w:rFonts w:ascii="仿宋" w:hAnsi="仿宋" w:eastAsia="仿宋" w:cs="仿宋"/>
                <w:color w:val="auto"/>
                <w:highlight w:val="none"/>
              </w:rPr>
            </w:pPr>
          </w:p>
        </w:tc>
      </w:tr>
      <w:tr w14:paraId="6E97E25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B00A6E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49</w:t>
            </w:r>
          </w:p>
        </w:tc>
        <w:tc>
          <w:tcPr>
            <w:tcW w:w="1843" w:type="dxa"/>
            <w:tcBorders>
              <w:top w:val="single" w:color="000000" w:sz="4" w:space="0"/>
              <w:left w:val="single" w:color="000000" w:sz="4" w:space="0"/>
              <w:bottom w:val="single" w:color="000000" w:sz="4" w:space="0"/>
              <w:right w:val="single" w:color="000000" w:sz="4" w:space="0"/>
            </w:tcBorders>
            <w:vAlign w:val="center"/>
          </w:tcPr>
          <w:p w14:paraId="449DF27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魔板-自由落体实验器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D45114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72C59E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C2EBF8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A6808F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F13CD8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25BD06A">
            <w:pPr>
              <w:jc w:val="center"/>
              <w:textAlignment w:val="center"/>
              <w:rPr>
                <w:rFonts w:ascii="仿宋" w:hAnsi="仿宋" w:eastAsia="仿宋" w:cs="仿宋"/>
                <w:color w:val="auto"/>
                <w:highlight w:val="none"/>
              </w:rPr>
            </w:pPr>
          </w:p>
        </w:tc>
      </w:tr>
      <w:tr w14:paraId="5CB4BB9B">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B0665F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50</w:t>
            </w:r>
          </w:p>
        </w:tc>
        <w:tc>
          <w:tcPr>
            <w:tcW w:w="1843" w:type="dxa"/>
            <w:tcBorders>
              <w:top w:val="single" w:color="000000" w:sz="4" w:space="0"/>
              <w:left w:val="single" w:color="000000" w:sz="4" w:space="0"/>
              <w:bottom w:val="single" w:color="000000" w:sz="4" w:space="0"/>
              <w:right w:val="single" w:color="000000" w:sz="4" w:space="0"/>
            </w:tcBorders>
            <w:vAlign w:val="center"/>
          </w:tcPr>
          <w:p w14:paraId="3C5EF5F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魔板-凹凸桥实验器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2F1088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678632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65792B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AE94D1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213939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0733401">
            <w:pPr>
              <w:jc w:val="center"/>
              <w:textAlignment w:val="center"/>
              <w:rPr>
                <w:rFonts w:ascii="仿宋" w:hAnsi="仿宋" w:eastAsia="仿宋" w:cs="仿宋"/>
                <w:color w:val="auto"/>
                <w:highlight w:val="none"/>
              </w:rPr>
            </w:pPr>
          </w:p>
        </w:tc>
      </w:tr>
      <w:tr w14:paraId="0C3E1AE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6827DB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51</w:t>
            </w:r>
          </w:p>
        </w:tc>
        <w:tc>
          <w:tcPr>
            <w:tcW w:w="1843" w:type="dxa"/>
            <w:tcBorders>
              <w:top w:val="single" w:color="000000" w:sz="4" w:space="0"/>
              <w:left w:val="single" w:color="000000" w:sz="4" w:space="0"/>
              <w:bottom w:val="single" w:color="000000" w:sz="4" w:space="0"/>
              <w:right w:val="single" w:color="000000" w:sz="4" w:space="0"/>
            </w:tcBorders>
            <w:vAlign w:val="center"/>
          </w:tcPr>
          <w:p w14:paraId="6925FBC3">
            <w:pPr>
              <w:jc w:val="both"/>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EXB系列电学实验板</w:t>
            </w:r>
          </w:p>
        </w:tc>
        <w:tc>
          <w:tcPr>
            <w:tcW w:w="1180" w:type="dxa"/>
            <w:tcBorders>
              <w:top w:val="single" w:color="000000" w:sz="4" w:space="0"/>
              <w:left w:val="single" w:color="000000" w:sz="4" w:space="0"/>
              <w:bottom w:val="single" w:color="000000" w:sz="4" w:space="0"/>
              <w:right w:val="single" w:color="000000" w:sz="4" w:space="0"/>
            </w:tcBorders>
            <w:vAlign w:val="center"/>
          </w:tcPr>
          <w:p w14:paraId="54745B9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CFEF25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33D69C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EAF27C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3E6FE1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F6EF562">
            <w:pPr>
              <w:jc w:val="center"/>
              <w:textAlignment w:val="center"/>
              <w:rPr>
                <w:rFonts w:ascii="仿宋" w:hAnsi="仿宋" w:eastAsia="仿宋" w:cs="仿宋"/>
                <w:color w:val="auto"/>
                <w:highlight w:val="none"/>
              </w:rPr>
            </w:pPr>
          </w:p>
        </w:tc>
      </w:tr>
      <w:tr w14:paraId="68CAF79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E34606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52</w:t>
            </w:r>
          </w:p>
        </w:tc>
        <w:tc>
          <w:tcPr>
            <w:tcW w:w="1843" w:type="dxa"/>
            <w:tcBorders>
              <w:top w:val="single" w:color="000000" w:sz="4" w:space="0"/>
              <w:left w:val="single" w:color="000000" w:sz="4" w:space="0"/>
              <w:bottom w:val="single" w:color="000000" w:sz="4" w:space="0"/>
              <w:right w:val="single" w:color="000000" w:sz="4" w:space="0"/>
            </w:tcBorders>
            <w:vAlign w:val="center"/>
          </w:tcPr>
          <w:p w14:paraId="0D15818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摩擦力实验器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350D8E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716F73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75AB9D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A699D1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43676E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3371B00">
            <w:pPr>
              <w:jc w:val="center"/>
              <w:textAlignment w:val="center"/>
              <w:rPr>
                <w:rFonts w:ascii="仿宋" w:hAnsi="仿宋" w:eastAsia="仿宋" w:cs="仿宋"/>
                <w:color w:val="auto"/>
                <w:highlight w:val="none"/>
              </w:rPr>
            </w:pPr>
          </w:p>
        </w:tc>
      </w:tr>
      <w:tr w14:paraId="5A6B137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745A9A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53</w:t>
            </w:r>
          </w:p>
        </w:tc>
        <w:tc>
          <w:tcPr>
            <w:tcW w:w="1843" w:type="dxa"/>
            <w:tcBorders>
              <w:top w:val="single" w:color="000000" w:sz="4" w:space="0"/>
              <w:left w:val="single" w:color="000000" w:sz="4" w:space="0"/>
              <w:bottom w:val="single" w:color="000000" w:sz="4" w:space="0"/>
              <w:right w:val="single" w:color="000000" w:sz="4" w:space="0"/>
            </w:tcBorders>
            <w:vAlign w:val="center"/>
          </w:tcPr>
          <w:p w14:paraId="2943DCB8">
            <w:pPr>
              <w:jc w:val="both"/>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安培力实验器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62C7D8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A5786F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417ED9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3CDD3C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EAD1235">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4B24718">
            <w:pPr>
              <w:jc w:val="center"/>
              <w:textAlignment w:val="center"/>
              <w:rPr>
                <w:rFonts w:ascii="仿宋" w:hAnsi="仿宋" w:eastAsia="仿宋" w:cs="仿宋"/>
                <w:color w:val="auto"/>
                <w:highlight w:val="none"/>
              </w:rPr>
            </w:pPr>
          </w:p>
        </w:tc>
      </w:tr>
      <w:tr w14:paraId="56A72D1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6F647F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54</w:t>
            </w:r>
          </w:p>
        </w:tc>
        <w:tc>
          <w:tcPr>
            <w:tcW w:w="1843" w:type="dxa"/>
            <w:tcBorders>
              <w:top w:val="single" w:color="000000" w:sz="4" w:space="0"/>
              <w:left w:val="single" w:color="000000" w:sz="4" w:space="0"/>
              <w:bottom w:val="single" w:color="000000" w:sz="4" w:space="0"/>
              <w:right w:val="single" w:color="000000" w:sz="4" w:space="0"/>
            </w:tcBorders>
            <w:vAlign w:val="center"/>
          </w:tcPr>
          <w:p w14:paraId="1459A34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自动控制执行器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2DF46F6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7CF7E7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E1BA65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4ABF38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F81E71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C1F1CA8">
            <w:pPr>
              <w:jc w:val="center"/>
              <w:textAlignment w:val="center"/>
              <w:rPr>
                <w:rFonts w:ascii="仿宋" w:hAnsi="仿宋" w:eastAsia="仿宋" w:cs="仿宋"/>
                <w:color w:val="auto"/>
                <w:highlight w:val="none"/>
              </w:rPr>
            </w:pPr>
          </w:p>
        </w:tc>
      </w:tr>
      <w:tr w14:paraId="2F1A5ED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85DCFE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55</w:t>
            </w:r>
          </w:p>
        </w:tc>
        <w:tc>
          <w:tcPr>
            <w:tcW w:w="1843" w:type="dxa"/>
            <w:tcBorders>
              <w:top w:val="single" w:color="000000" w:sz="4" w:space="0"/>
              <w:left w:val="single" w:color="000000" w:sz="4" w:space="0"/>
              <w:bottom w:val="single" w:color="000000" w:sz="4" w:space="0"/>
              <w:right w:val="single" w:color="000000" w:sz="4" w:space="0"/>
            </w:tcBorders>
            <w:vAlign w:val="center"/>
          </w:tcPr>
          <w:p w14:paraId="0163C22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光敏传感器控制电路</w:t>
            </w:r>
          </w:p>
        </w:tc>
        <w:tc>
          <w:tcPr>
            <w:tcW w:w="1180" w:type="dxa"/>
            <w:tcBorders>
              <w:top w:val="single" w:color="000000" w:sz="4" w:space="0"/>
              <w:left w:val="single" w:color="000000" w:sz="4" w:space="0"/>
              <w:bottom w:val="single" w:color="000000" w:sz="4" w:space="0"/>
              <w:right w:val="single" w:color="000000" w:sz="4" w:space="0"/>
            </w:tcBorders>
            <w:vAlign w:val="center"/>
          </w:tcPr>
          <w:p w14:paraId="4ED24E1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DFDB9C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D3A0A5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2968F2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088E67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D02FFA6">
            <w:pPr>
              <w:jc w:val="center"/>
              <w:textAlignment w:val="center"/>
              <w:rPr>
                <w:rFonts w:ascii="仿宋" w:hAnsi="仿宋" w:eastAsia="仿宋" w:cs="仿宋"/>
                <w:color w:val="auto"/>
                <w:highlight w:val="none"/>
              </w:rPr>
            </w:pPr>
          </w:p>
        </w:tc>
      </w:tr>
      <w:tr w14:paraId="3649A3D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D73153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56</w:t>
            </w:r>
          </w:p>
        </w:tc>
        <w:tc>
          <w:tcPr>
            <w:tcW w:w="1843" w:type="dxa"/>
            <w:tcBorders>
              <w:top w:val="single" w:color="000000" w:sz="4" w:space="0"/>
              <w:left w:val="single" w:color="000000" w:sz="4" w:space="0"/>
              <w:bottom w:val="single" w:color="000000" w:sz="4" w:space="0"/>
              <w:right w:val="single" w:color="000000" w:sz="4" w:space="0"/>
            </w:tcBorders>
            <w:vAlign w:val="center"/>
          </w:tcPr>
          <w:p w14:paraId="15AD1C1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计时传感器控制电路</w:t>
            </w:r>
          </w:p>
        </w:tc>
        <w:tc>
          <w:tcPr>
            <w:tcW w:w="1180" w:type="dxa"/>
            <w:tcBorders>
              <w:top w:val="single" w:color="000000" w:sz="4" w:space="0"/>
              <w:left w:val="single" w:color="000000" w:sz="4" w:space="0"/>
              <w:bottom w:val="single" w:color="000000" w:sz="4" w:space="0"/>
              <w:right w:val="single" w:color="000000" w:sz="4" w:space="0"/>
            </w:tcBorders>
            <w:vAlign w:val="center"/>
          </w:tcPr>
          <w:p w14:paraId="6F9DA45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4EA34D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E8CE02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4B7EC4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ED058F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94BAA81">
            <w:pPr>
              <w:jc w:val="center"/>
              <w:textAlignment w:val="center"/>
              <w:rPr>
                <w:rFonts w:ascii="仿宋" w:hAnsi="仿宋" w:eastAsia="仿宋" w:cs="仿宋"/>
                <w:color w:val="auto"/>
                <w:highlight w:val="none"/>
              </w:rPr>
            </w:pPr>
          </w:p>
        </w:tc>
      </w:tr>
      <w:tr w14:paraId="4ABE612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9E9A27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57</w:t>
            </w:r>
          </w:p>
        </w:tc>
        <w:tc>
          <w:tcPr>
            <w:tcW w:w="1843" w:type="dxa"/>
            <w:tcBorders>
              <w:top w:val="single" w:color="000000" w:sz="4" w:space="0"/>
              <w:left w:val="single" w:color="000000" w:sz="4" w:space="0"/>
              <w:bottom w:val="single" w:color="000000" w:sz="4" w:space="0"/>
              <w:right w:val="single" w:color="000000" w:sz="4" w:space="0"/>
            </w:tcBorders>
            <w:vAlign w:val="center"/>
          </w:tcPr>
          <w:p w14:paraId="56C80041">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方块电路·高中教师版</w:t>
            </w:r>
          </w:p>
        </w:tc>
        <w:tc>
          <w:tcPr>
            <w:tcW w:w="1180" w:type="dxa"/>
            <w:tcBorders>
              <w:top w:val="single" w:color="000000" w:sz="4" w:space="0"/>
              <w:left w:val="single" w:color="000000" w:sz="4" w:space="0"/>
              <w:bottom w:val="single" w:color="000000" w:sz="4" w:space="0"/>
              <w:right w:val="single" w:color="000000" w:sz="4" w:space="0"/>
            </w:tcBorders>
            <w:vAlign w:val="center"/>
          </w:tcPr>
          <w:p w14:paraId="53E24F3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1023BD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3F226D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779F9D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EF7E4C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98D24AF">
            <w:pPr>
              <w:jc w:val="center"/>
              <w:textAlignment w:val="center"/>
              <w:rPr>
                <w:rFonts w:ascii="仿宋" w:hAnsi="仿宋" w:eastAsia="仿宋" w:cs="仿宋"/>
                <w:color w:val="auto"/>
                <w:highlight w:val="none"/>
              </w:rPr>
            </w:pPr>
          </w:p>
        </w:tc>
      </w:tr>
      <w:tr w14:paraId="2DBD5A9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4872D0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58</w:t>
            </w:r>
          </w:p>
        </w:tc>
        <w:tc>
          <w:tcPr>
            <w:tcW w:w="1843" w:type="dxa"/>
            <w:tcBorders>
              <w:top w:val="single" w:color="000000" w:sz="4" w:space="0"/>
              <w:left w:val="single" w:color="000000" w:sz="4" w:space="0"/>
              <w:bottom w:val="single" w:color="000000" w:sz="4" w:space="0"/>
              <w:right w:val="single" w:color="000000" w:sz="4" w:space="0"/>
            </w:tcBorders>
            <w:vAlign w:val="center"/>
          </w:tcPr>
          <w:p w14:paraId="645EBED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光学实验系统</w:t>
            </w:r>
          </w:p>
        </w:tc>
        <w:tc>
          <w:tcPr>
            <w:tcW w:w="1180" w:type="dxa"/>
            <w:tcBorders>
              <w:top w:val="single" w:color="000000" w:sz="4" w:space="0"/>
              <w:left w:val="single" w:color="000000" w:sz="4" w:space="0"/>
              <w:bottom w:val="single" w:color="000000" w:sz="4" w:space="0"/>
              <w:right w:val="single" w:color="000000" w:sz="4" w:space="0"/>
            </w:tcBorders>
            <w:vAlign w:val="center"/>
          </w:tcPr>
          <w:p w14:paraId="3ED2066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6C5429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8EE342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753ADB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7AEB3D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445FC7A">
            <w:pPr>
              <w:jc w:val="center"/>
              <w:textAlignment w:val="center"/>
              <w:rPr>
                <w:rFonts w:ascii="仿宋" w:hAnsi="仿宋" w:eastAsia="仿宋" w:cs="仿宋"/>
                <w:color w:val="auto"/>
                <w:highlight w:val="none"/>
              </w:rPr>
            </w:pPr>
          </w:p>
        </w:tc>
      </w:tr>
      <w:tr w14:paraId="17BAFC9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5D602C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59</w:t>
            </w:r>
          </w:p>
        </w:tc>
        <w:tc>
          <w:tcPr>
            <w:tcW w:w="1843" w:type="dxa"/>
            <w:tcBorders>
              <w:top w:val="single" w:color="000000" w:sz="4" w:space="0"/>
              <w:left w:val="single" w:color="000000" w:sz="4" w:space="0"/>
              <w:bottom w:val="single" w:color="000000" w:sz="4" w:space="0"/>
              <w:right w:val="single" w:color="000000" w:sz="4" w:space="0"/>
            </w:tcBorders>
            <w:vAlign w:val="center"/>
          </w:tcPr>
          <w:p w14:paraId="00C5F635">
            <w:pPr>
              <w:jc w:val="both"/>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静电计</w:t>
            </w:r>
          </w:p>
        </w:tc>
        <w:tc>
          <w:tcPr>
            <w:tcW w:w="1180" w:type="dxa"/>
            <w:tcBorders>
              <w:top w:val="single" w:color="000000" w:sz="4" w:space="0"/>
              <w:left w:val="single" w:color="000000" w:sz="4" w:space="0"/>
              <w:bottom w:val="single" w:color="000000" w:sz="4" w:space="0"/>
              <w:right w:val="single" w:color="000000" w:sz="4" w:space="0"/>
            </w:tcBorders>
            <w:vAlign w:val="center"/>
          </w:tcPr>
          <w:p w14:paraId="718737C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309717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833E76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0BF4ED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EC091E1">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07D507B">
            <w:pPr>
              <w:jc w:val="center"/>
              <w:textAlignment w:val="center"/>
              <w:rPr>
                <w:rFonts w:ascii="仿宋" w:hAnsi="仿宋" w:eastAsia="仿宋" w:cs="仿宋"/>
                <w:color w:val="auto"/>
                <w:highlight w:val="none"/>
              </w:rPr>
            </w:pPr>
          </w:p>
        </w:tc>
      </w:tr>
      <w:tr w14:paraId="3B56852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75F691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60</w:t>
            </w:r>
          </w:p>
        </w:tc>
        <w:tc>
          <w:tcPr>
            <w:tcW w:w="1843" w:type="dxa"/>
            <w:tcBorders>
              <w:top w:val="single" w:color="000000" w:sz="4" w:space="0"/>
              <w:left w:val="single" w:color="000000" w:sz="4" w:space="0"/>
              <w:bottom w:val="single" w:color="000000" w:sz="4" w:space="0"/>
              <w:right w:val="single" w:color="000000" w:sz="4" w:space="0"/>
            </w:tcBorders>
            <w:vAlign w:val="center"/>
          </w:tcPr>
          <w:p w14:paraId="7E0F0EED">
            <w:pPr>
              <w:jc w:val="both"/>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电磁感应与楞次定律实验器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05335E6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958F9F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2F9EA0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6AF88C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2B5DBD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57FFA95">
            <w:pPr>
              <w:jc w:val="center"/>
              <w:textAlignment w:val="center"/>
              <w:rPr>
                <w:rFonts w:ascii="仿宋" w:hAnsi="仿宋" w:eastAsia="仿宋" w:cs="仿宋"/>
                <w:color w:val="auto"/>
                <w:highlight w:val="none"/>
              </w:rPr>
            </w:pPr>
          </w:p>
        </w:tc>
      </w:tr>
      <w:tr w14:paraId="29EEF8C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DE615C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61</w:t>
            </w:r>
          </w:p>
        </w:tc>
        <w:tc>
          <w:tcPr>
            <w:tcW w:w="1843" w:type="dxa"/>
            <w:tcBorders>
              <w:top w:val="single" w:color="000000" w:sz="4" w:space="0"/>
              <w:left w:val="single" w:color="000000" w:sz="4" w:space="0"/>
              <w:bottom w:val="single" w:color="000000" w:sz="4" w:space="0"/>
              <w:right w:val="single" w:color="000000" w:sz="4" w:space="0"/>
            </w:tcBorders>
            <w:vAlign w:val="center"/>
          </w:tcPr>
          <w:p w14:paraId="74A5592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焦耳定律实验器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F765E9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ACE8B7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D04D3A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F2519F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9D5957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F97D99E">
            <w:pPr>
              <w:jc w:val="center"/>
              <w:textAlignment w:val="center"/>
              <w:rPr>
                <w:rFonts w:ascii="仿宋" w:hAnsi="仿宋" w:eastAsia="仿宋" w:cs="仿宋"/>
                <w:color w:val="auto"/>
                <w:highlight w:val="none"/>
              </w:rPr>
            </w:pPr>
          </w:p>
        </w:tc>
      </w:tr>
      <w:tr w14:paraId="2A1A072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CD3A51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62</w:t>
            </w:r>
          </w:p>
        </w:tc>
        <w:tc>
          <w:tcPr>
            <w:tcW w:w="1843" w:type="dxa"/>
            <w:tcBorders>
              <w:top w:val="single" w:color="000000" w:sz="4" w:space="0"/>
              <w:left w:val="single" w:color="000000" w:sz="4" w:space="0"/>
              <w:bottom w:val="single" w:color="000000" w:sz="4" w:space="0"/>
              <w:right w:val="single" w:color="000000" w:sz="4" w:space="0"/>
            </w:tcBorders>
            <w:vAlign w:val="center"/>
          </w:tcPr>
          <w:p w14:paraId="7BC3CBA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多功能学生电源V2.0</w:t>
            </w:r>
          </w:p>
        </w:tc>
        <w:tc>
          <w:tcPr>
            <w:tcW w:w="1180" w:type="dxa"/>
            <w:tcBorders>
              <w:top w:val="single" w:color="000000" w:sz="4" w:space="0"/>
              <w:left w:val="single" w:color="000000" w:sz="4" w:space="0"/>
              <w:bottom w:val="single" w:color="000000" w:sz="4" w:space="0"/>
              <w:right w:val="single" w:color="000000" w:sz="4" w:space="0"/>
            </w:tcBorders>
            <w:vAlign w:val="center"/>
          </w:tcPr>
          <w:p w14:paraId="4A6D889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09FC34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4BEF01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160C66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58B5FA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5F30936">
            <w:pPr>
              <w:jc w:val="center"/>
              <w:textAlignment w:val="center"/>
              <w:rPr>
                <w:rFonts w:ascii="仿宋" w:hAnsi="仿宋" w:eastAsia="仿宋" w:cs="仿宋"/>
                <w:color w:val="auto"/>
                <w:highlight w:val="none"/>
              </w:rPr>
            </w:pPr>
          </w:p>
        </w:tc>
      </w:tr>
      <w:tr w14:paraId="25DF96C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441F29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63</w:t>
            </w:r>
          </w:p>
        </w:tc>
        <w:tc>
          <w:tcPr>
            <w:tcW w:w="1843" w:type="dxa"/>
            <w:tcBorders>
              <w:top w:val="single" w:color="000000" w:sz="4" w:space="0"/>
              <w:left w:val="single" w:color="000000" w:sz="4" w:space="0"/>
              <w:bottom w:val="single" w:color="000000" w:sz="4" w:space="0"/>
              <w:right w:val="single" w:color="000000" w:sz="4" w:space="0"/>
            </w:tcBorders>
            <w:vAlign w:val="center"/>
          </w:tcPr>
          <w:p w14:paraId="09EA25C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匀强磁场螺线管</w:t>
            </w:r>
          </w:p>
        </w:tc>
        <w:tc>
          <w:tcPr>
            <w:tcW w:w="1180" w:type="dxa"/>
            <w:tcBorders>
              <w:top w:val="single" w:color="000000" w:sz="4" w:space="0"/>
              <w:left w:val="single" w:color="000000" w:sz="4" w:space="0"/>
              <w:bottom w:val="single" w:color="000000" w:sz="4" w:space="0"/>
              <w:right w:val="single" w:color="000000" w:sz="4" w:space="0"/>
            </w:tcBorders>
            <w:vAlign w:val="center"/>
          </w:tcPr>
          <w:p w14:paraId="6910B40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6B2F96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3A8D0E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15E630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026B80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7B4EAE9">
            <w:pPr>
              <w:jc w:val="center"/>
              <w:textAlignment w:val="center"/>
              <w:rPr>
                <w:rFonts w:ascii="仿宋" w:hAnsi="仿宋" w:eastAsia="仿宋" w:cs="仿宋"/>
                <w:color w:val="auto"/>
                <w:highlight w:val="none"/>
              </w:rPr>
            </w:pPr>
          </w:p>
        </w:tc>
      </w:tr>
      <w:tr w14:paraId="24F5071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547ED0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64</w:t>
            </w:r>
          </w:p>
        </w:tc>
        <w:tc>
          <w:tcPr>
            <w:tcW w:w="1843" w:type="dxa"/>
            <w:tcBorders>
              <w:top w:val="single" w:color="000000" w:sz="4" w:space="0"/>
              <w:left w:val="single" w:color="000000" w:sz="4" w:space="0"/>
              <w:bottom w:val="single" w:color="000000" w:sz="4" w:space="0"/>
              <w:right w:val="single" w:color="000000" w:sz="4" w:space="0"/>
            </w:tcBorders>
            <w:vAlign w:val="center"/>
          </w:tcPr>
          <w:p w14:paraId="375931CC">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Mini牛顿管实验器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14010C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4C0E76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73A28E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66DFF8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2A8BE4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CDD6F30">
            <w:pPr>
              <w:jc w:val="center"/>
              <w:textAlignment w:val="center"/>
              <w:rPr>
                <w:rFonts w:ascii="仿宋" w:hAnsi="仿宋" w:eastAsia="仿宋" w:cs="仿宋"/>
                <w:color w:val="auto"/>
                <w:highlight w:val="none"/>
              </w:rPr>
            </w:pPr>
          </w:p>
        </w:tc>
      </w:tr>
      <w:tr w14:paraId="043B375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6113E5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65</w:t>
            </w:r>
          </w:p>
        </w:tc>
        <w:tc>
          <w:tcPr>
            <w:tcW w:w="1843" w:type="dxa"/>
            <w:tcBorders>
              <w:top w:val="single" w:color="000000" w:sz="4" w:space="0"/>
              <w:left w:val="single" w:color="000000" w:sz="4" w:space="0"/>
              <w:bottom w:val="single" w:color="000000" w:sz="4" w:space="0"/>
              <w:right w:val="single" w:color="000000" w:sz="4" w:space="0"/>
            </w:tcBorders>
            <w:vAlign w:val="center"/>
          </w:tcPr>
          <w:p w14:paraId="4D1FAE8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查理定律实验器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15E0A79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705DF6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552955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25EEB0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E0C85B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8F58732">
            <w:pPr>
              <w:jc w:val="center"/>
              <w:textAlignment w:val="center"/>
              <w:rPr>
                <w:rFonts w:ascii="仿宋" w:hAnsi="仿宋" w:eastAsia="仿宋" w:cs="仿宋"/>
                <w:color w:val="auto"/>
                <w:highlight w:val="none"/>
              </w:rPr>
            </w:pPr>
          </w:p>
        </w:tc>
      </w:tr>
      <w:tr w14:paraId="36CF80D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C9D711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66</w:t>
            </w:r>
          </w:p>
        </w:tc>
        <w:tc>
          <w:tcPr>
            <w:tcW w:w="1843" w:type="dxa"/>
            <w:tcBorders>
              <w:top w:val="single" w:color="000000" w:sz="4" w:space="0"/>
              <w:left w:val="single" w:color="000000" w:sz="4" w:space="0"/>
              <w:bottom w:val="single" w:color="000000" w:sz="4" w:space="0"/>
              <w:right w:val="single" w:color="000000" w:sz="4" w:space="0"/>
            </w:tcBorders>
            <w:vAlign w:val="center"/>
          </w:tcPr>
          <w:p w14:paraId="10E5FCC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电阻定律实验器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119B38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2FE97D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30CAEC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381CA8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6DDA5C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EBA63F9">
            <w:pPr>
              <w:jc w:val="center"/>
              <w:textAlignment w:val="center"/>
              <w:rPr>
                <w:rFonts w:ascii="仿宋" w:hAnsi="仿宋" w:eastAsia="仿宋" w:cs="仿宋"/>
                <w:color w:val="auto"/>
                <w:highlight w:val="none"/>
              </w:rPr>
            </w:pPr>
          </w:p>
        </w:tc>
      </w:tr>
      <w:tr w14:paraId="2134F11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B58F34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67</w:t>
            </w:r>
          </w:p>
        </w:tc>
        <w:tc>
          <w:tcPr>
            <w:tcW w:w="1843" w:type="dxa"/>
            <w:tcBorders>
              <w:top w:val="single" w:color="000000" w:sz="4" w:space="0"/>
              <w:left w:val="single" w:color="000000" w:sz="4" w:space="0"/>
              <w:bottom w:val="single" w:color="000000" w:sz="4" w:space="0"/>
              <w:right w:val="single" w:color="000000" w:sz="4" w:space="0"/>
            </w:tcBorders>
            <w:vAlign w:val="center"/>
          </w:tcPr>
          <w:p w14:paraId="04327970">
            <w:pPr>
              <w:jc w:val="both"/>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真空铃实验器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B6D81C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A57425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E86BD4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655D49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5F9F9C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4C04C84">
            <w:pPr>
              <w:jc w:val="center"/>
              <w:textAlignment w:val="center"/>
              <w:rPr>
                <w:rFonts w:ascii="仿宋" w:hAnsi="仿宋" w:eastAsia="仿宋" w:cs="仿宋"/>
                <w:color w:val="auto"/>
                <w:highlight w:val="none"/>
              </w:rPr>
            </w:pPr>
          </w:p>
        </w:tc>
      </w:tr>
      <w:tr w14:paraId="43944D3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5A4AEC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68</w:t>
            </w:r>
          </w:p>
        </w:tc>
        <w:tc>
          <w:tcPr>
            <w:tcW w:w="1843" w:type="dxa"/>
            <w:tcBorders>
              <w:top w:val="single" w:color="000000" w:sz="4" w:space="0"/>
              <w:left w:val="single" w:color="000000" w:sz="4" w:space="0"/>
              <w:bottom w:val="single" w:color="000000" w:sz="4" w:space="0"/>
              <w:right w:val="single" w:color="000000" w:sz="4" w:space="0"/>
            </w:tcBorders>
            <w:vAlign w:val="center"/>
          </w:tcPr>
          <w:p w14:paraId="5624312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远红外加热器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0D30A37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41D00B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05F21B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D4956B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6765326">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DA6A449">
            <w:pPr>
              <w:jc w:val="center"/>
              <w:textAlignment w:val="center"/>
              <w:rPr>
                <w:rFonts w:ascii="仿宋" w:hAnsi="仿宋" w:eastAsia="仿宋" w:cs="仿宋"/>
                <w:color w:val="auto"/>
                <w:highlight w:val="none"/>
              </w:rPr>
            </w:pPr>
          </w:p>
        </w:tc>
      </w:tr>
      <w:tr w14:paraId="08BDCEA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BC3ACA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69</w:t>
            </w:r>
          </w:p>
        </w:tc>
        <w:tc>
          <w:tcPr>
            <w:tcW w:w="1843" w:type="dxa"/>
            <w:tcBorders>
              <w:top w:val="single" w:color="000000" w:sz="4" w:space="0"/>
              <w:left w:val="single" w:color="000000" w:sz="4" w:space="0"/>
              <w:bottom w:val="single" w:color="000000" w:sz="4" w:space="0"/>
              <w:right w:val="single" w:color="000000" w:sz="4" w:space="0"/>
            </w:tcBorders>
            <w:vAlign w:val="center"/>
          </w:tcPr>
          <w:p w14:paraId="03E2E23D">
            <w:pPr>
              <w:jc w:val="both"/>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高灵敏度线圈</w:t>
            </w:r>
          </w:p>
        </w:tc>
        <w:tc>
          <w:tcPr>
            <w:tcW w:w="1180" w:type="dxa"/>
            <w:tcBorders>
              <w:top w:val="single" w:color="000000" w:sz="4" w:space="0"/>
              <w:left w:val="single" w:color="000000" w:sz="4" w:space="0"/>
              <w:bottom w:val="single" w:color="000000" w:sz="4" w:space="0"/>
              <w:right w:val="single" w:color="000000" w:sz="4" w:space="0"/>
            </w:tcBorders>
            <w:vAlign w:val="center"/>
          </w:tcPr>
          <w:p w14:paraId="2716144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D885E4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3315AE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DA33D6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8EF2A71">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F90C7A4">
            <w:pPr>
              <w:jc w:val="center"/>
              <w:textAlignment w:val="center"/>
              <w:rPr>
                <w:rFonts w:ascii="仿宋" w:hAnsi="仿宋" w:eastAsia="仿宋" w:cs="仿宋"/>
                <w:color w:val="auto"/>
                <w:highlight w:val="none"/>
              </w:rPr>
            </w:pPr>
          </w:p>
        </w:tc>
      </w:tr>
      <w:tr w14:paraId="2462547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FD4736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70</w:t>
            </w:r>
          </w:p>
        </w:tc>
        <w:tc>
          <w:tcPr>
            <w:tcW w:w="1843" w:type="dxa"/>
            <w:tcBorders>
              <w:top w:val="single" w:color="000000" w:sz="4" w:space="0"/>
              <w:left w:val="single" w:color="000000" w:sz="4" w:space="0"/>
              <w:bottom w:val="single" w:color="000000" w:sz="4" w:space="0"/>
              <w:right w:val="single" w:color="000000" w:sz="4" w:space="0"/>
            </w:tcBorders>
            <w:vAlign w:val="center"/>
          </w:tcPr>
          <w:p w14:paraId="6C6792B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玻璃导电实验器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7D3516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F58029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89BBAF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3689B4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B59B321">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C7E4062">
            <w:pPr>
              <w:jc w:val="center"/>
              <w:textAlignment w:val="center"/>
              <w:rPr>
                <w:rFonts w:ascii="仿宋" w:hAnsi="仿宋" w:eastAsia="仿宋" w:cs="仿宋"/>
                <w:color w:val="auto"/>
                <w:highlight w:val="none"/>
              </w:rPr>
            </w:pPr>
          </w:p>
        </w:tc>
      </w:tr>
      <w:tr w14:paraId="1FFBCED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CEFE28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71</w:t>
            </w:r>
          </w:p>
        </w:tc>
        <w:tc>
          <w:tcPr>
            <w:tcW w:w="1843" w:type="dxa"/>
            <w:tcBorders>
              <w:top w:val="single" w:color="000000" w:sz="4" w:space="0"/>
              <w:left w:val="single" w:color="000000" w:sz="4" w:space="0"/>
              <w:bottom w:val="single" w:color="000000" w:sz="4" w:space="0"/>
              <w:right w:val="single" w:color="000000" w:sz="4" w:space="0"/>
            </w:tcBorders>
            <w:vAlign w:val="center"/>
          </w:tcPr>
          <w:p w14:paraId="1346B61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温差电流实验器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62ABAC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D0923E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835B56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0ADF88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7A2B52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79CB5D7">
            <w:pPr>
              <w:jc w:val="center"/>
              <w:textAlignment w:val="center"/>
              <w:rPr>
                <w:rFonts w:ascii="仿宋" w:hAnsi="仿宋" w:eastAsia="仿宋" w:cs="仿宋"/>
                <w:color w:val="auto"/>
                <w:highlight w:val="none"/>
              </w:rPr>
            </w:pPr>
          </w:p>
        </w:tc>
      </w:tr>
      <w:tr w14:paraId="312BC84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D23095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72</w:t>
            </w:r>
          </w:p>
        </w:tc>
        <w:tc>
          <w:tcPr>
            <w:tcW w:w="1843" w:type="dxa"/>
            <w:tcBorders>
              <w:top w:val="single" w:color="000000" w:sz="4" w:space="0"/>
              <w:left w:val="single" w:color="000000" w:sz="4" w:space="0"/>
              <w:bottom w:val="single" w:color="000000" w:sz="4" w:space="0"/>
              <w:right w:val="single" w:color="000000" w:sz="4" w:space="0"/>
            </w:tcBorders>
            <w:vAlign w:val="center"/>
          </w:tcPr>
          <w:p w14:paraId="74DAFC6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摩擦做功实验器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3EAE411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E130EB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A571C6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0E1E29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CA1D7A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29E286A">
            <w:pPr>
              <w:jc w:val="center"/>
              <w:textAlignment w:val="center"/>
              <w:rPr>
                <w:rFonts w:ascii="仿宋" w:hAnsi="仿宋" w:eastAsia="仿宋" w:cs="仿宋"/>
                <w:color w:val="auto"/>
                <w:highlight w:val="none"/>
              </w:rPr>
            </w:pPr>
          </w:p>
        </w:tc>
      </w:tr>
      <w:tr w14:paraId="27E1D15B">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BC0E72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73</w:t>
            </w:r>
          </w:p>
        </w:tc>
        <w:tc>
          <w:tcPr>
            <w:tcW w:w="1843" w:type="dxa"/>
            <w:tcBorders>
              <w:top w:val="single" w:color="000000" w:sz="4" w:space="0"/>
              <w:left w:val="single" w:color="000000" w:sz="4" w:space="0"/>
              <w:bottom w:val="single" w:color="000000" w:sz="4" w:space="0"/>
              <w:right w:val="single" w:color="000000" w:sz="4" w:space="0"/>
            </w:tcBorders>
            <w:vAlign w:val="center"/>
          </w:tcPr>
          <w:p w14:paraId="5F20412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压缩气体做功实验器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6D3542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19EA4B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C8A902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121F78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E595D3F">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5D0F3BE">
            <w:pPr>
              <w:jc w:val="center"/>
              <w:textAlignment w:val="center"/>
              <w:rPr>
                <w:rFonts w:ascii="仿宋" w:hAnsi="仿宋" w:eastAsia="仿宋" w:cs="仿宋"/>
                <w:color w:val="auto"/>
                <w:highlight w:val="none"/>
              </w:rPr>
            </w:pPr>
          </w:p>
        </w:tc>
      </w:tr>
      <w:tr w14:paraId="7AB4895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75ECD5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74</w:t>
            </w:r>
          </w:p>
        </w:tc>
        <w:tc>
          <w:tcPr>
            <w:tcW w:w="1843" w:type="dxa"/>
            <w:tcBorders>
              <w:top w:val="single" w:color="000000" w:sz="4" w:space="0"/>
              <w:left w:val="single" w:color="000000" w:sz="4" w:space="0"/>
              <w:bottom w:val="single" w:color="000000" w:sz="4" w:space="0"/>
              <w:right w:val="single" w:color="000000" w:sz="4" w:space="0"/>
            </w:tcBorders>
            <w:vAlign w:val="center"/>
          </w:tcPr>
          <w:p w14:paraId="5AF5D70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实验软件</w:t>
            </w:r>
          </w:p>
        </w:tc>
        <w:tc>
          <w:tcPr>
            <w:tcW w:w="1180" w:type="dxa"/>
            <w:tcBorders>
              <w:top w:val="single" w:color="000000" w:sz="4" w:space="0"/>
              <w:left w:val="single" w:color="000000" w:sz="4" w:space="0"/>
              <w:bottom w:val="single" w:color="000000" w:sz="4" w:space="0"/>
              <w:right w:val="single" w:color="000000" w:sz="4" w:space="0"/>
            </w:tcBorders>
            <w:vAlign w:val="center"/>
          </w:tcPr>
          <w:p w14:paraId="21633AF2">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软件和信息技术服务业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0FED73C">
            <w:pPr>
              <w:jc w:val="center"/>
              <w:textAlignment w:val="center"/>
              <w:rPr>
                <w:rFonts w:ascii="仿宋" w:hAnsi="仿宋" w:eastAsia="仿宋" w:cs="仿宋"/>
                <w:color w:val="auto"/>
                <w:highlight w:val="none"/>
                <w:lang w:eastAsia="zh-CN"/>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4F0006C">
            <w:pPr>
              <w:jc w:val="center"/>
              <w:textAlignment w:val="center"/>
              <w:rPr>
                <w:rFonts w:ascii="仿宋" w:hAnsi="仿宋" w:eastAsia="仿宋" w:cs="仿宋"/>
                <w:color w:val="auto"/>
                <w:highlight w:val="none"/>
                <w:lang w:eastAsia="zh-CN"/>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7D4254D">
            <w:pPr>
              <w:jc w:val="center"/>
              <w:textAlignment w:val="center"/>
              <w:rPr>
                <w:rFonts w:ascii="仿宋" w:hAnsi="仿宋" w:eastAsia="仿宋" w:cs="仿宋"/>
                <w:color w:val="auto"/>
                <w:highlight w:val="none"/>
                <w:lang w:eastAsia="zh-CN"/>
              </w:rPr>
            </w:pPr>
          </w:p>
        </w:tc>
        <w:tc>
          <w:tcPr>
            <w:tcW w:w="1276" w:type="dxa"/>
            <w:tcBorders>
              <w:top w:val="single" w:color="000000" w:sz="4" w:space="0"/>
              <w:left w:val="single" w:color="auto" w:sz="4" w:space="0"/>
              <w:bottom w:val="single" w:color="000000" w:sz="4" w:space="0"/>
              <w:right w:val="single" w:color="auto" w:sz="4" w:space="0"/>
            </w:tcBorders>
            <w:vAlign w:val="center"/>
          </w:tcPr>
          <w:p w14:paraId="6EB88804">
            <w:pPr>
              <w:jc w:val="center"/>
              <w:textAlignment w:val="center"/>
              <w:rPr>
                <w:rFonts w:ascii="仿宋" w:hAnsi="仿宋" w:eastAsia="仿宋" w:cs="仿宋"/>
                <w:color w:val="auto"/>
                <w:highlight w:val="none"/>
                <w:lang w:eastAsia="zh-CN"/>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8633687">
            <w:pPr>
              <w:jc w:val="center"/>
              <w:textAlignment w:val="center"/>
              <w:rPr>
                <w:rFonts w:ascii="仿宋" w:hAnsi="仿宋" w:eastAsia="仿宋" w:cs="仿宋"/>
                <w:color w:val="auto"/>
                <w:highlight w:val="none"/>
                <w:lang w:eastAsia="zh-CN"/>
              </w:rPr>
            </w:pPr>
          </w:p>
        </w:tc>
      </w:tr>
      <w:tr w14:paraId="3C35E44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673685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75</w:t>
            </w:r>
          </w:p>
        </w:tc>
        <w:tc>
          <w:tcPr>
            <w:tcW w:w="1843" w:type="dxa"/>
            <w:tcBorders>
              <w:top w:val="single" w:color="000000" w:sz="4" w:space="0"/>
              <w:left w:val="single" w:color="000000" w:sz="4" w:space="0"/>
              <w:bottom w:val="single" w:color="000000" w:sz="4" w:space="0"/>
              <w:right w:val="single" w:color="000000" w:sz="4" w:space="0"/>
            </w:tcBorders>
            <w:vAlign w:val="center"/>
          </w:tcPr>
          <w:p w14:paraId="30A8D13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多向转接头</w:t>
            </w:r>
          </w:p>
        </w:tc>
        <w:tc>
          <w:tcPr>
            <w:tcW w:w="11739" w:type="dxa"/>
            <w:gridSpan w:val="6"/>
            <w:tcBorders>
              <w:top w:val="single" w:color="000000" w:sz="4" w:space="0"/>
              <w:left w:val="single" w:color="000000" w:sz="4" w:space="0"/>
              <w:bottom w:val="single" w:color="000000" w:sz="4" w:space="0"/>
              <w:right w:val="single" w:color="000000" w:sz="4" w:space="0"/>
            </w:tcBorders>
            <w:vAlign w:val="center"/>
          </w:tcPr>
          <w:p w14:paraId="1BE6E27B">
            <w:pPr>
              <w:jc w:val="center"/>
              <w:textAlignment w:val="center"/>
              <w:rPr>
                <w:rFonts w:ascii="仿宋" w:hAnsi="仿宋" w:eastAsia="仿宋" w:cs="仿宋"/>
                <w:color w:val="auto"/>
                <w:highlight w:val="none"/>
                <w:lang w:eastAsia="zh-CN"/>
              </w:rPr>
            </w:pPr>
            <w:r>
              <w:rPr>
                <w:rFonts w:hint="eastAsia" w:ascii="仿宋" w:hAnsi="仿宋" w:eastAsia="仿宋"/>
                <w:bCs/>
                <w:color w:val="auto"/>
                <w:highlight w:val="none"/>
                <w:lang w:eastAsia="zh-CN"/>
              </w:rPr>
              <w:t>该项属于设备的配件、辅料等材料，不对其生产厂商做要求。无需填报中小企业声明函制造商信息</w:t>
            </w:r>
          </w:p>
        </w:tc>
      </w:tr>
      <w:tr w14:paraId="6AE3562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D568F2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76</w:t>
            </w:r>
          </w:p>
        </w:tc>
        <w:tc>
          <w:tcPr>
            <w:tcW w:w="1843" w:type="dxa"/>
            <w:tcBorders>
              <w:top w:val="single" w:color="000000" w:sz="4" w:space="0"/>
              <w:left w:val="single" w:color="000000" w:sz="4" w:space="0"/>
              <w:bottom w:val="single" w:color="000000" w:sz="4" w:space="0"/>
              <w:right w:val="single" w:color="000000" w:sz="4" w:space="0"/>
            </w:tcBorders>
            <w:vAlign w:val="center"/>
          </w:tcPr>
          <w:p w14:paraId="6CAAF53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磁力固定座</w:t>
            </w:r>
          </w:p>
        </w:tc>
        <w:tc>
          <w:tcPr>
            <w:tcW w:w="11739" w:type="dxa"/>
            <w:gridSpan w:val="6"/>
            <w:tcBorders>
              <w:top w:val="single" w:color="000000" w:sz="4" w:space="0"/>
              <w:left w:val="single" w:color="000000" w:sz="4" w:space="0"/>
              <w:bottom w:val="single" w:color="000000" w:sz="4" w:space="0"/>
              <w:right w:val="single" w:color="000000" w:sz="4" w:space="0"/>
            </w:tcBorders>
            <w:vAlign w:val="center"/>
          </w:tcPr>
          <w:p w14:paraId="18D3A217">
            <w:pPr>
              <w:jc w:val="center"/>
              <w:textAlignment w:val="center"/>
              <w:rPr>
                <w:rFonts w:ascii="仿宋" w:hAnsi="仿宋" w:eastAsia="仿宋" w:cs="仿宋"/>
                <w:color w:val="auto"/>
                <w:highlight w:val="none"/>
                <w:lang w:eastAsia="zh-CN"/>
              </w:rPr>
            </w:pPr>
            <w:r>
              <w:rPr>
                <w:rFonts w:hint="eastAsia" w:ascii="仿宋" w:hAnsi="仿宋" w:eastAsia="仿宋"/>
                <w:bCs/>
                <w:color w:val="auto"/>
                <w:highlight w:val="none"/>
                <w:lang w:eastAsia="zh-CN"/>
              </w:rPr>
              <w:t>该项属于设备的配件、辅料等材料，不对其生产厂商做要求。无需填报中小企业声明函制造商信息</w:t>
            </w:r>
          </w:p>
        </w:tc>
      </w:tr>
      <w:tr w14:paraId="7D3BBC65">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2E065A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77</w:t>
            </w:r>
          </w:p>
        </w:tc>
        <w:tc>
          <w:tcPr>
            <w:tcW w:w="1843" w:type="dxa"/>
            <w:tcBorders>
              <w:top w:val="single" w:color="000000" w:sz="4" w:space="0"/>
              <w:left w:val="single" w:color="000000" w:sz="4" w:space="0"/>
              <w:bottom w:val="single" w:color="000000" w:sz="4" w:space="0"/>
              <w:right w:val="single" w:color="000000" w:sz="4" w:space="0"/>
            </w:tcBorders>
            <w:vAlign w:val="center"/>
          </w:tcPr>
          <w:p w14:paraId="4B0AB1F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附件</w:t>
            </w:r>
          </w:p>
        </w:tc>
        <w:tc>
          <w:tcPr>
            <w:tcW w:w="11739" w:type="dxa"/>
            <w:gridSpan w:val="6"/>
            <w:tcBorders>
              <w:top w:val="single" w:color="000000" w:sz="4" w:space="0"/>
              <w:left w:val="single" w:color="000000" w:sz="4" w:space="0"/>
              <w:bottom w:val="single" w:color="000000" w:sz="4" w:space="0"/>
              <w:right w:val="single" w:color="000000" w:sz="4" w:space="0"/>
            </w:tcBorders>
            <w:vAlign w:val="center"/>
          </w:tcPr>
          <w:p w14:paraId="10951A66">
            <w:pPr>
              <w:jc w:val="center"/>
              <w:textAlignment w:val="center"/>
              <w:rPr>
                <w:rFonts w:ascii="仿宋" w:hAnsi="仿宋" w:eastAsia="仿宋" w:cs="仿宋"/>
                <w:color w:val="auto"/>
                <w:highlight w:val="none"/>
                <w:lang w:eastAsia="zh-CN"/>
              </w:rPr>
            </w:pPr>
            <w:r>
              <w:rPr>
                <w:rFonts w:hint="eastAsia" w:ascii="仿宋" w:hAnsi="仿宋" w:eastAsia="仿宋"/>
                <w:bCs/>
                <w:color w:val="auto"/>
                <w:highlight w:val="none"/>
                <w:lang w:eastAsia="zh-CN"/>
              </w:rPr>
              <w:t>该项属于设备的配件、辅料等材料，不对其生产厂商做要求。无需填报中小企业声明函制造商信息</w:t>
            </w:r>
          </w:p>
        </w:tc>
      </w:tr>
      <w:tr w14:paraId="7EF60B0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BD36DA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78</w:t>
            </w:r>
          </w:p>
        </w:tc>
        <w:tc>
          <w:tcPr>
            <w:tcW w:w="1843" w:type="dxa"/>
            <w:tcBorders>
              <w:top w:val="single" w:color="000000" w:sz="4" w:space="0"/>
              <w:left w:val="single" w:color="000000" w:sz="4" w:space="0"/>
              <w:bottom w:val="single" w:color="000000" w:sz="4" w:space="0"/>
              <w:right w:val="single" w:color="000000" w:sz="4" w:space="0"/>
            </w:tcBorders>
            <w:vAlign w:val="center"/>
          </w:tcPr>
          <w:p w14:paraId="6DC39D1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物理实验指南</w:t>
            </w:r>
          </w:p>
        </w:tc>
        <w:tc>
          <w:tcPr>
            <w:tcW w:w="11739" w:type="dxa"/>
            <w:gridSpan w:val="6"/>
            <w:tcBorders>
              <w:top w:val="single" w:color="000000" w:sz="4" w:space="0"/>
              <w:left w:val="single" w:color="000000" w:sz="4" w:space="0"/>
              <w:bottom w:val="single" w:color="000000" w:sz="4" w:space="0"/>
              <w:right w:val="single" w:color="000000" w:sz="4" w:space="0"/>
            </w:tcBorders>
            <w:vAlign w:val="center"/>
          </w:tcPr>
          <w:p w14:paraId="621DA25A">
            <w:pPr>
              <w:jc w:val="center"/>
              <w:textAlignment w:val="center"/>
              <w:rPr>
                <w:rFonts w:ascii="仿宋" w:hAnsi="仿宋" w:eastAsia="仿宋" w:cs="仿宋"/>
                <w:color w:val="auto"/>
                <w:highlight w:val="none"/>
                <w:lang w:eastAsia="zh-CN"/>
              </w:rPr>
            </w:pPr>
            <w:r>
              <w:rPr>
                <w:rFonts w:hint="eastAsia" w:ascii="仿宋" w:hAnsi="仿宋" w:eastAsia="仿宋"/>
                <w:bCs/>
                <w:color w:val="auto"/>
                <w:highlight w:val="none"/>
                <w:lang w:eastAsia="zh-CN"/>
              </w:rPr>
              <w:t>该项属于设备的配件、辅料等材料，不对其生产厂商做要求。无需填报中小企业声明函制造商信息</w:t>
            </w:r>
          </w:p>
        </w:tc>
      </w:tr>
      <w:tr w14:paraId="73865335">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A982D6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79</w:t>
            </w:r>
          </w:p>
        </w:tc>
        <w:tc>
          <w:tcPr>
            <w:tcW w:w="1843" w:type="dxa"/>
            <w:tcBorders>
              <w:top w:val="single" w:color="000000" w:sz="4" w:space="0"/>
              <w:left w:val="single" w:color="000000" w:sz="4" w:space="0"/>
              <w:bottom w:val="single" w:color="000000" w:sz="4" w:space="0"/>
              <w:right w:val="single" w:color="000000" w:sz="4" w:space="0"/>
            </w:tcBorders>
            <w:vAlign w:val="center"/>
          </w:tcPr>
          <w:p w14:paraId="61A54D2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高中物理 必修第一册</w:t>
            </w:r>
          </w:p>
        </w:tc>
        <w:tc>
          <w:tcPr>
            <w:tcW w:w="1180" w:type="dxa"/>
            <w:tcBorders>
              <w:top w:val="single" w:color="000000" w:sz="4" w:space="0"/>
              <w:left w:val="single" w:color="000000" w:sz="4" w:space="0"/>
              <w:bottom w:val="single" w:color="000000" w:sz="4" w:space="0"/>
              <w:right w:val="single" w:color="000000" w:sz="4" w:space="0"/>
            </w:tcBorders>
            <w:vAlign w:val="center"/>
          </w:tcPr>
          <w:p w14:paraId="18DE1FD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68F4B8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F12BE8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F41ECA6">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9ADADF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902F7D6">
            <w:pPr>
              <w:jc w:val="center"/>
              <w:textAlignment w:val="center"/>
              <w:rPr>
                <w:rFonts w:ascii="仿宋" w:hAnsi="仿宋" w:eastAsia="仿宋" w:cs="仿宋"/>
                <w:color w:val="auto"/>
                <w:highlight w:val="none"/>
              </w:rPr>
            </w:pPr>
          </w:p>
        </w:tc>
      </w:tr>
      <w:tr w14:paraId="688B059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3EF889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80</w:t>
            </w:r>
          </w:p>
        </w:tc>
        <w:tc>
          <w:tcPr>
            <w:tcW w:w="1843" w:type="dxa"/>
            <w:tcBorders>
              <w:top w:val="single" w:color="000000" w:sz="4" w:space="0"/>
              <w:left w:val="single" w:color="000000" w:sz="4" w:space="0"/>
              <w:bottom w:val="single" w:color="000000" w:sz="4" w:space="0"/>
              <w:right w:val="single" w:color="000000" w:sz="4" w:space="0"/>
            </w:tcBorders>
            <w:vAlign w:val="center"/>
          </w:tcPr>
          <w:p w14:paraId="5211E0E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 xml:space="preserve">高中物理 必修第二册 </w:t>
            </w:r>
          </w:p>
        </w:tc>
        <w:tc>
          <w:tcPr>
            <w:tcW w:w="1180" w:type="dxa"/>
            <w:tcBorders>
              <w:top w:val="single" w:color="000000" w:sz="4" w:space="0"/>
              <w:left w:val="single" w:color="000000" w:sz="4" w:space="0"/>
              <w:bottom w:val="single" w:color="000000" w:sz="4" w:space="0"/>
              <w:right w:val="single" w:color="000000" w:sz="4" w:space="0"/>
            </w:tcBorders>
            <w:vAlign w:val="center"/>
          </w:tcPr>
          <w:p w14:paraId="4074908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0ACA6A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F30B21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7EC652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E59967F">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D56BC89">
            <w:pPr>
              <w:jc w:val="center"/>
              <w:textAlignment w:val="center"/>
              <w:rPr>
                <w:rFonts w:ascii="仿宋" w:hAnsi="仿宋" w:eastAsia="仿宋" w:cs="仿宋"/>
                <w:color w:val="auto"/>
                <w:highlight w:val="none"/>
              </w:rPr>
            </w:pPr>
          </w:p>
        </w:tc>
      </w:tr>
      <w:tr w14:paraId="3B0CA6D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538246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81</w:t>
            </w:r>
          </w:p>
        </w:tc>
        <w:tc>
          <w:tcPr>
            <w:tcW w:w="1843" w:type="dxa"/>
            <w:tcBorders>
              <w:top w:val="single" w:color="000000" w:sz="4" w:space="0"/>
              <w:left w:val="single" w:color="000000" w:sz="4" w:space="0"/>
              <w:bottom w:val="single" w:color="000000" w:sz="4" w:space="0"/>
              <w:right w:val="single" w:color="000000" w:sz="4" w:space="0"/>
            </w:tcBorders>
            <w:vAlign w:val="center"/>
          </w:tcPr>
          <w:p w14:paraId="09C5BB8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高中物理 必修第三册</w:t>
            </w:r>
          </w:p>
        </w:tc>
        <w:tc>
          <w:tcPr>
            <w:tcW w:w="1180" w:type="dxa"/>
            <w:tcBorders>
              <w:top w:val="single" w:color="000000" w:sz="4" w:space="0"/>
              <w:left w:val="single" w:color="000000" w:sz="4" w:space="0"/>
              <w:bottom w:val="single" w:color="000000" w:sz="4" w:space="0"/>
              <w:right w:val="single" w:color="000000" w:sz="4" w:space="0"/>
            </w:tcBorders>
            <w:vAlign w:val="center"/>
          </w:tcPr>
          <w:p w14:paraId="69D3A86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49CBE9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1CF21F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D7505A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D4048D1">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3FD282B">
            <w:pPr>
              <w:jc w:val="center"/>
              <w:textAlignment w:val="center"/>
              <w:rPr>
                <w:rFonts w:ascii="仿宋" w:hAnsi="仿宋" w:eastAsia="仿宋" w:cs="仿宋"/>
                <w:color w:val="auto"/>
                <w:highlight w:val="none"/>
              </w:rPr>
            </w:pPr>
          </w:p>
        </w:tc>
      </w:tr>
      <w:tr w14:paraId="2B2DF83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D901F5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82</w:t>
            </w:r>
          </w:p>
        </w:tc>
        <w:tc>
          <w:tcPr>
            <w:tcW w:w="1843" w:type="dxa"/>
            <w:tcBorders>
              <w:top w:val="single" w:color="000000" w:sz="4" w:space="0"/>
              <w:left w:val="single" w:color="000000" w:sz="4" w:space="0"/>
              <w:bottom w:val="single" w:color="000000" w:sz="4" w:space="0"/>
              <w:right w:val="single" w:color="000000" w:sz="4" w:space="0"/>
            </w:tcBorders>
            <w:vAlign w:val="center"/>
          </w:tcPr>
          <w:p w14:paraId="65FC30F8">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高中物理 选择性必修第一册</w:t>
            </w:r>
          </w:p>
        </w:tc>
        <w:tc>
          <w:tcPr>
            <w:tcW w:w="1180" w:type="dxa"/>
            <w:tcBorders>
              <w:top w:val="single" w:color="000000" w:sz="4" w:space="0"/>
              <w:left w:val="single" w:color="000000" w:sz="4" w:space="0"/>
              <w:bottom w:val="single" w:color="000000" w:sz="4" w:space="0"/>
              <w:right w:val="single" w:color="000000" w:sz="4" w:space="0"/>
            </w:tcBorders>
            <w:vAlign w:val="center"/>
          </w:tcPr>
          <w:p w14:paraId="6E623E4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24909B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48224E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8203406">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7E56A4F">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CB5B80C">
            <w:pPr>
              <w:jc w:val="center"/>
              <w:textAlignment w:val="center"/>
              <w:rPr>
                <w:rFonts w:ascii="仿宋" w:hAnsi="仿宋" w:eastAsia="仿宋" w:cs="仿宋"/>
                <w:color w:val="auto"/>
                <w:highlight w:val="none"/>
              </w:rPr>
            </w:pPr>
          </w:p>
        </w:tc>
      </w:tr>
      <w:tr w14:paraId="01B59A9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B3A487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83</w:t>
            </w:r>
          </w:p>
        </w:tc>
        <w:tc>
          <w:tcPr>
            <w:tcW w:w="1843" w:type="dxa"/>
            <w:tcBorders>
              <w:top w:val="single" w:color="000000" w:sz="4" w:space="0"/>
              <w:left w:val="single" w:color="000000" w:sz="4" w:space="0"/>
              <w:bottom w:val="single" w:color="000000" w:sz="4" w:space="0"/>
              <w:right w:val="single" w:color="000000" w:sz="4" w:space="0"/>
            </w:tcBorders>
            <w:vAlign w:val="center"/>
          </w:tcPr>
          <w:p w14:paraId="2054528C">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高中物理 选择性必修第二册 </w:t>
            </w:r>
          </w:p>
        </w:tc>
        <w:tc>
          <w:tcPr>
            <w:tcW w:w="1180" w:type="dxa"/>
            <w:tcBorders>
              <w:top w:val="single" w:color="000000" w:sz="4" w:space="0"/>
              <w:left w:val="single" w:color="000000" w:sz="4" w:space="0"/>
              <w:bottom w:val="single" w:color="000000" w:sz="4" w:space="0"/>
              <w:right w:val="single" w:color="000000" w:sz="4" w:space="0"/>
            </w:tcBorders>
            <w:vAlign w:val="center"/>
          </w:tcPr>
          <w:p w14:paraId="04AABD4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D9450E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23F0FF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85ADC9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36DA50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F69F827">
            <w:pPr>
              <w:jc w:val="center"/>
              <w:textAlignment w:val="center"/>
              <w:rPr>
                <w:rFonts w:ascii="仿宋" w:hAnsi="仿宋" w:eastAsia="仿宋" w:cs="仿宋"/>
                <w:color w:val="auto"/>
                <w:highlight w:val="none"/>
              </w:rPr>
            </w:pPr>
          </w:p>
        </w:tc>
      </w:tr>
      <w:tr w14:paraId="7E46564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0E37F9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84</w:t>
            </w:r>
          </w:p>
        </w:tc>
        <w:tc>
          <w:tcPr>
            <w:tcW w:w="1843" w:type="dxa"/>
            <w:tcBorders>
              <w:top w:val="single" w:color="000000" w:sz="4" w:space="0"/>
              <w:left w:val="single" w:color="000000" w:sz="4" w:space="0"/>
              <w:bottom w:val="single" w:color="000000" w:sz="4" w:space="0"/>
              <w:right w:val="single" w:color="000000" w:sz="4" w:space="0"/>
            </w:tcBorders>
            <w:vAlign w:val="center"/>
          </w:tcPr>
          <w:p w14:paraId="13AF1CE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打孔器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1B6C3D7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A150DB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6B9FC4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B57206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3AED9E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33A8C1F">
            <w:pPr>
              <w:jc w:val="center"/>
              <w:textAlignment w:val="center"/>
              <w:rPr>
                <w:rFonts w:ascii="仿宋" w:hAnsi="仿宋" w:eastAsia="仿宋" w:cs="仿宋"/>
                <w:color w:val="auto"/>
                <w:highlight w:val="none"/>
              </w:rPr>
            </w:pPr>
          </w:p>
        </w:tc>
      </w:tr>
      <w:tr w14:paraId="456BB8A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23423E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85</w:t>
            </w:r>
          </w:p>
        </w:tc>
        <w:tc>
          <w:tcPr>
            <w:tcW w:w="1843" w:type="dxa"/>
            <w:tcBorders>
              <w:top w:val="single" w:color="000000" w:sz="4" w:space="0"/>
              <w:left w:val="single" w:color="000000" w:sz="4" w:space="0"/>
              <w:bottom w:val="single" w:color="000000" w:sz="4" w:space="0"/>
              <w:right w:val="single" w:color="000000" w:sz="4" w:space="0"/>
            </w:tcBorders>
            <w:vAlign w:val="center"/>
          </w:tcPr>
          <w:p w14:paraId="0DDDB6D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两用气筒</w:t>
            </w:r>
          </w:p>
        </w:tc>
        <w:tc>
          <w:tcPr>
            <w:tcW w:w="1180" w:type="dxa"/>
            <w:tcBorders>
              <w:top w:val="single" w:color="000000" w:sz="4" w:space="0"/>
              <w:left w:val="single" w:color="000000" w:sz="4" w:space="0"/>
              <w:bottom w:val="single" w:color="000000" w:sz="4" w:space="0"/>
              <w:right w:val="single" w:color="000000" w:sz="4" w:space="0"/>
            </w:tcBorders>
            <w:vAlign w:val="center"/>
          </w:tcPr>
          <w:p w14:paraId="3C7E890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EFD247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4280F8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69B729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4FD186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1C1A130">
            <w:pPr>
              <w:jc w:val="center"/>
              <w:textAlignment w:val="center"/>
              <w:rPr>
                <w:rFonts w:ascii="仿宋" w:hAnsi="仿宋" w:eastAsia="仿宋" w:cs="仿宋"/>
                <w:color w:val="auto"/>
                <w:highlight w:val="none"/>
              </w:rPr>
            </w:pPr>
          </w:p>
        </w:tc>
      </w:tr>
      <w:tr w14:paraId="4252441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650BC3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86</w:t>
            </w:r>
          </w:p>
        </w:tc>
        <w:tc>
          <w:tcPr>
            <w:tcW w:w="1843" w:type="dxa"/>
            <w:tcBorders>
              <w:top w:val="single" w:color="000000" w:sz="4" w:space="0"/>
              <w:left w:val="single" w:color="000000" w:sz="4" w:space="0"/>
              <w:bottom w:val="single" w:color="000000" w:sz="4" w:space="0"/>
              <w:right w:val="single" w:color="000000" w:sz="4" w:space="0"/>
            </w:tcBorders>
            <w:vAlign w:val="center"/>
          </w:tcPr>
          <w:p w14:paraId="0FB7A50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抽气筒</w:t>
            </w:r>
          </w:p>
        </w:tc>
        <w:tc>
          <w:tcPr>
            <w:tcW w:w="1180" w:type="dxa"/>
            <w:tcBorders>
              <w:top w:val="single" w:color="000000" w:sz="4" w:space="0"/>
              <w:left w:val="single" w:color="000000" w:sz="4" w:space="0"/>
              <w:bottom w:val="single" w:color="000000" w:sz="4" w:space="0"/>
              <w:right w:val="single" w:color="000000" w:sz="4" w:space="0"/>
            </w:tcBorders>
            <w:vAlign w:val="center"/>
          </w:tcPr>
          <w:p w14:paraId="0A336F0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A03976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619A15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40F0C8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0349B66">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E666C91">
            <w:pPr>
              <w:jc w:val="center"/>
              <w:textAlignment w:val="center"/>
              <w:rPr>
                <w:rFonts w:ascii="仿宋" w:hAnsi="仿宋" w:eastAsia="仿宋" w:cs="仿宋"/>
                <w:color w:val="auto"/>
                <w:highlight w:val="none"/>
              </w:rPr>
            </w:pPr>
          </w:p>
        </w:tc>
      </w:tr>
      <w:tr w14:paraId="7EE3E8D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B5CA80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87</w:t>
            </w:r>
          </w:p>
        </w:tc>
        <w:tc>
          <w:tcPr>
            <w:tcW w:w="1843" w:type="dxa"/>
            <w:tcBorders>
              <w:top w:val="single" w:color="000000" w:sz="4" w:space="0"/>
              <w:left w:val="single" w:color="000000" w:sz="4" w:space="0"/>
              <w:bottom w:val="single" w:color="000000" w:sz="4" w:space="0"/>
              <w:right w:val="single" w:color="000000" w:sz="4" w:space="0"/>
            </w:tcBorders>
            <w:vAlign w:val="center"/>
          </w:tcPr>
          <w:p w14:paraId="4AF90AE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打气筒</w:t>
            </w:r>
          </w:p>
        </w:tc>
        <w:tc>
          <w:tcPr>
            <w:tcW w:w="1180" w:type="dxa"/>
            <w:tcBorders>
              <w:top w:val="single" w:color="000000" w:sz="4" w:space="0"/>
              <w:left w:val="single" w:color="000000" w:sz="4" w:space="0"/>
              <w:bottom w:val="single" w:color="000000" w:sz="4" w:space="0"/>
              <w:right w:val="single" w:color="000000" w:sz="4" w:space="0"/>
            </w:tcBorders>
            <w:vAlign w:val="center"/>
          </w:tcPr>
          <w:p w14:paraId="17CC8F0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7F8C60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1456B2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D744F4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822948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D778CAE">
            <w:pPr>
              <w:jc w:val="center"/>
              <w:textAlignment w:val="center"/>
              <w:rPr>
                <w:rFonts w:ascii="仿宋" w:hAnsi="仿宋" w:eastAsia="仿宋" w:cs="仿宋"/>
                <w:color w:val="auto"/>
                <w:highlight w:val="none"/>
              </w:rPr>
            </w:pPr>
          </w:p>
        </w:tc>
      </w:tr>
      <w:tr w14:paraId="42F808A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D892BD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88</w:t>
            </w:r>
          </w:p>
        </w:tc>
        <w:tc>
          <w:tcPr>
            <w:tcW w:w="1843" w:type="dxa"/>
            <w:tcBorders>
              <w:top w:val="single" w:color="000000" w:sz="4" w:space="0"/>
              <w:left w:val="single" w:color="000000" w:sz="4" w:space="0"/>
              <w:bottom w:val="single" w:color="000000" w:sz="4" w:space="0"/>
              <w:right w:val="single" w:color="000000" w:sz="4" w:space="0"/>
            </w:tcBorders>
            <w:vAlign w:val="center"/>
          </w:tcPr>
          <w:p w14:paraId="141C658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抽气盘</w:t>
            </w:r>
          </w:p>
        </w:tc>
        <w:tc>
          <w:tcPr>
            <w:tcW w:w="1180" w:type="dxa"/>
            <w:tcBorders>
              <w:top w:val="single" w:color="000000" w:sz="4" w:space="0"/>
              <w:left w:val="single" w:color="000000" w:sz="4" w:space="0"/>
              <w:bottom w:val="single" w:color="000000" w:sz="4" w:space="0"/>
              <w:right w:val="single" w:color="000000" w:sz="4" w:space="0"/>
            </w:tcBorders>
            <w:vAlign w:val="center"/>
          </w:tcPr>
          <w:p w14:paraId="1AB49D3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CC5A89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57F0C7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B6E6E4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501581F">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C90EC6B">
            <w:pPr>
              <w:jc w:val="center"/>
              <w:textAlignment w:val="center"/>
              <w:rPr>
                <w:rFonts w:ascii="仿宋" w:hAnsi="仿宋" w:eastAsia="仿宋" w:cs="仿宋"/>
                <w:color w:val="auto"/>
                <w:highlight w:val="none"/>
              </w:rPr>
            </w:pPr>
          </w:p>
        </w:tc>
      </w:tr>
      <w:tr w14:paraId="039AE0D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0BC7ED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89</w:t>
            </w:r>
          </w:p>
        </w:tc>
        <w:tc>
          <w:tcPr>
            <w:tcW w:w="1843" w:type="dxa"/>
            <w:tcBorders>
              <w:top w:val="single" w:color="000000" w:sz="4" w:space="0"/>
              <w:left w:val="single" w:color="000000" w:sz="4" w:space="0"/>
              <w:bottom w:val="single" w:color="000000" w:sz="4" w:space="0"/>
              <w:right w:val="single" w:color="000000" w:sz="4" w:space="0"/>
            </w:tcBorders>
            <w:vAlign w:val="center"/>
          </w:tcPr>
          <w:p w14:paraId="33DDF57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吹风机</w:t>
            </w:r>
          </w:p>
        </w:tc>
        <w:tc>
          <w:tcPr>
            <w:tcW w:w="1180" w:type="dxa"/>
            <w:tcBorders>
              <w:top w:val="single" w:color="000000" w:sz="4" w:space="0"/>
              <w:left w:val="single" w:color="000000" w:sz="4" w:space="0"/>
              <w:bottom w:val="single" w:color="000000" w:sz="4" w:space="0"/>
              <w:right w:val="single" w:color="000000" w:sz="4" w:space="0"/>
            </w:tcBorders>
            <w:vAlign w:val="center"/>
          </w:tcPr>
          <w:p w14:paraId="7852AD1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E66D05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4B4C2F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033D66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5C26DB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C2A21C6">
            <w:pPr>
              <w:jc w:val="center"/>
              <w:textAlignment w:val="center"/>
              <w:rPr>
                <w:rFonts w:ascii="仿宋" w:hAnsi="仿宋" w:eastAsia="仿宋" w:cs="仿宋"/>
                <w:color w:val="auto"/>
                <w:highlight w:val="none"/>
              </w:rPr>
            </w:pPr>
          </w:p>
        </w:tc>
      </w:tr>
      <w:tr w14:paraId="1A53395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B26A6F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90</w:t>
            </w:r>
          </w:p>
        </w:tc>
        <w:tc>
          <w:tcPr>
            <w:tcW w:w="1843" w:type="dxa"/>
            <w:tcBorders>
              <w:top w:val="single" w:color="000000" w:sz="4" w:space="0"/>
              <w:left w:val="single" w:color="000000" w:sz="4" w:space="0"/>
              <w:bottom w:val="single" w:color="000000" w:sz="4" w:space="0"/>
              <w:right w:val="single" w:color="000000" w:sz="4" w:space="0"/>
            </w:tcBorders>
            <w:vAlign w:val="center"/>
          </w:tcPr>
          <w:p w14:paraId="1119038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充磁器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01540BF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7CFFD9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8D9190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E4313B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2761D5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F51C34A">
            <w:pPr>
              <w:jc w:val="center"/>
              <w:textAlignment w:val="center"/>
              <w:rPr>
                <w:rFonts w:ascii="仿宋" w:hAnsi="仿宋" w:eastAsia="仿宋" w:cs="仿宋"/>
                <w:color w:val="auto"/>
                <w:highlight w:val="none"/>
              </w:rPr>
            </w:pPr>
          </w:p>
        </w:tc>
      </w:tr>
      <w:tr w14:paraId="730CE87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F54993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91</w:t>
            </w:r>
          </w:p>
        </w:tc>
        <w:tc>
          <w:tcPr>
            <w:tcW w:w="1843" w:type="dxa"/>
            <w:tcBorders>
              <w:top w:val="single" w:color="000000" w:sz="4" w:space="0"/>
              <w:left w:val="single" w:color="000000" w:sz="4" w:space="0"/>
              <w:bottom w:val="single" w:color="000000" w:sz="4" w:space="0"/>
              <w:right w:val="single" w:color="000000" w:sz="4" w:space="0"/>
            </w:tcBorders>
            <w:vAlign w:val="center"/>
          </w:tcPr>
          <w:p w14:paraId="4A10059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望远镜</w:t>
            </w:r>
          </w:p>
        </w:tc>
        <w:tc>
          <w:tcPr>
            <w:tcW w:w="1180" w:type="dxa"/>
            <w:tcBorders>
              <w:top w:val="single" w:color="000000" w:sz="4" w:space="0"/>
              <w:left w:val="single" w:color="000000" w:sz="4" w:space="0"/>
              <w:bottom w:val="single" w:color="000000" w:sz="4" w:space="0"/>
              <w:right w:val="single" w:color="000000" w:sz="4" w:space="0"/>
            </w:tcBorders>
            <w:vAlign w:val="center"/>
          </w:tcPr>
          <w:p w14:paraId="0047045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3A13A8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C0BACA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D9C568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E55DA5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70895A1">
            <w:pPr>
              <w:jc w:val="center"/>
              <w:textAlignment w:val="center"/>
              <w:rPr>
                <w:rFonts w:ascii="仿宋" w:hAnsi="仿宋" w:eastAsia="仿宋" w:cs="仿宋"/>
                <w:color w:val="auto"/>
                <w:highlight w:val="none"/>
              </w:rPr>
            </w:pPr>
          </w:p>
        </w:tc>
      </w:tr>
      <w:tr w14:paraId="0EF2ADD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27E9C1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92</w:t>
            </w:r>
          </w:p>
        </w:tc>
        <w:tc>
          <w:tcPr>
            <w:tcW w:w="1843" w:type="dxa"/>
            <w:tcBorders>
              <w:top w:val="single" w:color="000000" w:sz="4" w:space="0"/>
              <w:left w:val="single" w:color="000000" w:sz="4" w:space="0"/>
              <w:bottom w:val="single" w:color="000000" w:sz="4" w:space="0"/>
              <w:right w:val="single" w:color="000000" w:sz="4" w:space="0"/>
            </w:tcBorders>
            <w:vAlign w:val="center"/>
          </w:tcPr>
          <w:p w14:paraId="4ADC3D5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酒精喷灯</w:t>
            </w:r>
          </w:p>
        </w:tc>
        <w:tc>
          <w:tcPr>
            <w:tcW w:w="1180" w:type="dxa"/>
            <w:tcBorders>
              <w:top w:val="single" w:color="000000" w:sz="4" w:space="0"/>
              <w:left w:val="single" w:color="000000" w:sz="4" w:space="0"/>
              <w:bottom w:val="single" w:color="000000" w:sz="4" w:space="0"/>
              <w:right w:val="single" w:color="000000" w:sz="4" w:space="0"/>
            </w:tcBorders>
            <w:vAlign w:val="center"/>
          </w:tcPr>
          <w:p w14:paraId="5CAEDFD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168326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742A91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E07A7E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2EB71A1">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570DE30">
            <w:pPr>
              <w:jc w:val="center"/>
              <w:textAlignment w:val="center"/>
              <w:rPr>
                <w:rFonts w:ascii="仿宋" w:hAnsi="仿宋" w:eastAsia="仿宋" w:cs="仿宋"/>
                <w:color w:val="auto"/>
                <w:highlight w:val="none"/>
              </w:rPr>
            </w:pPr>
          </w:p>
        </w:tc>
      </w:tr>
      <w:tr w14:paraId="71A1A845">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9FAC5F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93</w:t>
            </w:r>
          </w:p>
        </w:tc>
        <w:tc>
          <w:tcPr>
            <w:tcW w:w="1843" w:type="dxa"/>
            <w:tcBorders>
              <w:top w:val="single" w:color="000000" w:sz="4" w:space="0"/>
              <w:left w:val="single" w:color="000000" w:sz="4" w:space="0"/>
              <w:bottom w:val="single" w:color="000000" w:sz="4" w:space="0"/>
              <w:right w:val="single" w:color="000000" w:sz="4" w:space="0"/>
            </w:tcBorders>
            <w:vAlign w:val="center"/>
          </w:tcPr>
          <w:p w14:paraId="2A5DA2E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注射器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28FC475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7E6726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30DD70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F77516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32FB71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3EA98C8">
            <w:pPr>
              <w:jc w:val="center"/>
              <w:textAlignment w:val="center"/>
              <w:rPr>
                <w:rFonts w:ascii="仿宋" w:hAnsi="仿宋" w:eastAsia="仿宋" w:cs="仿宋"/>
                <w:color w:val="auto"/>
                <w:highlight w:val="none"/>
              </w:rPr>
            </w:pPr>
          </w:p>
        </w:tc>
      </w:tr>
      <w:tr w14:paraId="0424BD7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2B834F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94</w:t>
            </w:r>
          </w:p>
        </w:tc>
        <w:tc>
          <w:tcPr>
            <w:tcW w:w="1843" w:type="dxa"/>
            <w:tcBorders>
              <w:top w:val="single" w:color="000000" w:sz="4" w:space="0"/>
              <w:left w:val="single" w:color="000000" w:sz="4" w:space="0"/>
              <w:bottom w:val="single" w:color="000000" w:sz="4" w:space="0"/>
              <w:right w:val="single" w:color="000000" w:sz="4" w:space="0"/>
            </w:tcBorders>
            <w:vAlign w:val="center"/>
          </w:tcPr>
          <w:p w14:paraId="48ED740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升降台</w:t>
            </w:r>
          </w:p>
        </w:tc>
        <w:tc>
          <w:tcPr>
            <w:tcW w:w="1180" w:type="dxa"/>
            <w:tcBorders>
              <w:top w:val="single" w:color="000000" w:sz="4" w:space="0"/>
              <w:left w:val="single" w:color="000000" w:sz="4" w:space="0"/>
              <w:bottom w:val="single" w:color="000000" w:sz="4" w:space="0"/>
              <w:right w:val="single" w:color="000000" w:sz="4" w:space="0"/>
            </w:tcBorders>
            <w:vAlign w:val="center"/>
          </w:tcPr>
          <w:p w14:paraId="6086974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BA4527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E049AF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6D1FCC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527650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014785C">
            <w:pPr>
              <w:jc w:val="center"/>
              <w:textAlignment w:val="center"/>
              <w:rPr>
                <w:rFonts w:ascii="仿宋" w:hAnsi="仿宋" w:eastAsia="仿宋" w:cs="仿宋"/>
                <w:color w:val="auto"/>
                <w:highlight w:val="none"/>
              </w:rPr>
            </w:pPr>
          </w:p>
        </w:tc>
      </w:tr>
      <w:tr w14:paraId="4B6443E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787CFE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95</w:t>
            </w:r>
          </w:p>
        </w:tc>
        <w:tc>
          <w:tcPr>
            <w:tcW w:w="1843" w:type="dxa"/>
            <w:tcBorders>
              <w:top w:val="single" w:color="000000" w:sz="4" w:space="0"/>
              <w:left w:val="single" w:color="000000" w:sz="4" w:space="0"/>
              <w:bottom w:val="single" w:color="000000" w:sz="4" w:space="0"/>
              <w:right w:val="single" w:color="000000" w:sz="4" w:space="0"/>
            </w:tcBorders>
            <w:vAlign w:val="center"/>
          </w:tcPr>
          <w:p w14:paraId="72460A2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高中教学电源</w:t>
            </w:r>
          </w:p>
        </w:tc>
        <w:tc>
          <w:tcPr>
            <w:tcW w:w="1180" w:type="dxa"/>
            <w:tcBorders>
              <w:top w:val="single" w:color="000000" w:sz="4" w:space="0"/>
              <w:left w:val="single" w:color="000000" w:sz="4" w:space="0"/>
              <w:bottom w:val="single" w:color="000000" w:sz="4" w:space="0"/>
              <w:right w:val="single" w:color="000000" w:sz="4" w:space="0"/>
            </w:tcBorders>
            <w:vAlign w:val="center"/>
          </w:tcPr>
          <w:p w14:paraId="3C9B18A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371971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EACB27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C1BBE2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F530A4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8D21C5E">
            <w:pPr>
              <w:jc w:val="center"/>
              <w:textAlignment w:val="center"/>
              <w:rPr>
                <w:rFonts w:ascii="仿宋" w:hAnsi="仿宋" w:eastAsia="仿宋" w:cs="仿宋"/>
                <w:color w:val="auto"/>
                <w:highlight w:val="none"/>
              </w:rPr>
            </w:pPr>
          </w:p>
        </w:tc>
      </w:tr>
      <w:tr w14:paraId="070FAB2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D937E5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96</w:t>
            </w:r>
          </w:p>
        </w:tc>
        <w:tc>
          <w:tcPr>
            <w:tcW w:w="1843" w:type="dxa"/>
            <w:tcBorders>
              <w:top w:val="single" w:color="000000" w:sz="4" w:space="0"/>
              <w:left w:val="single" w:color="000000" w:sz="4" w:space="0"/>
              <w:bottom w:val="single" w:color="000000" w:sz="4" w:space="0"/>
              <w:right w:val="single" w:color="000000" w:sz="4" w:space="0"/>
            </w:tcBorders>
            <w:vAlign w:val="center"/>
          </w:tcPr>
          <w:p w14:paraId="7666B78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蓄电池</w:t>
            </w:r>
          </w:p>
        </w:tc>
        <w:tc>
          <w:tcPr>
            <w:tcW w:w="1180" w:type="dxa"/>
            <w:tcBorders>
              <w:top w:val="single" w:color="000000" w:sz="4" w:space="0"/>
              <w:left w:val="single" w:color="000000" w:sz="4" w:space="0"/>
              <w:bottom w:val="single" w:color="000000" w:sz="4" w:space="0"/>
              <w:right w:val="single" w:color="000000" w:sz="4" w:space="0"/>
            </w:tcBorders>
            <w:vAlign w:val="center"/>
          </w:tcPr>
          <w:p w14:paraId="4017888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196052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7FF7C1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0EC175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EF1D60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A803816">
            <w:pPr>
              <w:jc w:val="center"/>
              <w:textAlignment w:val="center"/>
              <w:rPr>
                <w:rFonts w:ascii="仿宋" w:hAnsi="仿宋" w:eastAsia="仿宋" w:cs="仿宋"/>
                <w:color w:val="auto"/>
                <w:highlight w:val="none"/>
              </w:rPr>
            </w:pPr>
          </w:p>
        </w:tc>
      </w:tr>
      <w:tr w14:paraId="00823B1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FF3D34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97</w:t>
            </w:r>
          </w:p>
        </w:tc>
        <w:tc>
          <w:tcPr>
            <w:tcW w:w="1843" w:type="dxa"/>
            <w:tcBorders>
              <w:top w:val="single" w:color="000000" w:sz="4" w:space="0"/>
              <w:left w:val="single" w:color="000000" w:sz="4" w:space="0"/>
              <w:bottom w:val="single" w:color="000000" w:sz="4" w:space="0"/>
              <w:right w:val="single" w:color="000000" w:sz="4" w:space="0"/>
            </w:tcBorders>
            <w:vAlign w:val="center"/>
          </w:tcPr>
          <w:p w14:paraId="706C356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调压变压器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2ED5FB7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071B7A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24FB51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CAA1E8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8B149E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5D5489C">
            <w:pPr>
              <w:jc w:val="center"/>
              <w:textAlignment w:val="center"/>
              <w:rPr>
                <w:rFonts w:ascii="仿宋" w:hAnsi="仿宋" w:eastAsia="仿宋" w:cs="仿宋"/>
                <w:color w:val="auto"/>
                <w:highlight w:val="none"/>
              </w:rPr>
            </w:pPr>
          </w:p>
        </w:tc>
      </w:tr>
      <w:tr w14:paraId="37B485B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26C791A">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98</w:t>
            </w:r>
          </w:p>
        </w:tc>
        <w:tc>
          <w:tcPr>
            <w:tcW w:w="1843" w:type="dxa"/>
            <w:tcBorders>
              <w:top w:val="single" w:color="000000" w:sz="4" w:space="0"/>
              <w:left w:val="single" w:color="000000" w:sz="4" w:space="0"/>
              <w:bottom w:val="single" w:color="000000" w:sz="4" w:space="0"/>
              <w:right w:val="single" w:color="000000" w:sz="4" w:space="0"/>
            </w:tcBorders>
            <w:vAlign w:val="center"/>
          </w:tcPr>
          <w:p w14:paraId="11CD6B2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感应圈</w:t>
            </w:r>
          </w:p>
        </w:tc>
        <w:tc>
          <w:tcPr>
            <w:tcW w:w="1180" w:type="dxa"/>
            <w:tcBorders>
              <w:top w:val="single" w:color="000000" w:sz="4" w:space="0"/>
              <w:left w:val="single" w:color="000000" w:sz="4" w:space="0"/>
              <w:bottom w:val="single" w:color="000000" w:sz="4" w:space="0"/>
              <w:right w:val="single" w:color="000000" w:sz="4" w:space="0"/>
            </w:tcBorders>
            <w:vAlign w:val="center"/>
          </w:tcPr>
          <w:p w14:paraId="0D36B93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C57149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89B119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3465C5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C15975F">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B6E6271">
            <w:pPr>
              <w:jc w:val="center"/>
              <w:textAlignment w:val="center"/>
              <w:rPr>
                <w:rFonts w:ascii="仿宋" w:hAnsi="仿宋" w:eastAsia="仿宋" w:cs="仿宋"/>
                <w:color w:val="auto"/>
                <w:highlight w:val="none"/>
              </w:rPr>
            </w:pPr>
          </w:p>
        </w:tc>
      </w:tr>
      <w:tr w14:paraId="05F26B4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ABABA0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99</w:t>
            </w:r>
          </w:p>
        </w:tc>
        <w:tc>
          <w:tcPr>
            <w:tcW w:w="1843" w:type="dxa"/>
            <w:tcBorders>
              <w:top w:val="single" w:color="000000" w:sz="4" w:space="0"/>
              <w:left w:val="single" w:color="000000" w:sz="4" w:space="0"/>
              <w:bottom w:val="single" w:color="000000" w:sz="4" w:space="0"/>
              <w:right w:val="single" w:color="000000" w:sz="4" w:space="0"/>
            </w:tcBorders>
            <w:vAlign w:val="center"/>
          </w:tcPr>
          <w:p w14:paraId="697783A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直流高压电源</w:t>
            </w:r>
          </w:p>
        </w:tc>
        <w:tc>
          <w:tcPr>
            <w:tcW w:w="1180" w:type="dxa"/>
            <w:tcBorders>
              <w:top w:val="single" w:color="000000" w:sz="4" w:space="0"/>
              <w:left w:val="single" w:color="000000" w:sz="4" w:space="0"/>
              <w:bottom w:val="single" w:color="000000" w:sz="4" w:space="0"/>
              <w:right w:val="single" w:color="000000" w:sz="4" w:space="0"/>
            </w:tcBorders>
            <w:vAlign w:val="center"/>
          </w:tcPr>
          <w:p w14:paraId="5F72F72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84A442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A6A953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FA84E6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D928DC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DB3B0C7">
            <w:pPr>
              <w:jc w:val="center"/>
              <w:textAlignment w:val="center"/>
              <w:rPr>
                <w:rFonts w:ascii="仿宋" w:hAnsi="仿宋" w:eastAsia="仿宋" w:cs="仿宋"/>
                <w:color w:val="auto"/>
                <w:highlight w:val="none"/>
              </w:rPr>
            </w:pPr>
          </w:p>
        </w:tc>
      </w:tr>
      <w:tr w14:paraId="53E3FDC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273AFE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100</w:t>
            </w:r>
          </w:p>
        </w:tc>
        <w:tc>
          <w:tcPr>
            <w:tcW w:w="1843" w:type="dxa"/>
            <w:tcBorders>
              <w:top w:val="single" w:color="000000" w:sz="4" w:space="0"/>
              <w:left w:val="single" w:color="000000" w:sz="4" w:space="0"/>
              <w:bottom w:val="single" w:color="000000" w:sz="4" w:space="0"/>
              <w:right w:val="single" w:color="000000" w:sz="4" w:space="0"/>
            </w:tcBorders>
            <w:vAlign w:val="center"/>
          </w:tcPr>
          <w:p w14:paraId="133CD4B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电子起电机</w:t>
            </w:r>
          </w:p>
        </w:tc>
        <w:tc>
          <w:tcPr>
            <w:tcW w:w="1180" w:type="dxa"/>
            <w:tcBorders>
              <w:top w:val="single" w:color="000000" w:sz="4" w:space="0"/>
              <w:left w:val="single" w:color="000000" w:sz="4" w:space="0"/>
              <w:bottom w:val="single" w:color="000000" w:sz="4" w:space="0"/>
              <w:right w:val="single" w:color="000000" w:sz="4" w:space="0"/>
            </w:tcBorders>
            <w:vAlign w:val="center"/>
          </w:tcPr>
          <w:p w14:paraId="39885EE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82F9FB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131681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58A21B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211DC4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6AC35A8">
            <w:pPr>
              <w:jc w:val="center"/>
              <w:textAlignment w:val="center"/>
              <w:rPr>
                <w:rFonts w:ascii="仿宋" w:hAnsi="仿宋" w:eastAsia="仿宋" w:cs="仿宋"/>
                <w:color w:val="auto"/>
                <w:highlight w:val="none"/>
              </w:rPr>
            </w:pPr>
          </w:p>
        </w:tc>
      </w:tr>
      <w:tr w14:paraId="577586D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62952A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101</w:t>
            </w:r>
          </w:p>
        </w:tc>
        <w:tc>
          <w:tcPr>
            <w:tcW w:w="1843" w:type="dxa"/>
            <w:tcBorders>
              <w:top w:val="single" w:color="000000" w:sz="4" w:space="0"/>
              <w:left w:val="single" w:color="000000" w:sz="4" w:space="0"/>
              <w:bottom w:val="single" w:color="000000" w:sz="4" w:space="0"/>
              <w:right w:val="single" w:color="000000" w:sz="4" w:space="0"/>
            </w:tcBorders>
            <w:vAlign w:val="center"/>
          </w:tcPr>
          <w:p w14:paraId="05712BB0">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教学用铅酸蓄电池充电器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143A25A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D5E395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6C27AF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496B5E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C3D5C7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7D37ECD">
            <w:pPr>
              <w:jc w:val="center"/>
              <w:textAlignment w:val="center"/>
              <w:rPr>
                <w:rFonts w:ascii="仿宋" w:hAnsi="仿宋" w:eastAsia="仿宋" w:cs="仿宋"/>
                <w:color w:val="auto"/>
                <w:highlight w:val="none"/>
              </w:rPr>
            </w:pPr>
          </w:p>
        </w:tc>
      </w:tr>
      <w:tr w14:paraId="410D0EF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CDC843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102</w:t>
            </w:r>
          </w:p>
        </w:tc>
        <w:tc>
          <w:tcPr>
            <w:tcW w:w="1843" w:type="dxa"/>
            <w:tcBorders>
              <w:top w:val="single" w:color="000000" w:sz="4" w:space="0"/>
              <w:left w:val="single" w:color="000000" w:sz="4" w:space="0"/>
              <w:bottom w:val="single" w:color="000000" w:sz="4" w:space="0"/>
              <w:right w:val="single" w:color="000000" w:sz="4" w:space="0"/>
            </w:tcBorders>
            <w:vAlign w:val="center"/>
          </w:tcPr>
          <w:p w14:paraId="150346C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钢直尺</w:t>
            </w:r>
          </w:p>
        </w:tc>
        <w:tc>
          <w:tcPr>
            <w:tcW w:w="1180" w:type="dxa"/>
            <w:tcBorders>
              <w:top w:val="single" w:color="000000" w:sz="4" w:space="0"/>
              <w:left w:val="single" w:color="000000" w:sz="4" w:space="0"/>
              <w:bottom w:val="single" w:color="000000" w:sz="4" w:space="0"/>
              <w:right w:val="single" w:color="000000" w:sz="4" w:space="0"/>
            </w:tcBorders>
            <w:vAlign w:val="center"/>
          </w:tcPr>
          <w:p w14:paraId="1AF927F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821FD5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C2111D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924BAF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7F3B60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C30DC57">
            <w:pPr>
              <w:jc w:val="center"/>
              <w:textAlignment w:val="center"/>
              <w:rPr>
                <w:rFonts w:ascii="仿宋" w:hAnsi="仿宋" w:eastAsia="仿宋" w:cs="仿宋"/>
                <w:color w:val="auto"/>
                <w:highlight w:val="none"/>
              </w:rPr>
            </w:pPr>
          </w:p>
        </w:tc>
      </w:tr>
      <w:tr w14:paraId="7302BB0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3EEE6C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103</w:t>
            </w:r>
          </w:p>
        </w:tc>
        <w:tc>
          <w:tcPr>
            <w:tcW w:w="1843" w:type="dxa"/>
            <w:tcBorders>
              <w:top w:val="single" w:color="000000" w:sz="4" w:space="0"/>
              <w:left w:val="single" w:color="000000" w:sz="4" w:space="0"/>
              <w:bottom w:val="single" w:color="000000" w:sz="4" w:space="0"/>
              <w:right w:val="single" w:color="000000" w:sz="4" w:space="0"/>
            </w:tcBorders>
            <w:vAlign w:val="center"/>
          </w:tcPr>
          <w:p w14:paraId="7B2A40F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钢直尺</w:t>
            </w:r>
          </w:p>
        </w:tc>
        <w:tc>
          <w:tcPr>
            <w:tcW w:w="1180" w:type="dxa"/>
            <w:tcBorders>
              <w:top w:val="single" w:color="000000" w:sz="4" w:space="0"/>
              <w:left w:val="single" w:color="000000" w:sz="4" w:space="0"/>
              <w:bottom w:val="single" w:color="000000" w:sz="4" w:space="0"/>
              <w:right w:val="single" w:color="000000" w:sz="4" w:space="0"/>
            </w:tcBorders>
            <w:vAlign w:val="center"/>
          </w:tcPr>
          <w:p w14:paraId="5B250F3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5577B9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A951FF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2438F8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4709D5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DF36DE0">
            <w:pPr>
              <w:jc w:val="center"/>
              <w:textAlignment w:val="center"/>
              <w:rPr>
                <w:rFonts w:ascii="仿宋" w:hAnsi="仿宋" w:eastAsia="仿宋" w:cs="仿宋"/>
                <w:color w:val="auto"/>
                <w:highlight w:val="none"/>
              </w:rPr>
            </w:pPr>
          </w:p>
        </w:tc>
      </w:tr>
      <w:tr w14:paraId="049662C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F972ED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104</w:t>
            </w:r>
          </w:p>
        </w:tc>
        <w:tc>
          <w:tcPr>
            <w:tcW w:w="1843" w:type="dxa"/>
            <w:tcBorders>
              <w:top w:val="single" w:color="000000" w:sz="4" w:space="0"/>
              <w:left w:val="single" w:color="000000" w:sz="4" w:space="0"/>
              <w:bottom w:val="single" w:color="000000" w:sz="4" w:space="0"/>
              <w:right w:val="single" w:color="000000" w:sz="4" w:space="0"/>
            </w:tcBorders>
            <w:vAlign w:val="center"/>
          </w:tcPr>
          <w:p w14:paraId="4513189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钢卷尺</w:t>
            </w:r>
          </w:p>
        </w:tc>
        <w:tc>
          <w:tcPr>
            <w:tcW w:w="1180" w:type="dxa"/>
            <w:tcBorders>
              <w:top w:val="single" w:color="000000" w:sz="4" w:space="0"/>
              <w:left w:val="single" w:color="000000" w:sz="4" w:space="0"/>
              <w:bottom w:val="single" w:color="000000" w:sz="4" w:space="0"/>
              <w:right w:val="single" w:color="000000" w:sz="4" w:space="0"/>
            </w:tcBorders>
            <w:vAlign w:val="center"/>
          </w:tcPr>
          <w:p w14:paraId="5DEB393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D84CB8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95ED3A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BAFF46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4CEA095">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CC49222">
            <w:pPr>
              <w:jc w:val="center"/>
              <w:textAlignment w:val="center"/>
              <w:rPr>
                <w:rFonts w:ascii="仿宋" w:hAnsi="仿宋" w:eastAsia="仿宋" w:cs="仿宋"/>
                <w:color w:val="auto"/>
                <w:highlight w:val="none"/>
              </w:rPr>
            </w:pPr>
          </w:p>
        </w:tc>
      </w:tr>
      <w:tr w14:paraId="6B396AD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B059B6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105</w:t>
            </w:r>
          </w:p>
        </w:tc>
        <w:tc>
          <w:tcPr>
            <w:tcW w:w="1843" w:type="dxa"/>
            <w:tcBorders>
              <w:top w:val="single" w:color="000000" w:sz="4" w:space="0"/>
              <w:left w:val="single" w:color="000000" w:sz="4" w:space="0"/>
              <w:bottom w:val="single" w:color="000000" w:sz="4" w:space="0"/>
              <w:right w:val="single" w:color="000000" w:sz="4" w:space="0"/>
            </w:tcBorders>
            <w:vAlign w:val="center"/>
          </w:tcPr>
          <w:p w14:paraId="03ECFB0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游标卡尺</w:t>
            </w:r>
          </w:p>
        </w:tc>
        <w:tc>
          <w:tcPr>
            <w:tcW w:w="1180" w:type="dxa"/>
            <w:tcBorders>
              <w:top w:val="single" w:color="000000" w:sz="4" w:space="0"/>
              <w:left w:val="single" w:color="000000" w:sz="4" w:space="0"/>
              <w:bottom w:val="single" w:color="000000" w:sz="4" w:space="0"/>
              <w:right w:val="single" w:color="000000" w:sz="4" w:space="0"/>
            </w:tcBorders>
            <w:vAlign w:val="center"/>
          </w:tcPr>
          <w:p w14:paraId="113AAE4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E8281F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7B13A5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995CB9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C6C1946">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5BAC463">
            <w:pPr>
              <w:jc w:val="center"/>
              <w:textAlignment w:val="center"/>
              <w:rPr>
                <w:rFonts w:ascii="仿宋" w:hAnsi="仿宋" w:eastAsia="仿宋" w:cs="仿宋"/>
                <w:color w:val="auto"/>
                <w:highlight w:val="none"/>
              </w:rPr>
            </w:pPr>
          </w:p>
        </w:tc>
      </w:tr>
      <w:tr w14:paraId="1FF3F6B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2E886E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106</w:t>
            </w:r>
          </w:p>
        </w:tc>
        <w:tc>
          <w:tcPr>
            <w:tcW w:w="1843" w:type="dxa"/>
            <w:tcBorders>
              <w:top w:val="single" w:color="000000" w:sz="4" w:space="0"/>
              <w:left w:val="single" w:color="000000" w:sz="4" w:space="0"/>
              <w:bottom w:val="single" w:color="000000" w:sz="4" w:space="0"/>
              <w:right w:val="single" w:color="000000" w:sz="4" w:space="0"/>
            </w:tcBorders>
            <w:vAlign w:val="center"/>
          </w:tcPr>
          <w:p w14:paraId="56CEC54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游标卡尺</w:t>
            </w:r>
          </w:p>
        </w:tc>
        <w:tc>
          <w:tcPr>
            <w:tcW w:w="1180" w:type="dxa"/>
            <w:tcBorders>
              <w:top w:val="single" w:color="000000" w:sz="4" w:space="0"/>
              <w:left w:val="single" w:color="000000" w:sz="4" w:space="0"/>
              <w:bottom w:val="single" w:color="000000" w:sz="4" w:space="0"/>
              <w:right w:val="single" w:color="000000" w:sz="4" w:space="0"/>
            </w:tcBorders>
            <w:vAlign w:val="center"/>
          </w:tcPr>
          <w:p w14:paraId="43A483D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C5D98C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38A912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5DECEB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8F2AA5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B2CDC0D">
            <w:pPr>
              <w:jc w:val="center"/>
              <w:textAlignment w:val="center"/>
              <w:rPr>
                <w:rFonts w:ascii="仿宋" w:hAnsi="仿宋" w:eastAsia="仿宋" w:cs="仿宋"/>
                <w:color w:val="auto"/>
                <w:highlight w:val="none"/>
              </w:rPr>
            </w:pPr>
          </w:p>
        </w:tc>
      </w:tr>
      <w:tr w14:paraId="5A3B93A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AB2916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107</w:t>
            </w:r>
          </w:p>
        </w:tc>
        <w:tc>
          <w:tcPr>
            <w:tcW w:w="1843" w:type="dxa"/>
            <w:tcBorders>
              <w:top w:val="single" w:color="000000" w:sz="4" w:space="0"/>
              <w:left w:val="single" w:color="000000" w:sz="4" w:space="0"/>
              <w:bottom w:val="single" w:color="000000" w:sz="4" w:space="0"/>
              <w:right w:val="single" w:color="000000" w:sz="4" w:space="0"/>
            </w:tcBorders>
            <w:vAlign w:val="center"/>
          </w:tcPr>
          <w:p w14:paraId="7D974A8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外径千分尺</w:t>
            </w:r>
          </w:p>
        </w:tc>
        <w:tc>
          <w:tcPr>
            <w:tcW w:w="1180" w:type="dxa"/>
            <w:tcBorders>
              <w:top w:val="single" w:color="000000" w:sz="4" w:space="0"/>
              <w:left w:val="single" w:color="000000" w:sz="4" w:space="0"/>
              <w:bottom w:val="single" w:color="000000" w:sz="4" w:space="0"/>
              <w:right w:val="single" w:color="000000" w:sz="4" w:space="0"/>
            </w:tcBorders>
            <w:vAlign w:val="center"/>
          </w:tcPr>
          <w:p w14:paraId="17C0D32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1A4723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FB066C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4DCDD6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BDE927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5ECC012">
            <w:pPr>
              <w:jc w:val="center"/>
              <w:textAlignment w:val="center"/>
              <w:rPr>
                <w:rFonts w:ascii="仿宋" w:hAnsi="仿宋" w:eastAsia="仿宋" w:cs="仿宋"/>
                <w:color w:val="auto"/>
                <w:highlight w:val="none"/>
              </w:rPr>
            </w:pPr>
          </w:p>
        </w:tc>
      </w:tr>
      <w:tr w14:paraId="300DD4D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08471E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108</w:t>
            </w:r>
          </w:p>
        </w:tc>
        <w:tc>
          <w:tcPr>
            <w:tcW w:w="1843" w:type="dxa"/>
            <w:tcBorders>
              <w:top w:val="single" w:color="000000" w:sz="4" w:space="0"/>
              <w:left w:val="single" w:color="000000" w:sz="4" w:space="0"/>
              <w:bottom w:val="single" w:color="000000" w:sz="4" w:space="0"/>
              <w:right w:val="single" w:color="000000" w:sz="4" w:space="0"/>
            </w:tcBorders>
            <w:vAlign w:val="center"/>
          </w:tcPr>
          <w:p w14:paraId="7C5C55E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数显游标卡尺</w:t>
            </w:r>
          </w:p>
        </w:tc>
        <w:tc>
          <w:tcPr>
            <w:tcW w:w="1180" w:type="dxa"/>
            <w:tcBorders>
              <w:top w:val="single" w:color="000000" w:sz="4" w:space="0"/>
              <w:left w:val="single" w:color="000000" w:sz="4" w:space="0"/>
              <w:bottom w:val="single" w:color="000000" w:sz="4" w:space="0"/>
              <w:right w:val="single" w:color="000000" w:sz="4" w:space="0"/>
            </w:tcBorders>
            <w:vAlign w:val="center"/>
          </w:tcPr>
          <w:p w14:paraId="065CF64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604053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45AD2E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00FEC2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55B872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052BFF3">
            <w:pPr>
              <w:jc w:val="center"/>
              <w:textAlignment w:val="center"/>
              <w:rPr>
                <w:rFonts w:ascii="仿宋" w:hAnsi="仿宋" w:eastAsia="仿宋" w:cs="仿宋"/>
                <w:color w:val="auto"/>
                <w:highlight w:val="none"/>
              </w:rPr>
            </w:pPr>
          </w:p>
        </w:tc>
      </w:tr>
      <w:tr w14:paraId="0E8DCDF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78E6A6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109</w:t>
            </w:r>
          </w:p>
        </w:tc>
        <w:tc>
          <w:tcPr>
            <w:tcW w:w="1843" w:type="dxa"/>
            <w:tcBorders>
              <w:top w:val="single" w:color="000000" w:sz="4" w:space="0"/>
              <w:left w:val="single" w:color="000000" w:sz="4" w:space="0"/>
              <w:bottom w:val="single" w:color="000000" w:sz="4" w:space="0"/>
              <w:right w:val="single" w:color="000000" w:sz="4" w:space="0"/>
            </w:tcBorders>
            <w:vAlign w:val="center"/>
          </w:tcPr>
          <w:p w14:paraId="6490BF9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电子天平</w:t>
            </w:r>
          </w:p>
        </w:tc>
        <w:tc>
          <w:tcPr>
            <w:tcW w:w="1180" w:type="dxa"/>
            <w:tcBorders>
              <w:top w:val="single" w:color="000000" w:sz="4" w:space="0"/>
              <w:left w:val="single" w:color="000000" w:sz="4" w:space="0"/>
              <w:bottom w:val="single" w:color="000000" w:sz="4" w:space="0"/>
              <w:right w:val="single" w:color="000000" w:sz="4" w:space="0"/>
            </w:tcBorders>
            <w:vAlign w:val="center"/>
          </w:tcPr>
          <w:p w14:paraId="011BF61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E7AAD8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9C1C28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78920B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F3C512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3BCCCBB">
            <w:pPr>
              <w:jc w:val="center"/>
              <w:textAlignment w:val="center"/>
              <w:rPr>
                <w:rFonts w:ascii="仿宋" w:hAnsi="仿宋" w:eastAsia="仿宋" w:cs="仿宋"/>
                <w:color w:val="auto"/>
                <w:highlight w:val="none"/>
              </w:rPr>
            </w:pPr>
          </w:p>
        </w:tc>
      </w:tr>
      <w:tr w14:paraId="6FCE90C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916605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110</w:t>
            </w:r>
          </w:p>
        </w:tc>
        <w:tc>
          <w:tcPr>
            <w:tcW w:w="1843" w:type="dxa"/>
            <w:tcBorders>
              <w:top w:val="single" w:color="000000" w:sz="4" w:space="0"/>
              <w:left w:val="single" w:color="000000" w:sz="4" w:space="0"/>
              <w:bottom w:val="single" w:color="000000" w:sz="4" w:space="0"/>
              <w:right w:val="single" w:color="000000" w:sz="4" w:space="0"/>
            </w:tcBorders>
            <w:vAlign w:val="center"/>
          </w:tcPr>
          <w:p w14:paraId="3506174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电子天平</w:t>
            </w:r>
          </w:p>
        </w:tc>
        <w:tc>
          <w:tcPr>
            <w:tcW w:w="1180" w:type="dxa"/>
            <w:tcBorders>
              <w:top w:val="single" w:color="000000" w:sz="4" w:space="0"/>
              <w:left w:val="single" w:color="000000" w:sz="4" w:space="0"/>
              <w:bottom w:val="single" w:color="000000" w:sz="4" w:space="0"/>
              <w:right w:val="single" w:color="000000" w:sz="4" w:space="0"/>
            </w:tcBorders>
            <w:vAlign w:val="center"/>
          </w:tcPr>
          <w:p w14:paraId="01FDF4A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091412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37F576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AD6365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5E8F83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1692F16">
            <w:pPr>
              <w:jc w:val="center"/>
              <w:textAlignment w:val="center"/>
              <w:rPr>
                <w:rFonts w:ascii="仿宋" w:hAnsi="仿宋" w:eastAsia="仿宋" w:cs="仿宋"/>
                <w:color w:val="auto"/>
                <w:highlight w:val="none"/>
              </w:rPr>
            </w:pPr>
          </w:p>
        </w:tc>
      </w:tr>
      <w:tr w14:paraId="7F81157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A12695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111</w:t>
            </w:r>
          </w:p>
        </w:tc>
        <w:tc>
          <w:tcPr>
            <w:tcW w:w="1843" w:type="dxa"/>
            <w:tcBorders>
              <w:top w:val="single" w:color="000000" w:sz="4" w:space="0"/>
              <w:left w:val="single" w:color="000000" w:sz="4" w:space="0"/>
              <w:bottom w:val="single" w:color="000000" w:sz="4" w:space="0"/>
              <w:right w:val="single" w:color="000000" w:sz="4" w:space="0"/>
            </w:tcBorders>
            <w:vAlign w:val="center"/>
          </w:tcPr>
          <w:p w14:paraId="62F9170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金属槽码</w:t>
            </w:r>
          </w:p>
        </w:tc>
        <w:tc>
          <w:tcPr>
            <w:tcW w:w="1180" w:type="dxa"/>
            <w:tcBorders>
              <w:top w:val="single" w:color="000000" w:sz="4" w:space="0"/>
              <w:left w:val="single" w:color="000000" w:sz="4" w:space="0"/>
              <w:bottom w:val="single" w:color="000000" w:sz="4" w:space="0"/>
              <w:right w:val="single" w:color="000000" w:sz="4" w:space="0"/>
            </w:tcBorders>
            <w:vAlign w:val="center"/>
          </w:tcPr>
          <w:p w14:paraId="2C4F8B8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2315CB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18477A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907898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F77485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42CF603">
            <w:pPr>
              <w:jc w:val="center"/>
              <w:textAlignment w:val="center"/>
              <w:rPr>
                <w:rFonts w:ascii="仿宋" w:hAnsi="仿宋" w:eastAsia="仿宋" w:cs="仿宋"/>
                <w:color w:val="auto"/>
                <w:highlight w:val="none"/>
              </w:rPr>
            </w:pPr>
          </w:p>
        </w:tc>
      </w:tr>
      <w:tr w14:paraId="2F59B80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44D7B0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112</w:t>
            </w:r>
          </w:p>
        </w:tc>
        <w:tc>
          <w:tcPr>
            <w:tcW w:w="1843" w:type="dxa"/>
            <w:tcBorders>
              <w:top w:val="single" w:color="000000" w:sz="4" w:space="0"/>
              <w:left w:val="single" w:color="000000" w:sz="4" w:space="0"/>
              <w:bottom w:val="single" w:color="000000" w:sz="4" w:space="0"/>
              <w:right w:val="single" w:color="000000" w:sz="4" w:space="0"/>
            </w:tcBorders>
            <w:vAlign w:val="center"/>
          </w:tcPr>
          <w:p w14:paraId="7D3831D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数字计时器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135521F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E57B6D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BBF3F6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BEA4EC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3829B6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AB06679">
            <w:pPr>
              <w:jc w:val="center"/>
              <w:textAlignment w:val="center"/>
              <w:rPr>
                <w:rFonts w:ascii="仿宋" w:hAnsi="仿宋" w:eastAsia="仿宋" w:cs="仿宋"/>
                <w:color w:val="auto"/>
                <w:highlight w:val="none"/>
              </w:rPr>
            </w:pPr>
          </w:p>
        </w:tc>
      </w:tr>
      <w:tr w14:paraId="11D8C2C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2CB6EE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113</w:t>
            </w:r>
          </w:p>
        </w:tc>
        <w:tc>
          <w:tcPr>
            <w:tcW w:w="1843" w:type="dxa"/>
            <w:tcBorders>
              <w:top w:val="single" w:color="000000" w:sz="4" w:space="0"/>
              <w:left w:val="single" w:color="000000" w:sz="4" w:space="0"/>
              <w:bottom w:val="single" w:color="000000" w:sz="4" w:space="0"/>
              <w:right w:val="single" w:color="000000" w:sz="4" w:space="0"/>
            </w:tcBorders>
            <w:vAlign w:val="center"/>
          </w:tcPr>
          <w:p w14:paraId="75BD189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数字计时器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C4ACC6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92EBC2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61BD58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16257C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FC8C61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1177239">
            <w:pPr>
              <w:jc w:val="center"/>
              <w:textAlignment w:val="center"/>
              <w:rPr>
                <w:rFonts w:ascii="仿宋" w:hAnsi="仿宋" w:eastAsia="仿宋" w:cs="仿宋"/>
                <w:color w:val="auto"/>
                <w:highlight w:val="none"/>
              </w:rPr>
            </w:pPr>
          </w:p>
        </w:tc>
      </w:tr>
      <w:tr w14:paraId="06978B6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FEF79F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114</w:t>
            </w:r>
          </w:p>
        </w:tc>
        <w:tc>
          <w:tcPr>
            <w:tcW w:w="1843" w:type="dxa"/>
            <w:tcBorders>
              <w:top w:val="single" w:color="000000" w:sz="4" w:space="0"/>
              <w:left w:val="single" w:color="000000" w:sz="4" w:space="0"/>
              <w:bottom w:val="single" w:color="000000" w:sz="4" w:space="0"/>
              <w:right w:val="single" w:color="000000" w:sz="4" w:space="0"/>
            </w:tcBorders>
            <w:vAlign w:val="center"/>
          </w:tcPr>
          <w:p w14:paraId="0501E8A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频闪光源</w:t>
            </w:r>
          </w:p>
        </w:tc>
        <w:tc>
          <w:tcPr>
            <w:tcW w:w="1180" w:type="dxa"/>
            <w:tcBorders>
              <w:top w:val="single" w:color="000000" w:sz="4" w:space="0"/>
              <w:left w:val="single" w:color="000000" w:sz="4" w:space="0"/>
              <w:bottom w:val="single" w:color="000000" w:sz="4" w:space="0"/>
              <w:right w:val="single" w:color="000000" w:sz="4" w:space="0"/>
            </w:tcBorders>
            <w:vAlign w:val="center"/>
          </w:tcPr>
          <w:p w14:paraId="022FAE2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D532A0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11B837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C0AC59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25A8745">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FC3F5DA">
            <w:pPr>
              <w:jc w:val="center"/>
              <w:textAlignment w:val="center"/>
              <w:rPr>
                <w:rFonts w:ascii="仿宋" w:hAnsi="仿宋" w:eastAsia="仿宋" w:cs="仿宋"/>
                <w:color w:val="auto"/>
                <w:highlight w:val="none"/>
              </w:rPr>
            </w:pPr>
          </w:p>
        </w:tc>
      </w:tr>
      <w:tr w14:paraId="5637479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882CDA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115</w:t>
            </w:r>
          </w:p>
        </w:tc>
        <w:tc>
          <w:tcPr>
            <w:tcW w:w="1843" w:type="dxa"/>
            <w:tcBorders>
              <w:top w:val="single" w:color="000000" w:sz="4" w:space="0"/>
              <w:left w:val="single" w:color="000000" w:sz="4" w:space="0"/>
              <w:bottom w:val="single" w:color="000000" w:sz="4" w:space="0"/>
              <w:right w:val="single" w:color="000000" w:sz="4" w:space="0"/>
            </w:tcBorders>
            <w:vAlign w:val="center"/>
          </w:tcPr>
          <w:p w14:paraId="19EA1DC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节拍器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22333C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DC94D7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33D45C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5F6CA3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A7FCBC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6A75E10">
            <w:pPr>
              <w:jc w:val="center"/>
              <w:textAlignment w:val="center"/>
              <w:rPr>
                <w:rFonts w:ascii="仿宋" w:hAnsi="仿宋" w:eastAsia="仿宋" w:cs="仿宋"/>
                <w:color w:val="auto"/>
                <w:highlight w:val="none"/>
              </w:rPr>
            </w:pPr>
          </w:p>
        </w:tc>
      </w:tr>
      <w:tr w14:paraId="1ED048D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3A92A4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116</w:t>
            </w:r>
          </w:p>
        </w:tc>
        <w:tc>
          <w:tcPr>
            <w:tcW w:w="1843" w:type="dxa"/>
            <w:tcBorders>
              <w:top w:val="single" w:color="000000" w:sz="4" w:space="0"/>
              <w:left w:val="single" w:color="000000" w:sz="4" w:space="0"/>
              <w:bottom w:val="single" w:color="000000" w:sz="4" w:space="0"/>
              <w:right w:val="single" w:color="000000" w:sz="4" w:space="0"/>
            </w:tcBorders>
            <w:vAlign w:val="center"/>
          </w:tcPr>
          <w:p w14:paraId="5D041AC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沙漏</w:t>
            </w:r>
          </w:p>
        </w:tc>
        <w:tc>
          <w:tcPr>
            <w:tcW w:w="1180" w:type="dxa"/>
            <w:tcBorders>
              <w:top w:val="single" w:color="000000" w:sz="4" w:space="0"/>
              <w:left w:val="single" w:color="000000" w:sz="4" w:space="0"/>
              <w:bottom w:val="single" w:color="000000" w:sz="4" w:space="0"/>
              <w:right w:val="single" w:color="000000" w:sz="4" w:space="0"/>
            </w:tcBorders>
            <w:vAlign w:val="center"/>
          </w:tcPr>
          <w:p w14:paraId="31ED710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9281BA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111816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3C638C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6083256">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8E1A28A">
            <w:pPr>
              <w:jc w:val="center"/>
              <w:textAlignment w:val="center"/>
              <w:rPr>
                <w:rFonts w:ascii="仿宋" w:hAnsi="仿宋" w:eastAsia="仿宋" w:cs="仿宋"/>
                <w:color w:val="auto"/>
                <w:highlight w:val="none"/>
              </w:rPr>
            </w:pPr>
          </w:p>
        </w:tc>
      </w:tr>
      <w:tr w14:paraId="6415617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F152B9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117</w:t>
            </w:r>
          </w:p>
        </w:tc>
        <w:tc>
          <w:tcPr>
            <w:tcW w:w="1843" w:type="dxa"/>
            <w:tcBorders>
              <w:top w:val="single" w:color="000000" w:sz="4" w:space="0"/>
              <w:left w:val="single" w:color="000000" w:sz="4" w:space="0"/>
              <w:bottom w:val="single" w:color="000000" w:sz="4" w:space="0"/>
              <w:right w:val="single" w:color="000000" w:sz="4" w:space="0"/>
            </w:tcBorders>
            <w:vAlign w:val="center"/>
          </w:tcPr>
          <w:p w14:paraId="5F36062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数字测温计</w:t>
            </w:r>
          </w:p>
        </w:tc>
        <w:tc>
          <w:tcPr>
            <w:tcW w:w="1180" w:type="dxa"/>
            <w:tcBorders>
              <w:top w:val="single" w:color="000000" w:sz="4" w:space="0"/>
              <w:left w:val="single" w:color="000000" w:sz="4" w:space="0"/>
              <w:bottom w:val="single" w:color="000000" w:sz="4" w:space="0"/>
              <w:right w:val="single" w:color="000000" w:sz="4" w:space="0"/>
            </w:tcBorders>
            <w:vAlign w:val="center"/>
          </w:tcPr>
          <w:p w14:paraId="079C7AD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09D218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AC3001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E8097B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8CE2E9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45CBE4C">
            <w:pPr>
              <w:jc w:val="center"/>
              <w:textAlignment w:val="center"/>
              <w:rPr>
                <w:rFonts w:ascii="仿宋" w:hAnsi="仿宋" w:eastAsia="仿宋" w:cs="仿宋"/>
                <w:color w:val="auto"/>
                <w:highlight w:val="none"/>
              </w:rPr>
            </w:pPr>
          </w:p>
        </w:tc>
      </w:tr>
      <w:tr w14:paraId="328DC77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8CF92E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118</w:t>
            </w:r>
          </w:p>
        </w:tc>
        <w:tc>
          <w:tcPr>
            <w:tcW w:w="1843" w:type="dxa"/>
            <w:tcBorders>
              <w:top w:val="single" w:color="000000" w:sz="4" w:space="0"/>
              <w:left w:val="single" w:color="000000" w:sz="4" w:space="0"/>
              <w:bottom w:val="single" w:color="000000" w:sz="4" w:space="0"/>
              <w:right w:val="single" w:color="000000" w:sz="4" w:space="0"/>
            </w:tcBorders>
            <w:vAlign w:val="center"/>
          </w:tcPr>
          <w:p w14:paraId="3C5E3EB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电子体温计</w:t>
            </w:r>
          </w:p>
        </w:tc>
        <w:tc>
          <w:tcPr>
            <w:tcW w:w="1180" w:type="dxa"/>
            <w:tcBorders>
              <w:top w:val="single" w:color="000000" w:sz="4" w:space="0"/>
              <w:left w:val="single" w:color="000000" w:sz="4" w:space="0"/>
              <w:bottom w:val="single" w:color="000000" w:sz="4" w:space="0"/>
              <w:right w:val="single" w:color="000000" w:sz="4" w:space="0"/>
            </w:tcBorders>
            <w:vAlign w:val="center"/>
          </w:tcPr>
          <w:p w14:paraId="5DD1045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42E33B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C527A3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AE395F6">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F38C61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81FD0C1">
            <w:pPr>
              <w:jc w:val="center"/>
              <w:textAlignment w:val="center"/>
              <w:rPr>
                <w:rFonts w:ascii="仿宋" w:hAnsi="仿宋" w:eastAsia="仿宋" w:cs="仿宋"/>
                <w:color w:val="auto"/>
                <w:highlight w:val="none"/>
              </w:rPr>
            </w:pPr>
          </w:p>
        </w:tc>
      </w:tr>
      <w:tr w14:paraId="39697B8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A7B4E5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119</w:t>
            </w:r>
          </w:p>
        </w:tc>
        <w:tc>
          <w:tcPr>
            <w:tcW w:w="1843" w:type="dxa"/>
            <w:tcBorders>
              <w:top w:val="single" w:color="000000" w:sz="4" w:space="0"/>
              <w:left w:val="single" w:color="000000" w:sz="4" w:space="0"/>
              <w:bottom w:val="single" w:color="000000" w:sz="4" w:space="0"/>
              <w:right w:val="single" w:color="000000" w:sz="4" w:space="0"/>
            </w:tcBorders>
            <w:vAlign w:val="center"/>
          </w:tcPr>
          <w:p w14:paraId="6785BF4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绝缘电阻表</w:t>
            </w:r>
          </w:p>
        </w:tc>
        <w:tc>
          <w:tcPr>
            <w:tcW w:w="1180" w:type="dxa"/>
            <w:tcBorders>
              <w:top w:val="single" w:color="000000" w:sz="4" w:space="0"/>
              <w:left w:val="single" w:color="000000" w:sz="4" w:space="0"/>
              <w:bottom w:val="single" w:color="000000" w:sz="4" w:space="0"/>
              <w:right w:val="single" w:color="000000" w:sz="4" w:space="0"/>
            </w:tcBorders>
            <w:vAlign w:val="center"/>
          </w:tcPr>
          <w:p w14:paraId="21AA50B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8D4C4F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0835E0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AEC056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BA6AF9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3D7A589">
            <w:pPr>
              <w:jc w:val="center"/>
              <w:textAlignment w:val="center"/>
              <w:rPr>
                <w:rFonts w:ascii="仿宋" w:hAnsi="仿宋" w:eastAsia="仿宋" w:cs="仿宋"/>
                <w:color w:val="auto"/>
                <w:highlight w:val="none"/>
              </w:rPr>
            </w:pPr>
          </w:p>
        </w:tc>
      </w:tr>
      <w:tr w14:paraId="13887DA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FEC797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120</w:t>
            </w:r>
          </w:p>
        </w:tc>
        <w:tc>
          <w:tcPr>
            <w:tcW w:w="1843" w:type="dxa"/>
            <w:tcBorders>
              <w:top w:val="single" w:color="000000" w:sz="4" w:space="0"/>
              <w:left w:val="single" w:color="000000" w:sz="4" w:space="0"/>
              <w:bottom w:val="single" w:color="000000" w:sz="4" w:space="0"/>
              <w:right w:val="single" w:color="000000" w:sz="4" w:space="0"/>
            </w:tcBorders>
            <w:vAlign w:val="center"/>
          </w:tcPr>
          <w:p w14:paraId="113167B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多用电表</w:t>
            </w:r>
          </w:p>
        </w:tc>
        <w:tc>
          <w:tcPr>
            <w:tcW w:w="1180" w:type="dxa"/>
            <w:tcBorders>
              <w:top w:val="single" w:color="000000" w:sz="4" w:space="0"/>
              <w:left w:val="single" w:color="000000" w:sz="4" w:space="0"/>
              <w:bottom w:val="single" w:color="000000" w:sz="4" w:space="0"/>
              <w:right w:val="single" w:color="000000" w:sz="4" w:space="0"/>
            </w:tcBorders>
            <w:vAlign w:val="center"/>
          </w:tcPr>
          <w:p w14:paraId="40957A1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A53516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F45150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4CA631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97BB33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12FAF48">
            <w:pPr>
              <w:jc w:val="center"/>
              <w:textAlignment w:val="center"/>
              <w:rPr>
                <w:rFonts w:ascii="仿宋" w:hAnsi="仿宋" w:eastAsia="仿宋" w:cs="仿宋"/>
                <w:color w:val="auto"/>
                <w:highlight w:val="none"/>
              </w:rPr>
            </w:pPr>
          </w:p>
        </w:tc>
      </w:tr>
      <w:tr w14:paraId="16DB6E6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9AFDBB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121</w:t>
            </w:r>
          </w:p>
        </w:tc>
        <w:tc>
          <w:tcPr>
            <w:tcW w:w="1843" w:type="dxa"/>
            <w:tcBorders>
              <w:top w:val="single" w:color="000000" w:sz="4" w:space="0"/>
              <w:left w:val="single" w:color="000000" w:sz="4" w:space="0"/>
              <w:bottom w:val="single" w:color="000000" w:sz="4" w:space="0"/>
              <w:right w:val="single" w:color="000000" w:sz="4" w:space="0"/>
            </w:tcBorders>
            <w:vAlign w:val="center"/>
          </w:tcPr>
          <w:p w14:paraId="22A1D9B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多用电表</w:t>
            </w:r>
          </w:p>
        </w:tc>
        <w:tc>
          <w:tcPr>
            <w:tcW w:w="1180" w:type="dxa"/>
            <w:tcBorders>
              <w:top w:val="single" w:color="000000" w:sz="4" w:space="0"/>
              <w:left w:val="single" w:color="000000" w:sz="4" w:space="0"/>
              <w:bottom w:val="single" w:color="000000" w:sz="4" w:space="0"/>
              <w:right w:val="single" w:color="000000" w:sz="4" w:space="0"/>
            </w:tcBorders>
            <w:vAlign w:val="center"/>
          </w:tcPr>
          <w:p w14:paraId="3809824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A4B600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CD141D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62679F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122C10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C835148">
            <w:pPr>
              <w:jc w:val="center"/>
              <w:textAlignment w:val="center"/>
              <w:rPr>
                <w:rFonts w:ascii="仿宋" w:hAnsi="仿宋" w:eastAsia="仿宋" w:cs="仿宋"/>
                <w:color w:val="auto"/>
                <w:highlight w:val="none"/>
              </w:rPr>
            </w:pPr>
          </w:p>
        </w:tc>
      </w:tr>
      <w:tr w14:paraId="6B35061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3F21DF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122</w:t>
            </w:r>
          </w:p>
        </w:tc>
        <w:tc>
          <w:tcPr>
            <w:tcW w:w="1843" w:type="dxa"/>
            <w:tcBorders>
              <w:top w:val="single" w:color="000000" w:sz="4" w:space="0"/>
              <w:left w:val="single" w:color="000000" w:sz="4" w:space="0"/>
              <w:bottom w:val="single" w:color="000000" w:sz="4" w:space="0"/>
              <w:right w:val="single" w:color="000000" w:sz="4" w:space="0"/>
            </w:tcBorders>
            <w:vAlign w:val="center"/>
          </w:tcPr>
          <w:p w14:paraId="5199B04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多用电表</w:t>
            </w:r>
          </w:p>
        </w:tc>
        <w:tc>
          <w:tcPr>
            <w:tcW w:w="1180" w:type="dxa"/>
            <w:tcBorders>
              <w:top w:val="single" w:color="000000" w:sz="4" w:space="0"/>
              <w:left w:val="single" w:color="000000" w:sz="4" w:space="0"/>
              <w:bottom w:val="single" w:color="000000" w:sz="4" w:space="0"/>
              <w:right w:val="single" w:color="000000" w:sz="4" w:space="0"/>
            </w:tcBorders>
            <w:vAlign w:val="center"/>
          </w:tcPr>
          <w:p w14:paraId="3D34C80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E5C9BF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1A3D50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901A7F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91E8E71">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D3AAEE7">
            <w:pPr>
              <w:jc w:val="center"/>
              <w:textAlignment w:val="center"/>
              <w:rPr>
                <w:rFonts w:ascii="仿宋" w:hAnsi="仿宋" w:eastAsia="仿宋" w:cs="仿宋"/>
                <w:color w:val="auto"/>
                <w:highlight w:val="none"/>
              </w:rPr>
            </w:pPr>
          </w:p>
        </w:tc>
      </w:tr>
      <w:tr w14:paraId="6AF0D5A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436986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123</w:t>
            </w:r>
          </w:p>
        </w:tc>
        <w:tc>
          <w:tcPr>
            <w:tcW w:w="1843" w:type="dxa"/>
            <w:tcBorders>
              <w:top w:val="single" w:color="000000" w:sz="4" w:space="0"/>
              <w:left w:val="single" w:color="000000" w:sz="4" w:space="0"/>
              <w:bottom w:val="single" w:color="000000" w:sz="4" w:space="0"/>
              <w:right w:val="single" w:color="000000" w:sz="4" w:space="0"/>
            </w:tcBorders>
            <w:vAlign w:val="center"/>
          </w:tcPr>
          <w:p w14:paraId="2A8D3D9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交流电流表</w:t>
            </w:r>
          </w:p>
        </w:tc>
        <w:tc>
          <w:tcPr>
            <w:tcW w:w="1180" w:type="dxa"/>
            <w:tcBorders>
              <w:top w:val="single" w:color="000000" w:sz="4" w:space="0"/>
              <w:left w:val="single" w:color="000000" w:sz="4" w:space="0"/>
              <w:bottom w:val="single" w:color="000000" w:sz="4" w:space="0"/>
              <w:right w:val="single" w:color="000000" w:sz="4" w:space="0"/>
            </w:tcBorders>
            <w:vAlign w:val="center"/>
          </w:tcPr>
          <w:p w14:paraId="0BFCA30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7C17C6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ACCC95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98F15E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871646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C657716">
            <w:pPr>
              <w:jc w:val="center"/>
              <w:textAlignment w:val="center"/>
              <w:rPr>
                <w:rFonts w:ascii="仿宋" w:hAnsi="仿宋" w:eastAsia="仿宋" w:cs="仿宋"/>
                <w:color w:val="auto"/>
                <w:highlight w:val="none"/>
              </w:rPr>
            </w:pPr>
          </w:p>
        </w:tc>
      </w:tr>
      <w:tr w14:paraId="0FF9175B">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EE4976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124</w:t>
            </w:r>
          </w:p>
        </w:tc>
        <w:tc>
          <w:tcPr>
            <w:tcW w:w="1843" w:type="dxa"/>
            <w:tcBorders>
              <w:top w:val="single" w:color="000000" w:sz="4" w:space="0"/>
              <w:left w:val="single" w:color="000000" w:sz="4" w:space="0"/>
              <w:bottom w:val="single" w:color="000000" w:sz="4" w:space="0"/>
              <w:right w:val="single" w:color="000000" w:sz="4" w:space="0"/>
            </w:tcBorders>
            <w:vAlign w:val="center"/>
          </w:tcPr>
          <w:p w14:paraId="66A2401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演示电流电压表</w:t>
            </w:r>
          </w:p>
        </w:tc>
        <w:tc>
          <w:tcPr>
            <w:tcW w:w="1180" w:type="dxa"/>
            <w:tcBorders>
              <w:top w:val="single" w:color="000000" w:sz="4" w:space="0"/>
              <w:left w:val="single" w:color="000000" w:sz="4" w:space="0"/>
              <w:bottom w:val="single" w:color="000000" w:sz="4" w:space="0"/>
              <w:right w:val="single" w:color="000000" w:sz="4" w:space="0"/>
            </w:tcBorders>
            <w:vAlign w:val="center"/>
          </w:tcPr>
          <w:p w14:paraId="16CE68C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1017E9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69F316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D30EA2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B0C84AF">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AF89392">
            <w:pPr>
              <w:jc w:val="center"/>
              <w:textAlignment w:val="center"/>
              <w:rPr>
                <w:rFonts w:ascii="仿宋" w:hAnsi="仿宋" w:eastAsia="仿宋" w:cs="仿宋"/>
                <w:color w:val="auto"/>
                <w:highlight w:val="none"/>
              </w:rPr>
            </w:pPr>
          </w:p>
        </w:tc>
      </w:tr>
      <w:tr w14:paraId="4068F0F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D621E0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125</w:t>
            </w:r>
          </w:p>
        </w:tc>
        <w:tc>
          <w:tcPr>
            <w:tcW w:w="1843" w:type="dxa"/>
            <w:tcBorders>
              <w:top w:val="single" w:color="000000" w:sz="4" w:space="0"/>
              <w:left w:val="single" w:color="000000" w:sz="4" w:space="0"/>
              <w:bottom w:val="single" w:color="000000" w:sz="4" w:space="0"/>
              <w:right w:val="single" w:color="000000" w:sz="4" w:space="0"/>
            </w:tcBorders>
            <w:vAlign w:val="center"/>
          </w:tcPr>
          <w:p w14:paraId="71E361C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演示微电流电阻表</w:t>
            </w:r>
          </w:p>
        </w:tc>
        <w:tc>
          <w:tcPr>
            <w:tcW w:w="1180" w:type="dxa"/>
            <w:tcBorders>
              <w:top w:val="single" w:color="000000" w:sz="4" w:space="0"/>
              <w:left w:val="single" w:color="000000" w:sz="4" w:space="0"/>
              <w:bottom w:val="single" w:color="000000" w:sz="4" w:space="0"/>
              <w:right w:val="single" w:color="000000" w:sz="4" w:space="0"/>
            </w:tcBorders>
            <w:vAlign w:val="center"/>
          </w:tcPr>
          <w:p w14:paraId="50EC39B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C16618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BAE35D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99F18C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A14E25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F891A22">
            <w:pPr>
              <w:jc w:val="center"/>
              <w:textAlignment w:val="center"/>
              <w:rPr>
                <w:rFonts w:ascii="仿宋" w:hAnsi="仿宋" w:eastAsia="仿宋" w:cs="仿宋"/>
                <w:color w:val="auto"/>
                <w:highlight w:val="none"/>
              </w:rPr>
            </w:pPr>
          </w:p>
        </w:tc>
      </w:tr>
      <w:tr w14:paraId="0E3A0DD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A46979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126</w:t>
            </w:r>
          </w:p>
        </w:tc>
        <w:tc>
          <w:tcPr>
            <w:tcW w:w="1843" w:type="dxa"/>
            <w:tcBorders>
              <w:top w:val="single" w:color="000000" w:sz="4" w:space="0"/>
              <w:left w:val="single" w:color="000000" w:sz="4" w:space="0"/>
              <w:bottom w:val="single" w:color="000000" w:sz="4" w:space="0"/>
              <w:right w:val="single" w:color="000000" w:sz="4" w:space="0"/>
            </w:tcBorders>
            <w:vAlign w:val="center"/>
          </w:tcPr>
          <w:p w14:paraId="0542929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教学示波器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397E4FF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F321AA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E564E0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FD35C6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6DF6135">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59E2AE5">
            <w:pPr>
              <w:jc w:val="center"/>
              <w:textAlignment w:val="center"/>
              <w:rPr>
                <w:rFonts w:ascii="仿宋" w:hAnsi="仿宋" w:eastAsia="仿宋" w:cs="仿宋"/>
                <w:color w:val="auto"/>
                <w:highlight w:val="none"/>
              </w:rPr>
            </w:pPr>
          </w:p>
        </w:tc>
      </w:tr>
      <w:tr w14:paraId="356EDE1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60450D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127</w:t>
            </w:r>
          </w:p>
        </w:tc>
        <w:tc>
          <w:tcPr>
            <w:tcW w:w="1843" w:type="dxa"/>
            <w:tcBorders>
              <w:top w:val="single" w:color="000000" w:sz="4" w:space="0"/>
              <w:left w:val="single" w:color="000000" w:sz="4" w:space="0"/>
              <w:bottom w:val="single" w:color="000000" w:sz="4" w:space="0"/>
              <w:right w:val="single" w:color="000000" w:sz="4" w:space="0"/>
            </w:tcBorders>
            <w:vAlign w:val="center"/>
          </w:tcPr>
          <w:p w14:paraId="04EE552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示波器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1BC434C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8A21B1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D9973E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CD5199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51270E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17CB634">
            <w:pPr>
              <w:jc w:val="center"/>
              <w:textAlignment w:val="center"/>
              <w:rPr>
                <w:rFonts w:ascii="仿宋" w:hAnsi="仿宋" w:eastAsia="仿宋" w:cs="仿宋"/>
                <w:color w:val="auto"/>
                <w:highlight w:val="none"/>
              </w:rPr>
            </w:pPr>
          </w:p>
        </w:tc>
      </w:tr>
      <w:tr w14:paraId="6215D6E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6665CB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128</w:t>
            </w:r>
          </w:p>
        </w:tc>
        <w:tc>
          <w:tcPr>
            <w:tcW w:w="1843" w:type="dxa"/>
            <w:tcBorders>
              <w:top w:val="single" w:color="000000" w:sz="4" w:space="0"/>
              <w:left w:val="single" w:color="000000" w:sz="4" w:space="0"/>
              <w:bottom w:val="single" w:color="000000" w:sz="4" w:space="0"/>
              <w:right w:val="single" w:color="000000" w:sz="4" w:space="0"/>
            </w:tcBorders>
            <w:vAlign w:val="center"/>
          </w:tcPr>
          <w:p w14:paraId="6EED9C3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电阻箱</w:t>
            </w:r>
          </w:p>
        </w:tc>
        <w:tc>
          <w:tcPr>
            <w:tcW w:w="1180" w:type="dxa"/>
            <w:tcBorders>
              <w:top w:val="single" w:color="000000" w:sz="4" w:space="0"/>
              <w:left w:val="single" w:color="000000" w:sz="4" w:space="0"/>
              <w:bottom w:val="single" w:color="000000" w:sz="4" w:space="0"/>
              <w:right w:val="single" w:color="000000" w:sz="4" w:space="0"/>
            </w:tcBorders>
            <w:vAlign w:val="center"/>
          </w:tcPr>
          <w:p w14:paraId="5BDF4A6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1D10EE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DF2A6F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78AB8E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8AFB5C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318A6B3">
            <w:pPr>
              <w:jc w:val="center"/>
              <w:textAlignment w:val="center"/>
              <w:rPr>
                <w:rFonts w:ascii="仿宋" w:hAnsi="仿宋" w:eastAsia="仿宋" w:cs="仿宋"/>
                <w:color w:val="auto"/>
                <w:highlight w:val="none"/>
              </w:rPr>
            </w:pPr>
          </w:p>
        </w:tc>
      </w:tr>
      <w:tr w14:paraId="1CD4AE9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2AC715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129</w:t>
            </w:r>
          </w:p>
        </w:tc>
        <w:tc>
          <w:tcPr>
            <w:tcW w:w="1843" w:type="dxa"/>
            <w:tcBorders>
              <w:top w:val="single" w:color="000000" w:sz="4" w:space="0"/>
              <w:left w:val="single" w:color="000000" w:sz="4" w:space="0"/>
              <w:bottom w:val="single" w:color="000000" w:sz="4" w:space="0"/>
              <w:right w:val="single" w:color="000000" w:sz="4" w:space="0"/>
            </w:tcBorders>
            <w:vAlign w:val="center"/>
          </w:tcPr>
          <w:p w14:paraId="609F32C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电阻箱</w:t>
            </w:r>
          </w:p>
        </w:tc>
        <w:tc>
          <w:tcPr>
            <w:tcW w:w="1180" w:type="dxa"/>
            <w:tcBorders>
              <w:top w:val="single" w:color="000000" w:sz="4" w:space="0"/>
              <w:left w:val="single" w:color="000000" w:sz="4" w:space="0"/>
              <w:bottom w:val="single" w:color="000000" w:sz="4" w:space="0"/>
              <w:right w:val="single" w:color="000000" w:sz="4" w:space="0"/>
            </w:tcBorders>
            <w:vAlign w:val="center"/>
          </w:tcPr>
          <w:p w14:paraId="073E102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F5C790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A6E2D3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A8D8BF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A02410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9A58B35">
            <w:pPr>
              <w:jc w:val="center"/>
              <w:textAlignment w:val="center"/>
              <w:rPr>
                <w:rFonts w:ascii="仿宋" w:hAnsi="仿宋" w:eastAsia="仿宋" w:cs="仿宋"/>
                <w:color w:val="auto"/>
                <w:highlight w:val="none"/>
              </w:rPr>
            </w:pPr>
          </w:p>
        </w:tc>
      </w:tr>
      <w:tr w14:paraId="7B8F992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C70EFC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130</w:t>
            </w:r>
          </w:p>
        </w:tc>
        <w:tc>
          <w:tcPr>
            <w:tcW w:w="1843" w:type="dxa"/>
            <w:tcBorders>
              <w:top w:val="single" w:color="000000" w:sz="4" w:space="0"/>
              <w:left w:val="single" w:color="000000" w:sz="4" w:space="0"/>
              <w:bottom w:val="single" w:color="000000" w:sz="4" w:space="0"/>
              <w:right w:val="single" w:color="000000" w:sz="4" w:space="0"/>
            </w:tcBorders>
            <w:vAlign w:val="center"/>
          </w:tcPr>
          <w:p w14:paraId="1BDC8DD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微电流放大器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3DBCEAB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DE704D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854012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3B6EF5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E4495B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D3D6848">
            <w:pPr>
              <w:jc w:val="center"/>
              <w:textAlignment w:val="center"/>
              <w:rPr>
                <w:rFonts w:ascii="仿宋" w:hAnsi="仿宋" w:eastAsia="仿宋" w:cs="仿宋"/>
                <w:color w:val="auto"/>
                <w:highlight w:val="none"/>
              </w:rPr>
            </w:pPr>
          </w:p>
        </w:tc>
      </w:tr>
      <w:tr w14:paraId="03573225">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516F5A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131</w:t>
            </w:r>
          </w:p>
        </w:tc>
        <w:tc>
          <w:tcPr>
            <w:tcW w:w="1843" w:type="dxa"/>
            <w:tcBorders>
              <w:top w:val="single" w:color="000000" w:sz="4" w:space="0"/>
              <w:left w:val="single" w:color="000000" w:sz="4" w:space="0"/>
              <w:bottom w:val="single" w:color="000000" w:sz="4" w:space="0"/>
              <w:right w:val="single" w:color="000000" w:sz="4" w:space="0"/>
            </w:tcBorders>
            <w:vAlign w:val="center"/>
          </w:tcPr>
          <w:p w14:paraId="20020EC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湿度计</w:t>
            </w:r>
          </w:p>
        </w:tc>
        <w:tc>
          <w:tcPr>
            <w:tcW w:w="1180" w:type="dxa"/>
            <w:tcBorders>
              <w:top w:val="single" w:color="000000" w:sz="4" w:space="0"/>
              <w:left w:val="single" w:color="000000" w:sz="4" w:space="0"/>
              <w:bottom w:val="single" w:color="000000" w:sz="4" w:space="0"/>
              <w:right w:val="single" w:color="000000" w:sz="4" w:space="0"/>
            </w:tcBorders>
            <w:vAlign w:val="center"/>
          </w:tcPr>
          <w:p w14:paraId="208D42A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13E57B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BCC549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6A688F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A26BEBF">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5744D21">
            <w:pPr>
              <w:jc w:val="center"/>
              <w:textAlignment w:val="center"/>
              <w:rPr>
                <w:rFonts w:ascii="仿宋" w:hAnsi="仿宋" w:eastAsia="仿宋" w:cs="仿宋"/>
                <w:color w:val="auto"/>
                <w:highlight w:val="none"/>
              </w:rPr>
            </w:pPr>
          </w:p>
        </w:tc>
      </w:tr>
      <w:tr w14:paraId="13B97E8B">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D8CA12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132</w:t>
            </w:r>
          </w:p>
        </w:tc>
        <w:tc>
          <w:tcPr>
            <w:tcW w:w="1843" w:type="dxa"/>
            <w:tcBorders>
              <w:top w:val="single" w:color="000000" w:sz="4" w:space="0"/>
              <w:left w:val="single" w:color="000000" w:sz="4" w:space="0"/>
              <w:bottom w:val="single" w:color="000000" w:sz="4" w:space="0"/>
              <w:right w:val="single" w:color="000000" w:sz="4" w:space="0"/>
            </w:tcBorders>
            <w:vAlign w:val="center"/>
          </w:tcPr>
          <w:p w14:paraId="4AB633C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空盒气压表</w:t>
            </w:r>
          </w:p>
        </w:tc>
        <w:tc>
          <w:tcPr>
            <w:tcW w:w="1180" w:type="dxa"/>
            <w:tcBorders>
              <w:top w:val="single" w:color="000000" w:sz="4" w:space="0"/>
              <w:left w:val="single" w:color="000000" w:sz="4" w:space="0"/>
              <w:bottom w:val="single" w:color="000000" w:sz="4" w:space="0"/>
              <w:right w:val="single" w:color="000000" w:sz="4" w:space="0"/>
            </w:tcBorders>
            <w:vAlign w:val="center"/>
          </w:tcPr>
          <w:p w14:paraId="57ED3D0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3CAA80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F35D13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EB7F1E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524523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E301A99">
            <w:pPr>
              <w:jc w:val="center"/>
              <w:textAlignment w:val="center"/>
              <w:rPr>
                <w:rFonts w:ascii="仿宋" w:hAnsi="仿宋" w:eastAsia="仿宋" w:cs="仿宋"/>
                <w:color w:val="auto"/>
                <w:highlight w:val="none"/>
              </w:rPr>
            </w:pPr>
          </w:p>
        </w:tc>
      </w:tr>
      <w:tr w14:paraId="4BA5070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6C62D4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133</w:t>
            </w:r>
          </w:p>
        </w:tc>
        <w:tc>
          <w:tcPr>
            <w:tcW w:w="1843" w:type="dxa"/>
            <w:tcBorders>
              <w:top w:val="single" w:color="000000" w:sz="4" w:space="0"/>
              <w:left w:val="single" w:color="000000" w:sz="4" w:space="0"/>
              <w:bottom w:val="single" w:color="000000" w:sz="4" w:space="0"/>
              <w:right w:val="single" w:color="000000" w:sz="4" w:space="0"/>
            </w:tcBorders>
            <w:vAlign w:val="center"/>
          </w:tcPr>
          <w:p w14:paraId="7F3C399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露点测定器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590ED1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B6A59A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46D131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35D255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953E57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1EB9E2E">
            <w:pPr>
              <w:jc w:val="center"/>
              <w:textAlignment w:val="center"/>
              <w:rPr>
                <w:rFonts w:ascii="仿宋" w:hAnsi="仿宋" w:eastAsia="仿宋" w:cs="仿宋"/>
                <w:color w:val="auto"/>
                <w:highlight w:val="none"/>
              </w:rPr>
            </w:pPr>
          </w:p>
        </w:tc>
      </w:tr>
      <w:tr w14:paraId="513B1AA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EF1CAC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134</w:t>
            </w:r>
          </w:p>
        </w:tc>
        <w:tc>
          <w:tcPr>
            <w:tcW w:w="1843" w:type="dxa"/>
            <w:tcBorders>
              <w:top w:val="single" w:color="000000" w:sz="4" w:space="0"/>
              <w:left w:val="single" w:color="000000" w:sz="4" w:space="0"/>
              <w:bottom w:val="single" w:color="000000" w:sz="4" w:space="0"/>
              <w:right w:val="single" w:color="000000" w:sz="4" w:space="0"/>
            </w:tcBorders>
            <w:vAlign w:val="center"/>
          </w:tcPr>
          <w:p w14:paraId="162E1EA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量角器(圆等分器 )</w:t>
            </w:r>
          </w:p>
        </w:tc>
        <w:tc>
          <w:tcPr>
            <w:tcW w:w="1180" w:type="dxa"/>
            <w:tcBorders>
              <w:top w:val="single" w:color="000000" w:sz="4" w:space="0"/>
              <w:left w:val="single" w:color="000000" w:sz="4" w:space="0"/>
              <w:bottom w:val="single" w:color="000000" w:sz="4" w:space="0"/>
              <w:right w:val="single" w:color="000000" w:sz="4" w:space="0"/>
            </w:tcBorders>
            <w:vAlign w:val="center"/>
          </w:tcPr>
          <w:p w14:paraId="24F6300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505E3E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006E4B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A1E482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7B28DB5">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BA8D6FB">
            <w:pPr>
              <w:jc w:val="center"/>
              <w:textAlignment w:val="center"/>
              <w:rPr>
                <w:rFonts w:ascii="仿宋" w:hAnsi="仿宋" w:eastAsia="仿宋" w:cs="仿宋"/>
                <w:color w:val="auto"/>
                <w:highlight w:val="none"/>
              </w:rPr>
            </w:pPr>
          </w:p>
        </w:tc>
      </w:tr>
      <w:tr w14:paraId="77B533F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C49C0F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135</w:t>
            </w:r>
          </w:p>
        </w:tc>
        <w:tc>
          <w:tcPr>
            <w:tcW w:w="1843" w:type="dxa"/>
            <w:tcBorders>
              <w:top w:val="single" w:color="000000" w:sz="4" w:space="0"/>
              <w:left w:val="single" w:color="000000" w:sz="4" w:space="0"/>
              <w:bottom w:val="single" w:color="000000" w:sz="4" w:space="0"/>
              <w:right w:val="single" w:color="000000" w:sz="4" w:space="0"/>
            </w:tcBorders>
            <w:vAlign w:val="center"/>
          </w:tcPr>
          <w:p w14:paraId="5267982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气垫导轨</w:t>
            </w:r>
          </w:p>
        </w:tc>
        <w:tc>
          <w:tcPr>
            <w:tcW w:w="1180" w:type="dxa"/>
            <w:tcBorders>
              <w:top w:val="single" w:color="000000" w:sz="4" w:space="0"/>
              <w:left w:val="single" w:color="000000" w:sz="4" w:space="0"/>
              <w:bottom w:val="single" w:color="000000" w:sz="4" w:space="0"/>
              <w:right w:val="single" w:color="000000" w:sz="4" w:space="0"/>
            </w:tcBorders>
            <w:vAlign w:val="center"/>
          </w:tcPr>
          <w:p w14:paraId="26F433B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9389FE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3C4A34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ABF99B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A75D25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C96CCDC">
            <w:pPr>
              <w:jc w:val="center"/>
              <w:textAlignment w:val="center"/>
              <w:rPr>
                <w:rFonts w:ascii="仿宋" w:hAnsi="仿宋" w:eastAsia="仿宋" w:cs="仿宋"/>
                <w:color w:val="auto"/>
                <w:highlight w:val="none"/>
              </w:rPr>
            </w:pPr>
          </w:p>
        </w:tc>
      </w:tr>
      <w:tr w14:paraId="3E98B265">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8C827B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136</w:t>
            </w:r>
          </w:p>
        </w:tc>
        <w:tc>
          <w:tcPr>
            <w:tcW w:w="1843" w:type="dxa"/>
            <w:tcBorders>
              <w:top w:val="single" w:color="000000" w:sz="4" w:space="0"/>
              <w:left w:val="single" w:color="000000" w:sz="4" w:space="0"/>
              <w:bottom w:val="single" w:color="000000" w:sz="4" w:space="0"/>
              <w:right w:val="single" w:color="000000" w:sz="4" w:space="0"/>
            </w:tcBorders>
            <w:vAlign w:val="center"/>
          </w:tcPr>
          <w:p w14:paraId="0453A39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小型气源</w:t>
            </w:r>
          </w:p>
        </w:tc>
        <w:tc>
          <w:tcPr>
            <w:tcW w:w="1180" w:type="dxa"/>
            <w:tcBorders>
              <w:top w:val="single" w:color="000000" w:sz="4" w:space="0"/>
              <w:left w:val="single" w:color="000000" w:sz="4" w:space="0"/>
              <w:bottom w:val="single" w:color="000000" w:sz="4" w:space="0"/>
              <w:right w:val="single" w:color="000000" w:sz="4" w:space="0"/>
            </w:tcBorders>
            <w:vAlign w:val="center"/>
          </w:tcPr>
          <w:p w14:paraId="79A5A6E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CF2F21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7A8880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92B136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D59C3D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923AD7A">
            <w:pPr>
              <w:jc w:val="center"/>
              <w:textAlignment w:val="center"/>
              <w:rPr>
                <w:rFonts w:ascii="仿宋" w:hAnsi="仿宋" w:eastAsia="仿宋" w:cs="仿宋"/>
                <w:color w:val="auto"/>
                <w:highlight w:val="none"/>
              </w:rPr>
            </w:pPr>
          </w:p>
        </w:tc>
      </w:tr>
      <w:tr w14:paraId="25CA56F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2F9804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137</w:t>
            </w:r>
          </w:p>
        </w:tc>
        <w:tc>
          <w:tcPr>
            <w:tcW w:w="1843" w:type="dxa"/>
            <w:tcBorders>
              <w:top w:val="single" w:color="000000" w:sz="4" w:space="0"/>
              <w:left w:val="single" w:color="000000" w:sz="4" w:space="0"/>
              <w:bottom w:val="single" w:color="000000" w:sz="4" w:space="0"/>
              <w:right w:val="single" w:color="000000" w:sz="4" w:space="0"/>
            </w:tcBorders>
            <w:vAlign w:val="center"/>
          </w:tcPr>
          <w:p w14:paraId="55FB36B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自由落体实验仪</w:t>
            </w:r>
          </w:p>
        </w:tc>
        <w:tc>
          <w:tcPr>
            <w:tcW w:w="1180" w:type="dxa"/>
            <w:tcBorders>
              <w:top w:val="single" w:color="000000" w:sz="4" w:space="0"/>
              <w:left w:val="single" w:color="000000" w:sz="4" w:space="0"/>
              <w:bottom w:val="single" w:color="000000" w:sz="4" w:space="0"/>
              <w:right w:val="single" w:color="000000" w:sz="4" w:space="0"/>
            </w:tcBorders>
            <w:vAlign w:val="center"/>
          </w:tcPr>
          <w:p w14:paraId="0DF55C8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3008DF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039CE3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681035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9A397F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6710070">
            <w:pPr>
              <w:jc w:val="center"/>
              <w:textAlignment w:val="center"/>
              <w:rPr>
                <w:rFonts w:ascii="仿宋" w:hAnsi="仿宋" w:eastAsia="仿宋" w:cs="仿宋"/>
                <w:color w:val="auto"/>
                <w:highlight w:val="none"/>
              </w:rPr>
            </w:pPr>
          </w:p>
        </w:tc>
      </w:tr>
      <w:tr w14:paraId="13C9EA4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5C20C3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138</w:t>
            </w:r>
          </w:p>
        </w:tc>
        <w:tc>
          <w:tcPr>
            <w:tcW w:w="1843" w:type="dxa"/>
            <w:tcBorders>
              <w:top w:val="single" w:color="000000" w:sz="4" w:space="0"/>
              <w:left w:val="single" w:color="000000" w:sz="4" w:space="0"/>
              <w:bottom w:val="single" w:color="000000" w:sz="4" w:space="0"/>
              <w:right w:val="single" w:color="000000" w:sz="4" w:space="0"/>
            </w:tcBorders>
            <w:vAlign w:val="center"/>
          </w:tcPr>
          <w:p w14:paraId="2067C66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碰撞实验器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0F3280A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7C3977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404761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78CD43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5567D46">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298E33B">
            <w:pPr>
              <w:jc w:val="center"/>
              <w:textAlignment w:val="center"/>
              <w:rPr>
                <w:rFonts w:ascii="仿宋" w:hAnsi="仿宋" w:eastAsia="仿宋" w:cs="仿宋"/>
                <w:color w:val="auto"/>
                <w:highlight w:val="none"/>
              </w:rPr>
            </w:pPr>
          </w:p>
        </w:tc>
      </w:tr>
      <w:tr w14:paraId="2324436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7A2AA0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139</w:t>
            </w:r>
          </w:p>
        </w:tc>
        <w:tc>
          <w:tcPr>
            <w:tcW w:w="1843" w:type="dxa"/>
            <w:tcBorders>
              <w:top w:val="single" w:color="000000" w:sz="4" w:space="0"/>
              <w:left w:val="single" w:color="000000" w:sz="4" w:space="0"/>
              <w:bottom w:val="single" w:color="000000" w:sz="4" w:space="0"/>
              <w:right w:val="single" w:color="000000" w:sz="4" w:space="0"/>
            </w:tcBorders>
            <w:vAlign w:val="center"/>
          </w:tcPr>
          <w:p w14:paraId="56EF11A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冲击摆实验器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AC9308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172C5B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4454D0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D6C0FC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EE2CFE6">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96DA1FB">
            <w:pPr>
              <w:jc w:val="center"/>
              <w:textAlignment w:val="center"/>
              <w:rPr>
                <w:rFonts w:ascii="仿宋" w:hAnsi="仿宋" w:eastAsia="仿宋" w:cs="仿宋"/>
                <w:color w:val="auto"/>
                <w:highlight w:val="none"/>
              </w:rPr>
            </w:pPr>
          </w:p>
        </w:tc>
      </w:tr>
      <w:tr w14:paraId="177142F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3CDA50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140</w:t>
            </w:r>
          </w:p>
        </w:tc>
        <w:tc>
          <w:tcPr>
            <w:tcW w:w="1843" w:type="dxa"/>
            <w:tcBorders>
              <w:top w:val="single" w:color="000000" w:sz="4" w:space="0"/>
              <w:left w:val="single" w:color="000000" w:sz="4" w:space="0"/>
              <w:bottom w:val="single" w:color="000000" w:sz="4" w:space="0"/>
              <w:right w:val="single" w:color="000000" w:sz="4" w:space="0"/>
            </w:tcBorders>
            <w:vAlign w:val="center"/>
          </w:tcPr>
          <w:p w14:paraId="582EE58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运动频闪观测仪</w:t>
            </w:r>
          </w:p>
        </w:tc>
        <w:tc>
          <w:tcPr>
            <w:tcW w:w="1180" w:type="dxa"/>
            <w:tcBorders>
              <w:top w:val="single" w:color="000000" w:sz="4" w:space="0"/>
              <w:left w:val="single" w:color="000000" w:sz="4" w:space="0"/>
              <w:bottom w:val="single" w:color="000000" w:sz="4" w:space="0"/>
              <w:right w:val="single" w:color="000000" w:sz="4" w:space="0"/>
            </w:tcBorders>
            <w:vAlign w:val="center"/>
          </w:tcPr>
          <w:p w14:paraId="0BB4781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BD22DA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1D1D62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778085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A152B2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64E9709">
            <w:pPr>
              <w:jc w:val="center"/>
              <w:textAlignment w:val="center"/>
              <w:rPr>
                <w:rFonts w:ascii="仿宋" w:hAnsi="仿宋" w:eastAsia="仿宋" w:cs="仿宋"/>
                <w:color w:val="auto"/>
                <w:highlight w:val="none"/>
              </w:rPr>
            </w:pPr>
          </w:p>
        </w:tc>
      </w:tr>
      <w:tr w14:paraId="38C0B13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849B38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141</w:t>
            </w:r>
          </w:p>
        </w:tc>
        <w:tc>
          <w:tcPr>
            <w:tcW w:w="1843" w:type="dxa"/>
            <w:tcBorders>
              <w:top w:val="single" w:color="000000" w:sz="4" w:space="0"/>
              <w:left w:val="single" w:color="000000" w:sz="4" w:space="0"/>
              <w:bottom w:val="single" w:color="000000" w:sz="4" w:space="0"/>
              <w:right w:val="single" w:color="000000" w:sz="4" w:space="0"/>
            </w:tcBorders>
            <w:vAlign w:val="center"/>
          </w:tcPr>
          <w:p w14:paraId="1E30409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向心力演示器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02AE86E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E1A1AB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44FBD5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DF9A50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F151C6F">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6BF3A4A">
            <w:pPr>
              <w:jc w:val="center"/>
              <w:textAlignment w:val="center"/>
              <w:rPr>
                <w:rFonts w:ascii="仿宋" w:hAnsi="仿宋" w:eastAsia="仿宋" w:cs="仿宋"/>
                <w:color w:val="auto"/>
                <w:highlight w:val="none"/>
              </w:rPr>
            </w:pPr>
          </w:p>
        </w:tc>
      </w:tr>
      <w:tr w14:paraId="2169857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5A2E0F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142</w:t>
            </w:r>
          </w:p>
        </w:tc>
        <w:tc>
          <w:tcPr>
            <w:tcW w:w="1843" w:type="dxa"/>
            <w:tcBorders>
              <w:top w:val="single" w:color="000000" w:sz="4" w:space="0"/>
              <w:left w:val="single" w:color="000000" w:sz="4" w:space="0"/>
              <w:bottom w:val="single" w:color="000000" w:sz="4" w:space="0"/>
              <w:right w:val="single" w:color="000000" w:sz="4" w:space="0"/>
            </w:tcBorders>
            <w:vAlign w:val="center"/>
          </w:tcPr>
          <w:p w14:paraId="4B26E8F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向心力演示器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A3DCB6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AF1E43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5FA194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5436C8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6CDAC3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0A18E69">
            <w:pPr>
              <w:jc w:val="center"/>
              <w:textAlignment w:val="center"/>
              <w:rPr>
                <w:rFonts w:ascii="仿宋" w:hAnsi="仿宋" w:eastAsia="仿宋" w:cs="仿宋"/>
                <w:color w:val="auto"/>
                <w:highlight w:val="none"/>
              </w:rPr>
            </w:pPr>
          </w:p>
        </w:tc>
      </w:tr>
      <w:tr w14:paraId="7F670C3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90CD41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143</w:t>
            </w:r>
          </w:p>
        </w:tc>
        <w:tc>
          <w:tcPr>
            <w:tcW w:w="1843" w:type="dxa"/>
            <w:tcBorders>
              <w:top w:val="single" w:color="000000" w:sz="4" w:space="0"/>
              <w:left w:val="single" w:color="000000" w:sz="4" w:space="0"/>
              <w:bottom w:val="single" w:color="000000" w:sz="4" w:space="0"/>
              <w:right w:val="single" w:color="000000" w:sz="4" w:space="0"/>
            </w:tcBorders>
            <w:vAlign w:val="center"/>
          </w:tcPr>
          <w:p w14:paraId="721FC79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向心力实验器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527FC1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197B05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4F02FC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E61980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0B1F86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B6E7760">
            <w:pPr>
              <w:jc w:val="center"/>
              <w:textAlignment w:val="center"/>
              <w:rPr>
                <w:rFonts w:ascii="仿宋" w:hAnsi="仿宋" w:eastAsia="仿宋" w:cs="仿宋"/>
                <w:color w:val="auto"/>
                <w:highlight w:val="none"/>
              </w:rPr>
            </w:pPr>
          </w:p>
        </w:tc>
      </w:tr>
      <w:tr w14:paraId="6B8A969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442867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144</w:t>
            </w:r>
          </w:p>
        </w:tc>
        <w:tc>
          <w:tcPr>
            <w:tcW w:w="1843" w:type="dxa"/>
            <w:tcBorders>
              <w:top w:val="single" w:color="000000" w:sz="4" w:space="0"/>
              <w:left w:val="single" w:color="000000" w:sz="4" w:space="0"/>
              <w:bottom w:val="single" w:color="000000" w:sz="4" w:space="0"/>
              <w:right w:val="single" w:color="000000" w:sz="4" w:space="0"/>
            </w:tcBorders>
            <w:vAlign w:val="center"/>
          </w:tcPr>
          <w:p w14:paraId="580034A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凹凸桥演示器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2FFE5DB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B91213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80616A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F11D3E6">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18218A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7F38EE6">
            <w:pPr>
              <w:jc w:val="center"/>
              <w:textAlignment w:val="center"/>
              <w:rPr>
                <w:rFonts w:ascii="仿宋" w:hAnsi="仿宋" w:eastAsia="仿宋" w:cs="仿宋"/>
                <w:color w:val="auto"/>
                <w:highlight w:val="none"/>
              </w:rPr>
            </w:pPr>
          </w:p>
        </w:tc>
      </w:tr>
      <w:tr w14:paraId="0D8E4DE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D0CF78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145</w:t>
            </w:r>
          </w:p>
        </w:tc>
        <w:tc>
          <w:tcPr>
            <w:tcW w:w="1843" w:type="dxa"/>
            <w:tcBorders>
              <w:top w:val="single" w:color="000000" w:sz="4" w:space="0"/>
              <w:left w:val="single" w:color="000000" w:sz="4" w:space="0"/>
              <w:bottom w:val="single" w:color="000000" w:sz="4" w:space="0"/>
              <w:right w:val="single" w:color="000000" w:sz="4" w:space="0"/>
            </w:tcBorders>
            <w:vAlign w:val="center"/>
          </w:tcPr>
          <w:p w14:paraId="7AB2CBB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演示力矩盘</w:t>
            </w:r>
          </w:p>
        </w:tc>
        <w:tc>
          <w:tcPr>
            <w:tcW w:w="1180" w:type="dxa"/>
            <w:tcBorders>
              <w:top w:val="single" w:color="000000" w:sz="4" w:space="0"/>
              <w:left w:val="single" w:color="000000" w:sz="4" w:space="0"/>
              <w:bottom w:val="single" w:color="000000" w:sz="4" w:space="0"/>
              <w:right w:val="single" w:color="000000" w:sz="4" w:space="0"/>
            </w:tcBorders>
            <w:vAlign w:val="center"/>
          </w:tcPr>
          <w:p w14:paraId="79957CB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6199B2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E34416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8FD701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CD753F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04C1910">
            <w:pPr>
              <w:jc w:val="center"/>
              <w:textAlignment w:val="center"/>
              <w:rPr>
                <w:rFonts w:ascii="仿宋" w:hAnsi="仿宋" w:eastAsia="仿宋" w:cs="仿宋"/>
                <w:color w:val="auto"/>
                <w:highlight w:val="none"/>
              </w:rPr>
            </w:pPr>
          </w:p>
        </w:tc>
      </w:tr>
      <w:tr w14:paraId="400D398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2E26E0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146</w:t>
            </w:r>
          </w:p>
        </w:tc>
        <w:tc>
          <w:tcPr>
            <w:tcW w:w="1843" w:type="dxa"/>
            <w:tcBorders>
              <w:top w:val="single" w:color="000000" w:sz="4" w:space="0"/>
              <w:left w:val="single" w:color="000000" w:sz="4" w:space="0"/>
              <w:bottom w:val="single" w:color="000000" w:sz="4" w:space="0"/>
              <w:right w:val="single" w:color="000000" w:sz="4" w:space="0"/>
            </w:tcBorders>
            <w:vAlign w:val="center"/>
          </w:tcPr>
          <w:p w14:paraId="02FBDF3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波动演示器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B831F0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095288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CC7DDC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3AF7DE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9B63671">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92C3687">
            <w:pPr>
              <w:jc w:val="center"/>
              <w:textAlignment w:val="center"/>
              <w:rPr>
                <w:rFonts w:ascii="仿宋" w:hAnsi="仿宋" w:eastAsia="仿宋" w:cs="仿宋"/>
                <w:color w:val="auto"/>
                <w:highlight w:val="none"/>
              </w:rPr>
            </w:pPr>
          </w:p>
        </w:tc>
      </w:tr>
      <w:tr w14:paraId="4F2BB2C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653014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147</w:t>
            </w:r>
          </w:p>
        </w:tc>
        <w:tc>
          <w:tcPr>
            <w:tcW w:w="1843" w:type="dxa"/>
            <w:tcBorders>
              <w:top w:val="single" w:color="000000" w:sz="4" w:space="0"/>
              <w:left w:val="single" w:color="000000" w:sz="4" w:space="0"/>
              <w:bottom w:val="single" w:color="000000" w:sz="4" w:space="0"/>
              <w:right w:val="single" w:color="000000" w:sz="4" w:space="0"/>
            </w:tcBorders>
            <w:vAlign w:val="center"/>
          </w:tcPr>
          <w:p w14:paraId="1907B6B8">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弹簧振子振动图像描绘器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0031AC5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6B4A60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948E07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9B10AA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E74F85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EF85682">
            <w:pPr>
              <w:jc w:val="center"/>
              <w:textAlignment w:val="center"/>
              <w:rPr>
                <w:rFonts w:ascii="仿宋" w:hAnsi="仿宋" w:eastAsia="仿宋" w:cs="仿宋"/>
                <w:color w:val="auto"/>
                <w:highlight w:val="none"/>
              </w:rPr>
            </w:pPr>
          </w:p>
        </w:tc>
      </w:tr>
      <w:tr w14:paraId="71B632A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BD8862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148</w:t>
            </w:r>
          </w:p>
        </w:tc>
        <w:tc>
          <w:tcPr>
            <w:tcW w:w="1843" w:type="dxa"/>
            <w:tcBorders>
              <w:top w:val="single" w:color="000000" w:sz="4" w:space="0"/>
              <w:left w:val="single" w:color="000000" w:sz="4" w:space="0"/>
              <w:bottom w:val="single" w:color="000000" w:sz="4" w:space="0"/>
              <w:right w:val="single" w:color="000000" w:sz="4" w:space="0"/>
            </w:tcBorders>
            <w:vAlign w:val="center"/>
          </w:tcPr>
          <w:p w14:paraId="29F29BE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简谐振动投影演示器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2C5573D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E2CD1F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772076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40B2D6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8A8CFB6">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AC24346">
            <w:pPr>
              <w:jc w:val="center"/>
              <w:textAlignment w:val="center"/>
              <w:rPr>
                <w:rFonts w:ascii="仿宋" w:hAnsi="仿宋" w:eastAsia="仿宋" w:cs="仿宋"/>
                <w:color w:val="auto"/>
                <w:highlight w:val="none"/>
              </w:rPr>
            </w:pPr>
          </w:p>
        </w:tc>
      </w:tr>
      <w:tr w14:paraId="586EE79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61E243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149</w:t>
            </w:r>
          </w:p>
        </w:tc>
        <w:tc>
          <w:tcPr>
            <w:tcW w:w="1843" w:type="dxa"/>
            <w:tcBorders>
              <w:top w:val="single" w:color="000000" w:sz="4" w:space="0"/>
              <w:left w:val="single" w:color="000000" w:sz="4" w:space="0"/>
              <w:bottom w:val="single" w:color="000000" w:sz="4" w:space="0"/>
              <w:right w:val="single" w:color="000000" w:sz="4" w:space="0"/>
            </w:tcBorders>
            <w:vAlign w:val="center"/>
          </w:tcPr>
          <w:p w14:paraId="314767C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匀速圆周运动投影器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23D1FBC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39F3EA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8B04CF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4B4EA7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3F7736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6383D5A">
            <w:pPr>
              <w:jc w:val="center"/>
              <w:textAlignment w:val="center"/>
              <w:rPr>
                <w:rFonts w:ascii="仿宋" w:hAnsi="仿宋" w:eastAsia="仿宋" w:cs="仿宋"/>
                <w:color w:val="auto"/>
                <w:highlight w:val="none"/>
              </w:rPr>
            </w:pPr>
          </w:p>
        </w:tc>
      </w:tr>
      <w:tr w14:paraId="18E4F81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06134E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150</w:t>
            </w:r>
          </w:p>
        </w:tc>
        <w:tc>
          <w:tcPr>
            <w:tcW w:w="1843" w:type="dxa"/>
            <w:tcBorders>
              <w:top w:val="single" w:color="000000" w:sz="4" w:space="0"/>
              <w:left w:val="single" w:color="000000" w:sz="4" w:space="0"/>
              <w:bottom w:val="single" w:color="000000" w:sz="4" w:space="0"/>
              <w:right w:val="single" w:color="000000" w:sz="4" w:space="0"/>
            </w:tcBorders>
            <w:vAlign w:val="center"/>
          </w:tcPr>
          <w:p w14:paraId="3CD1811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单摆组</w:t>
            </w:r>
          </w:p>
        </w:tc>
        <w:tc>
          <w:tcPr>
            <w:tcW w:w="1180" w:type="dxa"/>
            <w:tcBorders>
              <w:top w:val="single" w:color="000000" w:sz="4" w:space="0"/>
              <w:left w:val="single" w:color="000000" w:sz="4" w:space="0"/>
              <w:bottom w:val="single" w:color="000000" w:sz="4" w:space="0"/>
              <w:right w:val="single" w:color="000000" w:sz="4" w:space="0"/>
            </w:tcBorders>
            <w:vAlign w:val="center"/>
          </w:tcPr>
          <w:p w14:paraId="04FC120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1E3BE6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5582D4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D19A77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B7363C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0C1DCFF">
            <w:pPr>
              <w:jc w:val="center"/>
              <w:textAlignment w:val="center"/>
              <w:rPr>
                <w:rFonts w:ascii="仿宋" w:hAnsi="仿宋" w:eastAsia="仿宋" w:cs="仿宋"/>
                <w:color w:val="auto"/>
                <w:highlight w:val="none"/>
              </w:rPr>
            </w:pPr>
          </w:p>
        </w:tc>
      </w:tr>
      <w:tr w14:paraId="0597CEA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D1DFD4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151</w:t>
            </w:r>
          </w:p>
        </w:tc>
        <w:tc>
          <w:tcPr>
            <w:tcW w:w="1843" w:type="dxa"/>
            <w:tcBorders>
              <w:top w:val="single" w:color="000000" w:sz="4" w:space="0"/>
              <w:left w:val="single" w:color="000000" w:sz="4" w:space="0"/>
              <w:bottom w:val="single" w:color="000000" w:sz="4" w:space="0"/>
              <w:right w:val="single" w:color="000000" w:sz="4" w:space="0"/>
            </w:tcBorders>
            <w:vAlign w:val="center"/>
          </w:tcPr>
          <w:p w14:paraId="5878BE2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声传播演示器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4EEAE6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3F06FC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1E8F95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BA1BAE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E5D3D11">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E29B0BB">
            <w:pPr>
              <w:jc w:val="center"/>
              <w:textAlignment w:val="center"/>
              <w:rPr>
                <w:rFonts w:ascii="仿宋" w:hAnsi="仿宋" w:eastAsia="仿宋" w:cs="仿宋"/>
                <w:color w:val="auto"/>
                <w:highlight w:val="none"/>
              </w:rPr>
            </w:pPr>
          </w:p>
        </w:tc>
      </w:tr>
      <w:tr w14:paraId="5D5EDCF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5F7794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152</w:t>
            </w:r>
          </w:p>
        </w:tc>
        <w:tc>
          <w:tcPr>
            <w:tcW w:w="1843" w:type="dxa"/>
            <w:tcBorders>
              <w:top w:val="single" w:color="000000" w:sz="4" w:space="0"/>
              <w:left w:val="single" w:color="000000" w:sz="4" w:space="0"/>
              <w:bottom w:val="single" w:color="000000" w:sz="4" w:space="0"/>
              <w:right w:val="single" w:color="000000" w:sz="4" w:space="0"/>
            </w:tcBorders>
            <w:vAlign w:val="center"/>
          </w:tcPr>
          <w:p w14:paraId="0B2796F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量热器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6B9835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588C45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271016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295923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B86410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6947D30">
            <w:pPr>
              <w:jc w:val="center"/>
              <w:textAlignment w:val="center"/>
              <w:rPr>
                <w:rFonts w:ascii="仿宋" w:hAnsi="仿宋" w:eastAsia="仿宋" w:cs="仿宋"/>
                <w:color w:val="auto"/>
                <w:highlight w:val="none"/>
              </w:rPr>
            </w:pPr>
          </w:p>
        </w:tc>
      </w:tr>
      <w:tr w14:paraId="64B55CD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B746B1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153</w:t>
            </w:r>
          </w:p>
        </w:tc>
        <w:tc>
          <w:tcPr>
            <w:tcW w:w="1843" w:type="dxa"/>
            <w:tcBorders>
              <w:top w:val="single" w:color="000000" w:sz="4" w:space="0"/>
              <w:left w:val="single" w:color="000000" w:sz="4" w:space="0"/>
              <w:bottom w:val="single" w:color="000000" w:sz="4" w:space="0"/>
              <w:right w:val="single" w:color="000000" w:sz="4" w:space="0"/>
            </w:tcBorders>
            <w:vAlign w:val="center"/>
          </w:tcPr>
          <w:p w14:paraId="1BB1595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内聚力演示器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68E698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B482E6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FF1846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4C7AB5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713732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1928A2F">
            <w:pPr>
              <w:jc w:val="center"/>
              <w:textAlignment w:val="center"/>
              <w:rPr>
                <w:rFonts w:ascii="仿宋" w:hAnsi="仿宋" w:eastAsia="仿宋" w:cs="仿宋"/>
                <w:color w:val="auto"/>
                <w:highlight w:val="none"/>
              </w:rPr>
            </w:pPr>
          </w:p>
        </w:tc>
      </w:tr>
      <w:tr w14:paraId="20F88E3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EEA1BD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154</w:t>
            </w:r>
          </w:p>
        </w:tc>
        <w:tc>
          <w:tcPr>
            <w:tcW w:w="1843" w:type="dxa"/>
            <w:tcBorders>
              <w:top w:val="single" w:color="000000" w:sz="4" w:space="0"/>
              <w:left w:val="single" w:color="000000" w:sz="4" w:space="0"/>
              <w:bottom w:val="single" w:color="000000" w:sz="4" w:space="0"/>
              <w:right w:val="single" w:color="000000" w:sz="4" w:space="0"/>
            </w:tcBorders>
            <w:vAlign w:val="center"/>
          </w:tcPr>
          <w:p w14:paraId="3F7EC71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爆燃器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E6D51A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C1EC94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B2AB9F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5FF6EC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BFFC31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D8BCE30">
            <w:pPr>
              <w:jc w:val="center"/>
              <w:textAlignment w:val="center"/>
              <w:rPr>
                <w:rFonts w:ascii="仿宋" w:hAnsi="仿宋" w:eastAsia="仿宋" w:cs="仿宋"/>
                <w:color w:val="auto"/>
                <w:highlight w:val="none"/>
              </w:rPr>
            </w:pPr>
          </w:p>
        </w:tc>
      </w:tr>
      <w:tr w14:paraId="57C0F4F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9E9B8D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155</w:t>
            </w:r>
          </w:p>
        </w:tc>
        <w:tc>
          <w:tcPr>
            <w:tcW w:w="1843" w:type="dxa"/>
            <w:tcBorders>
              <w:top w:val="single" w:color="000000" w:sz="4" w:space="0"/>
              <w:left w:val="single" w:color="000000" w:sz="4" w:space="0"/>
              <w:bottom w:val="single" w:color="000000" w:sz="4" w:space="0"/>
              <w:right w:val="single" w:color="000000" w:sz="4" w:space="0"/>
            </w:tcBorders>
            <w:vAlign w:val="center"/>
          </w:tcPr>
          <w:p w14:paraId="29E952BE">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机械能热能互变演示器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EA7F24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9DFE88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45AC83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5E16EC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0D32B9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791BF14">
            <w:pPr>
              <w:jc w:val="center"/>
              <w:textAlignment w:val="center"/>
              <w:rPr>
                <w:rFonts w:ascii="仿宋" w:hAnsi="仿宋" w:eastAsia="仿宋" w:cs="仿宋"/>
                <w:color w:val="auto"/>
                <w:highlight w:val="none"/>
              </w:rPr>
            </w:pPr>
          </w:p>
        </w:tc>
      </w:tr>
      <w:tr w14:paraId="6225293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6B2EF3A">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156</w:t>
            </w:r>
          </w:p>
        </w:tc>
        <w:tc>
          <w:tcPr>
            <w:tcW w:w="1843" w:type="dxa"/>
            <w:tcBorders>
              <w:top w:val="single" w:color="000000" w:sz="4" w:space="0"/>
              <w:left w:val="single" w:color="000000" w:sz="4" w:space="0"/>
              <w:bottom w:val="single" w:color="000000" w:sz="4" w:space="0"/>
              <w:right w:val="single" w:color="000000" w:sz="4" w:space="0"/>
            </w:tcBorders>
            <w:vAlign w:val="center"/>
          </w:tcPr>
          <w:p w14:paraId="3C2B352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金属线膨胀演示器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7CD946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241B22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8317B0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D8C846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039F83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AD31B88">
            <w:pPr>
              <w:jc w:val="center"/>
              <w:textAlignment w:val="center"/>
              <w:rPr>
                <w:rFonts w:ascii="仿宋" w:hAnsi="仿宋" w:eastAsia="仿宋" w:cs="仿宋"/>
                <w:color w:val="auto"/>
                <w:highlight w:val="none"/>
              </w:rPr>
            </w:pPr>
          </w:p>
        </w:tc>
      </w:tr>
      <w:tr w14:paraId="2BF2BB0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9C54D9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157</w:t>
            </w:r>
          </w:p>
        </w:tc>
        <w:tc>
          <w:tcPr>
            <w:tcW w:w="1843" w:type="dxa"/>
            <w:tcBorders>
              <w:top w:val="single" w:color="000000" w:sz="4" w:space="0"/>
              <w:left w:val="single" w:color="000000" w:sz="4" w:space="0"/>
              <w:bottom w:val="single" w:color="000000" w:sz="4" w:space="0"/>
              <w:right w:val="single" w:color="000000" w:sz="4" w:space="0"/>
            </w:tcBorders>
            <w:vAlign w:val="center"/>
          </w:tcPr>
          <w:p w14:paraId="471BE2C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固体缩力演示器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153BCF2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E6E8D3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39C626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85E350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C6BD9E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DF3CF1F">
            <w:pPr>
              <w:jc w:val="center"/>
              <w:textAlignment w:val="center"/>
              <w:rPr>
                <w:rFonts w:ascii="仿宋" w:hAnsi="仿宋" w:eastAsia="仿宋" w:cs="仿宋"/>
                <w:color w:val="auto"/>
                <w:highlight w:val="none"/>
              </w:rPr>
            </w:pPr>
          </w:p>
        </w:tc>
      </w:tr>
      <w:tr w14:paraId="2984498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4FDF39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158</w:t>
            </w:r>
          </w:p>
        </w:tc>
        <w:tc>
          <w:tcPr>
            <w:tcW w:w="1843" w:type="dxa"/>
            <w:tcBorders>
              <w:top w:val="single" w:color="000000" w:sz="4" w:space="0"/>
              <w:left w:val="single" w:color="000000" w:sz="4" w:space="0"/>
              <w:bottom w:val="single" w:color="000000" w:sz="4" w:space="0"/>
              <w:right w:val="single" w:color="000000" w:sz="4" w:space="0"/>
            </w:tcBorders>
            <w:vAlign w:val="center"/>
          </w:tcPr>
          <w:p w14:paraId="5F534F2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热传导演示器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2348B42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3056FC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C701B3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AB27CC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828DAB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8C8145C">
            <w:pPr>
              <w:jc w:val="center"/>
              <w:textAlignment w:val="center"/>
              <w:rPr>
                <w:rFonts w:ascii="仿宋" w:hAnsi="仿宋" w:eastAsia="仿宋" w:cs="仿宋"/>
                <w:color w:val="auto"/>
                <w:highlight w:val="none"/>
              </w:rPr>
            </w:pPr>
          </w:p>
        </w:tc>
      </w:tr>
      <w:tr w14:paraId="7AACE7F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A1DBBE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159</w:t>
            </w:r>
          </w:p>
        </w:tc>
        <w:tc>
          <w:tcPr>
            <w:tcW w:w="1843" w:type="dxa"/>
            <w:tcBorders>
              <w:top w:val="single" w:color="000000" w:sz="4" w:space="0"/>
              <w:left w:val="single" w:color="000000" w:sz="4" w:space="0"/>
              <w:bottom w:val="single" w:color="000000" w:sz="4" w:space="0"/>
              <w:right w:val="single" w:color="000000" w:sz="4" w:space="0"/>
            </w:tcBorders>
            <w:vAlign w:val="center"/>
          </w:tcPr>
          <w:p w14:paraId="7E7F85D3">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气体做功内能减少演示器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86B8FD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EFF804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70EF15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E25605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D2251C1">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784E120">
            <w:pPr>
              <w:jc w:val="center"/>
              <w:textAlignment w:val="center"/>
              <w:rPr>
                <w:rFonts w:ascii="仿宋" w:hAnsi="仿宋" w:eastAsia="仿宋" w:cs="仿宋"/>
                <w:color w:val="auto"/>
                <w:highlight w:val="none"/>
              </w:rPr>
            </w:pPr>
          </w:p>
        </w:tc>
      </w:tr>
      <w:tr w14:paraId="2177FE1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03D689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160</w:t>
            </w:r>
          </w:p>
        </w:tc>
        <w:tc>
          <w:tcPr>
            <w:tcW w:w="1843" w:type="dxa"/>
            <w:tcBorders>
              <w:top w:val="single" w:color="000000" w:sz="4" w:space="0"/>
              <w:left w:val="single" w:color="000000" w:sz="4" w:space="0"/>
              <w:bottom w:val="single" w:color="000000" w:sz="4" w:space="0"/>
              <w:right w:val="single" w:color="000000" w:sz="4" w:space="0"/>
            </w:tcBorders>
            <w:vAlign w:val="center"/>
          </w:tcPr>
          <w:p w14:paraId="65254B1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油膜实验器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30182A3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93037A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5C2954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8470F1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476BF7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011FF0D">
            <w:pPr>
              <w:jc w:val="center"/>
              <w:textAlignment w:val="center"/>
              <w:rPr>
                <w:rFonts w:ascii="仿宋" w:hAnsi="仿宋" w:eastAsia="仿宋" w:cs="仿宋"/>
                <w:color w:val="auto"/>
                <w:highlight w:val="none"/>
              </w:rPr>
            </w:pPr>
          </w:p>
        </w:tc>
      </w:tr>
      <w:tr w14:paraId="5644550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191AA1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161</w:t>
            </w:r>
          </w:p>
        </w:tc>
        <w:tc>
          <w:tcPr>
            <w:tcW w:w="1843" w:type="dxa"/>
            <w:tcBorders>
              <w:top w:val="single" w:color="000000" w:sz="4" w:space="0"/>
              <w:left w:val="single" w:color="000000" w:sz="4" w:space="0"/>
              <w:bottom w:val="single" w:color="000000" w:sz="4" w:space="0"/>
              <w:right w:val="single" w:color="000000" w:sz="4" w:space="0"/>
            </w:tcBorders>
            <w:vAlign w:val="center"/>
          </w:tcPr>
          <w:p w14:paraId="48C3CDE0">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浸润和不浸润现象演示器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124425F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13E4DE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5BD09E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CE89AD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C15D1E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E1B1B23">
            <w:pPr>
              <w:jc w:val="center"/>
              <w:textAlignment w:val="center"/>
              <w:rPr>
                <w:rFonts w:ascii="仿宋" w:hAnsi="仿宋" w:eastAsia="仿宋" w:cs="仿宋"/>
                <w:color w:val="auto"/>
                <w:highlight w:val="none"/>
              </w:rPr>
            </w:pPr>
          </w:p>
        </w:tc>
      </w:tr>
      <w:tr w14:paraId="4ED0943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9AE9DF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162</w:t>
            </w:r>
          </w:p>
        </w:tc>
        <w:tc>
          <w:tcPr>
            <w:tcW w:w="1843" w:type="dxa"/>
            <w:tcBorders>
              <w:top w:val="single" w:color="000000" w:sz="4" w:space="0"/>
              <w:left w:val="single" w:color="000000" w:sz="4" w:space="0"/>
              <w:bottom w:val="single" w:color="000000" w:sz="4" w:space="0"/>
              <w:right w:val="single" w:color="000000" w:sz="4" w:space="0"/>
            </w:tcBorders>
            <w:vAlign w:val="center"/>
          </w:tcPr>
          <w:p w14:paraId="363645F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液体表面张力演示器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0BB917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9E0904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18EB6A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C635FD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0EDC19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FD46C3A">
            <w:pPr>
              <w:jc w:val="center"/>
              <w:textAlignment w:val="center"/>
              <w:rPr>
                <w:rFonts w:ascii="仿宋" w:hAnsi="仿宋" w:eastAsia="仿宋" w:cs="仿宋"/>
                <w:color w:val="auto"/>
                <w:highlight w:val="none"/>
              </w:rPr>
            </w:pPr>
          </w:p>
        </w:tc>
      </w:tr>
      <w:tr w14:paraId="53990DC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ECF33A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163</w:t>
            </w:r>
          </w:p>
        </w:tc>
        <w:tc>
          <w:tcPr>
            <w:tcW w:w="1843" w:type="dxa"/>
            <w:tcBorders>
              <w:top w:val="single" w:color="000000" w:sz="4" w:space="0"/>
              <w:left w:val="single" w:color="000000" w:sz="4" w:space="0"/>
              <w:bottom w:val="single" w:color="000000" w:sz="4" w:space="0"/>
              <w:right w:val="single" w:color="000000" w:sz="4" w:space="0"/>
            </w:tcBorders>
            <w:vAlign w:val="center"/>
          </w:tcPr>
          <w:p w14:paraId="7CEE53D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液体表面张力实验器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B3818E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27CD58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BB3CD4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2BD124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52B63E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37D8CE9">
            <w:pPr>
              <w:jc w:val="center"/>
              <w:textAlignment w:val="center"/>
              <w:rPr>
                <w:rFonts w:ascii="仿宋" w:hAnsi="仿宋" w:eastAsia="仿宋" w:cs="仿宋"/>
                <w:color w:val="auto"/>
                <w:highlight w:val="none"/>
              </w:rPr>
            </w:pPr>
          </w:p>
        </w:tc>
      </w:tr>
      <w:tr w14:paraId="7B3A8EB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EDAD25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164</w:t>
            </w:r>
          </w:p>
        </w:tc>
        <w:tc>
          <w:tcPr>
            <w:tcW w:w="1843" w:type="dxa"/>
            <w:tcBorders>
              <w:top w:val="single" w:color="000000" w:sz="4" w:space="0"/>
              <w:left w:val="single" w:color="000000" w:sz="4" w:space="0"/>
              <w:bottom w:val="single" w:color="000000" w:sz="4" w:space="0"/>
              <w:right w:val="single" w:color="000000" w:sz="4" w:space="0"/>
            </w:tcBorders>
            <w:vAlign w:val="center"/>
          </w:tcPr>
          <w:p w14:paraId="1BC87AD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毛细现象演示器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167933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B1D501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00849C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F9EE136">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F32D2C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E631D7F">
            <w:pPr>
              <w:jc w:val="center"/>
              <w:textAlignment w:val="center"/>
              <w:rPr>
                <w:rFonts w:ascii="仿宋" w:hAnsi="仿宋" w:eastAsia="仿宋" w:cs="仿宋"/>
                <w:color w:val="auto"/>
                <w:highlight w:val="none"/>
              </w:rPr>
            </w:pPr>
          </w:p>
        </w:tc>
      </w:tr>
      <w:tr w14:paraId="1C42D9FB">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4BB362A">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165</w:t>
            </w:r>
          </w:p>
        </w:tc>
        <w:tc>
          <w:tcPr>
            <w:tcW w:w="1843" w:type="dxa"/>
            <w:tcBorders>
              <w:top w:val="single" w:color="000000" w:sz="4" w:space="0"/>
              <w:left w:val="single" w:color="000000" w:sz="4" w:space="0"/>
              <w:bottom w:val="single" w:color="000000" w:sz="4" w:space="0"/>
              <w:right w:val="single" w:color="000000" w:sz="4" w:space="0"/>
            </w:tcBorders>
            <w:vAlign w:val="center"/>
          </w:tcPr>
          <w:p w14:paraId="025F9E7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伽尔顿板(道尔顿板 )</w:t>
            </w:r>
          </w:p>
        </w:tc>
        <w:tc>
          <w:tcPr>
            <w:tcW w:w="1180" w:type="dxa"/>
            <w:tcBorders>
              <w:top w:val="single" w:color="000000" w:sz="4" w:space="0"/>
              <w:left w:val="single" w:color="000000" w:sz="4" w:space="0"/>
              <w:bottom w:val="single" w:color="000000" w:sz="4" w:space="0"/>
              <w:right w:val="single" w:color="000000" w:sz="4" w:space="0"/>
            </w:tcBorders>
            <w:vAlign w:val="center"/>
          </w:tcPr>
          <w:p w14:paraId="40CCDEC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9BEC2B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0A2363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41B2C7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DC52C8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68AD5EB">
            <w:pPr>
              <w:jc w:val="center"/>
              <w:textAlignment w:val="center"/>
              <w:rPr>
                <w:rFonts w:ascii="仿宋" w:hAnsi="仿宋" w:eastAsia="仿宋" w:cs="仿宋"/>
                <w:color w:val="auto"/>
                <w:highlight w:val="none"/>
              </w:rPr>
            </w:pPr>
          </w:p>
        </w:tc>
      </w:tr>
      <w:tr w14:paraId="5C593C2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A98454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166</w:t>
            </w:r>
          </w:p>
        </w:tc>
        <w:tc>
          <w:tcPr>
            <w:tcW w:w="1843" w:type="dxa"/>
            <w:tcBorders>
              <w:top w:val="single" w:color="000000" w:sz="4" w:space="0"/>
              <w:left w:val="single" w:color="000000" w:sz="4" w:space="0"/>
              <w:bottom w:val="single" w:color="000000" w:sz="4" w:space="0"/>
              <w:right w:val="single" w:color="000000" w:sz="4" w:space="0"/>
            </w:tcBorders>
            <w:vAlign w:val="center"/>
          </w:tcPr>
          <w:p w14:paraId="6054627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气体定律实验器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0DE674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0227EF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48604C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0727D5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05BF75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4F2D22D">
            <w:pPr>
              <w:jc w:val="center"/>
              <w:textAlignment w:val="center"/>
              <w:rPr>
                <w:rFonts w:ascii="仿宋" w:hAnsi="仿宋" w:eastAsia="仿宋" w:cs="仿宋"/>
                <w:color w:val="auto"/>
                <w:highlight w:val="none"/>
              </w:rPr>
            </w:pPr>
          </w:p>
        </w:tc>
      </w:tr>
      <w:tr w14:paraId="771F74C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C50ADE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167</w:t>
            </w:r>
          </w:p>
        </w:tc>
        <w:tc>
          <w:tcPr>
            <w:tcW w:w="1843" w:type="dxa"/>
            <w:tcBorders>
              <w:top w:val="single" w:color="000000" w:sz="4" w:space="0"/>
              <w:left w:val="single" w:color="000000" w:sz="4" w:space="0"/>
              <w:bottom w:val="single" w:color="000000" w:sz="4" w:space="0"/>
              <w:right w:val="single" w:color="000000" w:sz="4" w:space="0"/>
            </w:tcBorders>
            <w:vAlign w:val="center"/>
          </w:tcPr>
          <w:p w14:paraId="74D69EA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玻意耳定律演示器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0F93639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49E8E9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F180A5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B8C6ED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271EBD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267A5B1">
            <w:pPr>
              <w:jc w:val="center"/>
              <w:textAlignment w:val="center"/>
              <w:rPr>
                <w:rFonts w:ascii="仿宋" w:hAnsi="仿宋" w:eastAsia="仿宋" w:cs="仿宋"/>
                <w:color w:val="auto"/>
                <w:highlight w:val="none"/>
              </w:rPr>
            </w:pPr>
          </w:p>
        </w:tc>
      </w:tr>
      <w:tr w14:paraId="2D48A8F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73BBD4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168</w:t>
            </w:r>
          </w:p>
        </w:tc>
        <w:tc>
          <w:tcPr>
            <w:tcW w:w="1843" w:type="dxa"/>
            <w:tcBorders>
              <w:top w:val="single" w:color="000000" w:sz="4" w:space="0"/>
              <w:left w:val="single" w:color="000000" w:sz="4" w:space="0"/>
              <w:bottom w:val="single" w:color="000000" w:sz="4" w:space="0"/>
              <w:right w:val="single" w:color="000000" w:sz="4" w:space="0"/>
            </w:tcBorders>
            <w:vAlign w:val="center"/>
          </w:tcPr>
          <w:p w14:paraId="51CFA0CD">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盖 · 吕萨克定律演示器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0562767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9FBC26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862B3D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52F041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140D6E1">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3BFFC38">
            <w:pPr>
              <w:jc w:val="center"/>
              <w:textAlignment w:val="center"/>
              <w:rPr>
                <w:rFonts w:ascii="仿宋" w:hAnsi="仿宋" w:eastAsia="仿宋" w:cs="仿宋"/>
                <w:color w:val="auto"/>
                <w:highlight w:val="none"/>
              </w:rPr>
            </w:pPr>
          </w:p>
        </w:tc>
      </w:tr>
      <w:tr w14:paraId="0C20CA9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0C3970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169</w:t>
            </w:r>
          </w:p>
        </w:tc>
        <w:tc>
          <w:tcPr>
            <w:tcW w:w="1843" w:type="dxa"/>
            <w:tcBorders>
              <w:top w:val="single" w:color="000000" w:sz="4" w:space="0"/>
              <w:left w:val="single" w:color="000000" w:sz="4" w:space="0"/>
              <w:bottom w:val="single" w:color="000000" w:sz="4" w:space="0"/>
              <w:right w:val="single" w:color="000000" w:sz="4" w:space="0"/>
            </w:tcBorders>
            <w:vAlign w:val="center"/>
          </w:tcPr>
          <w:p w14:paraId="65673DB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气压模拟演示器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F7DBA4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67B2DB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E886D6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577F1F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76F9E7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6304D47">
            <w:pPr>
              <w:jc w:val="center"/>
              <w:textAlignment w:val="center"/>
              <w:rPr>
                <w:rFonts w:ascii="仿宋" w:hAnsi="仿宋" w:eastAsia="仿宋" w:cs="仿宋"/>
                <w:color w:val="auto"/>
                <w:highlight w:val="none"/>
              </w:rPr>
            </w:pPr>
          </w:p>
        </w:tc>
      </w:tr>
      <w:tr w14:paraId="0819F65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E36246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170</w:t>
            </w:r>
          </w:p>
        </w:tc>
        <w:tc>
          <w:tcPr>
            <w:tcW w:w="1843" w:type="dxa"/>
            <w:tcBorders>
              <w:top w:val="single" w:color="000000" w:sz="4" w:space="0"/>
              <w:left w:val="single" w:color="000000" w:sz="4" w:space="0"/>
              <w:bottom w:val="single" w:color="000000" w:sz="4" w:space="0"/>
              <w:right w:val="single" w:color="000000" w:sz="4" w:space="0"/>
            </w:tcBorders>
            <w:vAlign w:val="center"/>
          </w:tcPr>
          <w:p w14:paraId="69EFA692">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饱和水汽膨胀液化演示器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0AFBA79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FA2379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3ED766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7529CC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847386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B5BD151">
            <w:pPr>
              <w:jc w:val="center"/>
              <w:textAlignment w:val="center"/>
              <w:rPr>
                <w:rFonts w:ascii="仿宋" w:hAnsi="仿宋" w:eastAsia="仿宋" w:cs="仿宋"/>
                <w:color w:val="auto"/>
                <w:highlight w:val="none"/>
              </w:rPr>
            </w:pPr>
          </w:p>
        </w:tc>
      </w:tr>
      <w:tr w14:paraId="4F98F8A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B34C7D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171</w:t>
            </w:r>
          </w:p>
        </w:tc>
        <w:tc>
          <w:tcPr>
            <w:tcW w:w="1843" w:type="dxa"/>
            <w:tcBorders>
              <w:top w:val="single" w:color="000000" w:sz="4" w:space="0"/>
              <w:left w:val="single" w:color="000000" w:sz="4" w:space="0"/>
              <w:bottom w:val="single" w:color="000000" w:sz="4" w:space="0"/>
              <w:right w:val="single" w:color="000000" w:sz="4" w:space="0"/>
            </w:tcBorders>
            <w:vAlign w:val="center"/>
          </w:tcPr>
          <w:p w14:paraId="55E9E4C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气体定律演示器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607EFE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B1F1A0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5F7442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8C06E4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4CC9755">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6B6660E">
            <w:pPr>
              <w:jc w:val="center"/>
              <w:textAlignment w:val="center"/>
              <w:rPr>
                <w:rFonts w:ascii="仿宋" w:hAnsi="仿宋" w:eastAsia="仿宋" w:cs="仿宋"/>
                <w:color w:val="auto"/>
                <w:highlight w:val="none"/>
              </w:rPr>
            </w:pPr>
          </w:p>
        </w:tc>
      </w:tr>
      <w:tr w14:paraId="48BADE2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616138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172</w:t>
            </w:r>
          </w:p>
        </w:tc>
        <w:tc>
          <w:tcPr>
            <w:tcW w:w="1843" w:type="dxa"/>
            <w:tcBorders>
              <w:top w:val="single" w:color="000000" w:sz="4" w:space="0"/>
              <w:left w:val="single" w:color="000000" w:sz="4" w:space="0"/>
              <w:bottom w:val="single" w:color="000000" w:sz="4" w:space="0"/>
              <w:right w:val="single" w:color="000000" w:sz="4" w:space="0"/>
            </w:tcBorders>
            <w:vAlign w:val="center"/>
          </w:tcPr>
          <w:p w14:paraId="1445AAC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液体对流演示器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83F188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E3DD82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BFB733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71A64E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D32B08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F2FBD90">
            <w:pPr>
              <w:jc w:val="center"/>
              <w:textAlignment w:val="center"/>
              <w:rPr>
                <w:rFonts w:ascii="仿宋" w:hAnsi="仿宋" w:eastAsia="仿宋" w:cs="仿宋"/>
                <w:color w:val="auto"/>
                <w:highlight w:val="none"/>
              </w:rPr>
            </w:pPr>
          </w:p>
        </w:tc>
      </w:tr>
      <w:tr w14:paraId="239ACAB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F33FE1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173</w:t>
            </w:r>
          </w:p>
        </w:tc>
        <w:tc>
          <w:tcPr>
            <w:tcW w:w="1843" w:type="dxa"/>
            <w:tcBorders>
              <w:top w:val="single" w:color="000000" w:sz="4" w:space="0"/>
              <w:left w:val="single" w:color="000000" w:sz="4" w:space="0"/>
              <w:bottom w:val="single" w:color="000000" w:sz="4" w:space="0"/>
              <w:right w:val="single" w:color="000000" w:sz="4" w:space="0"/>
            </w:tcBorders>
            <w:vAlign w:val="center"/>
          </w:tcPr>
          <w:p w14:paraId="54FBCD5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露点测定器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33C72B4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D3FCBE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A7AF9F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CAB096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C6BB89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9F602EF">
            <w:pPr>
              <w:jc w:val="center"/>
              <w:textAlignment w:val="center"/>
              <w:rPr>
                <w:rFonts w:ascii="仿宋" w:hAnsi="仿宋" w:eastAsia="仿宋" w:cs="仿宋"/>
                <w:color w:val="auto"/>
                <w:highlight w:val="none"/>
              </w:rPr>
            </w:pPr>
          </w:p>
        </w:tc>
      </w:tr>
      <w:tr w14:paraId="5E1E4C3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FDEFFA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174</w:t>
            </w:r>
          </w:p>
        </w:tc>
        <w:tc>
          <w:tcPr>
            <w:tcW w:w="1843" w:type="dxa"/>
            <w:tcBorders>
              <w:top w:val="single" w:color="000000" w:sz="4" w:space="0"/>
              <w:left w:val="single" w:color="000000" w:sz="4" w:space="0"/>
              <w:bottom w:val="single" w:color="000000" w:sz="4" w:space="0"/>
              <w:right w:val="single" w:color="000000" w:sz="4" w:space="0"/>
            </w:tcBorders>
            <w:vAlign w:val="center"/>
          </w:tcPr>
          <w:p w14:paraId="3851B6C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萘的溶解于凝固</w:t>
            </w:r>
          </w:p>
        </w:tc>
        <w:tc>
          <w:tcPr>
            <w:tcW w:w="1180" w:type="dxa"/>
            <w:tcBorders>
              <w:top w:val="single" w:color="000000" w:sz="4" w:space="0"/>
              <w:left w:val="single" w:color="000000" w:sz="4" w:space="0"/>
              <w:bottom w:val="single" w:color="000000" w:sz="4" w:space="0"/>
              <w:right w:val="single" w:color="000000" w:sz="4" w:space="0"/>
            </w:tcBorders>
            <w:vAlign w:val="center"/>
          </w:tcPr>
          <w:p w14:paraId="1A4B706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0013B3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9D0935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5C2DD0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6FCF5C5">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F462AC1">
            <w:pPr>
              <w:jc w:val="center"/>
              <w:textAlignment w:val="center"/>
              <w:rPr>
                <w:rFonts w:ascii="仿宋" w:hAnsi="仿宋" w:eastAsia="仿宋" w:cs="仿宋"/>
                <w:color w:val="auto"/>
                <w:highlight w:val="none"/>
              </w:rPr>
            </w:pPr>
          </w:p>
        </w:tc>
      </w:tr>
      <w:tr w14:paraId="33FFA89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FF838B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175</w:t>
            </w:r>
          </w:p>
        </w:tc>
        <w:tc>
          <w:tcPr>
            <w:tcW w:w="1843" w:type="dxa"/>
            <w:tcBorders>
              <w:top w:val="single" w:color="000000" w:sz="4" w:space="0"/>
              <w:left w:val="single" w:color="000000" w:sz="4" w:space="0"/>
              <w:bottom w:val="single" w:color="000000" w:sz="4" w:space="0"/>
              <w:right w:val="single" w:color="000000" w:sz="4" w:space="0"/>
            </w:tcBorders>
            <w:vAlign w:val="center"/>
          </w:tcPr>
          <w:p w14:paraId="12D327F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指针验电器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32F3950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AA9A89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58817E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4643B7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F6B5B0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C5C73AC">
            <w:pPr>
              <w:jc w:val="center"/>
              <w:textAlignment w:val="center"/>
              <w:rPr>
                <w:rFonts w:ascii="仿宋" w:hAnsi="仿宋" w:eastAsia="仿宋" w:cs="仿宋"/>
                <w:color w:val="auto"/>
                <w:highlight w:val="none"/>
              </w:rPr>
            </w:pPr>
          </w:p>
        </w:tc>
      </w:tr>
      <w:tr w14:paraId="6EDA3B9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3D5B19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176</w:t>
            </w:r>
          </w:p>
        </w:tc>
        <w:tc>
          <w:tcPr>
            <w:tcW w:w="1843" w:type="dxa"/>
            <w:tcBorders>
              <w:top w:val="single" w:color="000000" w:sz="4" w:space="0"/>
              <w:left w:val="single" w:color="000000" w:sz="4" w:space="0"/>
              <w:bottom w:val="single" w:color="000000" w:sz="4" w:space="0"/>
              <w:right w:val="single" w:color="000000" w:sz="4" w:space="0"/>
            </w:tcBorders>
            <w:vAlign w:val="center"/>
          </w:tcPr>
          <w:p w14:paraId="09B4098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感应起电机</w:t>
            </w:r>
          </w:p>
        </w:tc>
        <w:tc>
          <w:tcPr>
            <w:tcW w:w="1180" w:type="dxa"/>
            <w:tcBorders>
              <w:top w:val="single" w:color="000000" w:sz="4" w:space="0"/>
              <w:left w:val="single" w:color="000000" w:sz="4" w:space="0"/>
              <w:bottom w:val="single" w:color="000000" w:sz="4" w:space="0"/>
              <w:right w:val="single" w:color="000000" w:sz="4" w:space="0"/>
            </w:tcBorders>
            <w:vAlign w:val="center"/>
          </w:tcPr>
          <w:p w14:paraId="3835128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4564EF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1CB523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265643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589AB3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1734466">
            <w:pPr>
              <w:jc w:val="center"/>
              <w:textAlignment w:val="center"/>
              <w:rPr>
                <w:rFonts w:ascii="仿宋" w:hAnsi="仿宋" w:eastAsia="仿宋" w:cs="仿宋"/>
                <w:color w:val="auto"/>
                <w:highlight w:val="none"/>
              </w:rPr>
            </w:pPr>
          </w:p>
        </w:tc>
      </w:tr>
      <w:tr w14:paraId="0A97B6A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882DD5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177</w:t>
            </w:r>
          </w:p>
        </w:tc>
        <w:tc>
          <w:tcPr>
            <w:tcW w:w="1843" w:type="dxa"/>
            <w:tcBorders>
              <w:top w:val="single" w:color="000000" w:sz="4" w:space="0"/>
              <w:left w:val="single" w:color="000000" w:sz="4" w:space="0"/>
              <w:bottom w:val="single" w:color="000000" w:sz="4" w:space="0"/>
              <w:right w:val="single" w:color="000000" w:sz="4" w:space="0"/>
            </w:tcBorders>
            <w:vAlign w:val="center"/>
          </w:tcPr>
          <w:p w14:paraId="04FA817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枕形导体</w:t>
            </w:r>
          </w:p>
        </w:tc>
        <w:tc>
          <w:tcPr>
            <w:tcW w:w="1180" w:type="dxa"/>
            <w:tcBorders>
              <w:top w:val="single" w:color="000000" w:sz="4" w:space="0"/>
              <w:left w:val="single" w:color="000000" w:sz="4" w:space="0"/>
              <w:bottom w:val="single" w:color="000000" w:sz="4" w:space="0"/>
              <w:right w:val="single" w:color="000000" w:sz="4" w:space="0"/>
            </w:tcBorders>
            <w:vAlign w:val="center"/>
          </w:tcPr>
          <w:p w14:paraId="297F383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8543CC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0B95A7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82745B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0DB85D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9258187">
            <w:pPr>
              <w:jc w:val="center"/>
              <w:textAlignment w:val="center"/>
              <w:rPr>
                <w:rFonts w:ascii="仿宋" w:hAnsi="仿宋" w:eastAsia="仿宋" w:cs="仿宋"/>
                <w:color w:val="auto"/>
                <w:highlight w:val="none"/>
              </w:rPr>
            </w:pPr>
          </w:p>
        </w:tc>
      </w:tr>
      <w:tr w14:paraId="12EC3FA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83F29F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178</w:t>
            </w:r>
          </w:p>
        </w:tc>
        <w:tc>
          <w:tcPr>
            <w:tcW w:w="1843" w:type="dxa"/>
            <w:tcBorders>
              <w:top w:val="single" w:color="000000" w:sz="4" w:space="0"/>
              <w:left w:val="single" w:color="000000" w:sz="4" w:space="0"/>
              <w:bottom w:val="single" w:color="000000" w:sz="4" w:space="0"/>
              <w:right w:val="single" w:color="000000" w:sz="4" w:space="0"/>
            </w:tcBorders>
            <w:vAlign w:val="center"/>
          </w:tcPr>
          <w:p w14:paraId="106A1B9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演示线路实验板</w:t>
            </w:r>
          </w:p>
        </w:tc>
        <w:tc>
          <w:tcPr>
            <w:tcW w:w="1180" w:type="dxa"/>
            <w:tcBorders>
              <w:top w:val="single" w:color="000000" w:sz="4" w:space="0"/>
              <w:left w:val="single" w:color="000000" w:sz="4" w:space="0"/>
              <w:bottom w:val="single" w:color="000000" w:sz="4" w:space="0"/>
              <w:right w:val="single" w:color="000000" w:sz="4" w:space="0"/>
            </w:tcBorders>
            <w:vAlign w:val="center"/>
          </w:tcPr>
          <w:p w14:paraId="694AFC5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A1AABE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74349F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5E12CD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56067A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9A21FEF">
            <w:pPr>
              <w:jc w:val="center"/>
              <w:textAlignment w:val="center"/>
              <w:rPr>
                <w:rFonts w:ascii="仿宋" w:hAnsi="仿宋" w:eastAsia="仿宋" w:cs="仿宋"/>
                <w:color w:val="auto"/>
                <w:highlight w:val="none"/>
              </w:rPr>
            </w:pPr>
          </w:p>
        </w:tc>
      </w:tr>
      <w:tr w14:paraId="36E98745">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C5A3EF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179</w:t>
            </w:r>
          </w:p>
        </w:tc>
        <w:tc>
          <w:tcPr>
            <w:tcW w:w="1843" w:type="dxa"/>
            <w:tcBorders>
              <w:top w:val="single" w:color="000000" w:sz="4" w:space="0"/>
              <w:left w:val="single" w:color="000000" w:sz="4" w:space="0"/>
              <w:bottom w:val="single" w:color="000000" w:sz="4" w:space="0"/>
              <w:right w:val="single" w:color="000000" w:sz="4" w:space="0"/>
            </w:tcBorders>
            <w:vAlign w:val="center"/>
          </w:tcPr>
          <w:p w14:paraId="467CF9A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保险丝作用演示器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9DAF2D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DB3599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2D4DF4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6BC2E3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2137B6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A5BB9BA">
            <w:pPr>
              <w:jc w:val="center"/>
              <w:textAlignment w:val="center"/>
              <w:rPr>
                <w:rFonts w:ascii="仿宋" w:hAnsi="仿宋" w:eastAsia="仿宋" w:cs="仿宋"/>
                <w:color w:val="auto"/>
                <w:highlight w:val="none"/>
              </w:rPr>
            </w:pPr>
          </w:p>
        </w:tc>
      </w:tr>
      <w:tr w14:paraId="67650AF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09A7E0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180</w:t>
            </w:r>
          </w:p>
        </w:tc>
        <w:tc>
          <w:tcPr>
            <w:tcW w:w="1843" w:type="dxa"/>
            <w:tcBorders>
              <w:top w:val="single" w:color="000000" w:sz="4" w:space="0"/>
              <w:left w:val="single" w:color="000000" w:sz="4" w:space="0"/>
              <w:bottom w:val="single" w:color="000000" w:sz="4" w:space="0"/>
              <w:right w:val="single" w:color="000000" w:sz="4" w:space="0"/>
            </w:tcBorders>
            <w:vAlign w:val="center"/>
          </w:tcPr>
          <w:p w14:paraId="4730104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范氏起电机</w:t>
            </w:r>
          </w:p>
        </w:tc>
        <w:tc>
          <w:tcPr>
            <w:tcW w:w="1180" w:type="dxa"/>
            <w:tcBorders>
              <w:top w:val="single" w:color="000000" w:sz="4" w:space="0"/>
              <w:left w:val="single" w:color="000000" w:sz="4" w:space="0"/>
              <w:bottom w:val="single" w:color="000000" w:sz="4" w:space="0"/>
              <w:right w:val="single" w:color="000000" w:sz="4" w:space="0"/>
            </w:tcBorders>
            <w:vAlign w:val="center"/>
          </w:tcPr>
          <w:p w14:paraId="3825DC6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584A41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DC620F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3BA26E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1BBE07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B3215FD">
            <w:pPr>
              <w:jc w:val="center"/>
              <w:textAlignment w:val="center"/>
              <w:rPr>
                <w:rFonts w:ascii="仿宋" w:hAnsi="仿宋" w:eastAsia="仿宋" w:cs="仿宋"/>
                <w:color w:val="auto"/>
                <w:highlight w:val="none"/>
              </w:rPr>
            </w:pPr>
          </w:p>
        </w:tc>
      </w:tr>
      <w:tr w14:paraId="59E487E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E2A072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181</w:t>
            </w:r>
          </w:p>
        </w:tc>
        <w:tc>
          <w:tcPr>
            <w:tcW w:w="1843" w:type="dxa"/>
            <w:tcBorders>
              <w:top w:val="single" w:color="000000" w:sz="4" w:space="0"/>
              <w:left w:val="single" w:color="000000" w:sz="4" w:space="0"/>
              <w:bottom w:val="single" w:color="000000" w:sz="4" w:space="0"/>
              <w:right w:val="single" w:color="000000" w:sz="4" w:space="0"/>
            </w:tcBorders>
            <w:vAlign w:val="center"/>
          </w:tcPr>
          <w:p w14:paraId="339E017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球形导体</w:t>
            </w:r>
          </w:p>
        </w:tc>
        <w:tc>
          <w:tcPr>
            <w:tcW w:w="1180" w:type="dxa"/>
            <w:tcBorders>
              <w:top w:val="single" w:color="000000" w:sz="4" w:space="0"/>
              <w:left w:val="single" w:color="000000" w:sz="4" w:space="0"/>
              <w:bottom w:val="single" w:color="000000" w:sz="4" w:space="0"/>
              <w:right w:val="single" w:color="000000" w:sz="4" w:space="0"/>
            </w:tcBorders>
            <w:vAlign w:val="center"/>
          </w:tcPr>
          <w:p w14:paraId="3F5FBB1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33192A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B0D8E1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ABD746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D63C7A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553B631">
            <w:pPr>
              <w:jc w:val="center"/>
              <w:textAlignment w:val="center"/>
              <w:rPr>
                <w:rFonts w:ascii="仿宋" w:hAnsi="仿宋" w:eastAsia="仿宋" w:cs="仿宋"/>
                <w:color w:val="auto"/>
                <w:highlight w:val="none"/>
              </w:rPr>
            </w:pPr>
          </w:p>
        </w:tc>
      </w:tr>
      <w:tr w14:paraId="19CFD59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DF02E2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182</w:t>
            </w:r>
          </w:p>
        </w:tc>
        <w:tc>
          <w:tcPr>
            <w:tcW w:w="1843" w:type="dxa"/>
            <w:tcBorders>
              <w:top w:val="single" w:color="000000" w:sz="4" w:space="0"/>
              <w:left w:val="single" w:color="000000" w:sz="4" w:space="0"/>
              <w:bottom w:val="single" w:color="000000" w:sz="4" w:space="0"/>
              <w:right w:val="single" w:color="000000" w:sz="4" w:space="0"/>
            </w:tcBorders>
            <w:vAlign w:val="center"/>
          </w:tcPr>
          <w:p w14:paraId="62F39E3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验电器连接杆</w:t>
            </w:r>
          </w:p>
        </w:tc>
        <w:tc>
          <w:tcPr>
            <w:tcW w:w="1180" w:type="dxa"/>
            <w:tcBorders>
              <w:top w:val="single" w:color="000000" w:sz="4" w:space="0"/>
              <w:left w:val="single" w:color="000000" w:sz="4" w:space="0"/>
              <w:bottom w:val="single" w:color="000000" w:sz="4" w:space="0"/>
              <w:right w:val="single" w:color="000000" w:sz="4" w:space="0"/>
            </w:tcBorders>
            <w:vAlign w:val="center"/>
          </w:tcPr>
          <w:p w14:paraId="2BC3582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C4D497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EC02AC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2A6271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60D129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6434374">
            <w:pPr>
              <w:jc w:val="center"/>
              <w:textAlignment w:val="center"/>
              <w:rPr>
                <w:rFonts w:ascii="仿宋" w:hAnsi="仿宋" w:eastAsia="仿宋" w:cs="仿宋"/>
                <w:color w:val="auto"/>
                <w:highlight w:val="none"/>
              </w:rPr>
            </w:pPr>
          </w:p>
        </w:tc>
      </w:tr>
      <w:tr w14:paraId="11B9AC2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D74F65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183</w:t>
            </w:r>
          </w:p>
        </w:tc>
        <w:tc>
          <w:tcPr>
            <w:tcW w:w="1843" w:type="dxa"/>
            <w:tcBorders>
              <w:top w:val="single" w:color="000000" w:sz="4" w:space="0"/>
              <w:left w:val="single" w:color="000000" w:sz="4" w:space="0"/>
              <w:bottom w:val="single" w:color="000000" w:sz="4" w:space="0"/>
              <w:right w:val="single" w:color="000000" w:sz="4" w:space="0"/>
            </w:tcBorders>
            <w:vAlign w:val="center"/>
          </w:tcPr>
          <w:p w14:paraId="6B6B8AB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移电球(验电球)</w:t>
            </w:r>
          </w:p>
        </w:tc>
        <w:tc>
          <w:tcPr>
            <w:tcW w:w="1180" w:type="dxa"/>
            <w:tcBorders>
              <w:top w:val="single" w:color="000000" w:sz="4" w:space="0"/>
              <w:left w:val="single" w:color="000000" w:sz="4" w:space="0"/>
              <w:bottom w:val="single" w:color="000000" w:sz="4" w:space="0"/>
              <w:right w:val="single" w:color="000000" w:sz="4" w:space="0"/>
            </w:tcBorders>
            <w:vAlign w:val="center"/>
          </w:tcPr>
          <w:p w14:paraId="04361C6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CCE3A7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304141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90DB75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4629A5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6839172">
            <w:pPr>
              <w:jc w:val="center"/>
              <w:textAlignment w:val="center"/>
              <w:rPr>
                <w:rFonts w:ascii="仿宋" w:hAnsi="仿宋" w:eastAsia="仿宋" w:cs="仿宋"/>
                <w:color w:val="auto"/>
                <w:highlight w:val="none"/>
              </w:rPr>
            </w:pPr>
          </w:p>
        </w:tc>
      </w:tr>
      <w:tr w14:paraId="2BFDA89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735041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184</w:t>
            </w:r>
          </w:p>
        </w:tc>
        <w:tc>
          <w:tcPr>
            <w:tcW w:w="1843" w:type="dxa"/>
            <w:tcBorders>
              <w:top w:val="single" w:color="000000" w:sz="4" w:space="0"/>
              <w:left w:val="single" w:color="000000" w:sz="4" w:space="0"/>
              <w:bottom w:val="single" w:color="000000" w:sz="4" w:space="0"/>
              <w:right w:val="single" w:color="000000" w:sz="4" w:space="0"/>
            </w:tcBorders>
            <w:vAlign w:val="center"/>
          </w:tcPr>
          <w:p w14:paraId="34DE13E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验电羽</w:t>
            </w:r>
          </w:p>
        </w:tc>
        <w:tc>
          <w:tcPr>
            <w:tcW w:w="1180" w:type="dxa"/>
            <w:tcBorders>
              <w:top w:val="single" w:color="000000" w:sz="4" w:space="0"/>
              <w:left w:val="single" w:color="000000" w:sz="4" w:space="0"/>
              <w:bottom w:val="single" w:color="000000" w:sz="4" w:space="0"/>
              <w:right w:val="single" w:color="000000" w:sz="4" w:space="0"/>
            </w:tcBorders>
            <w:vAlign w:val="center"/>
          </w:tcPr>
          <w:p w14:paraId="765118D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02F9EE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18D89A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3CE51E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BE956C1">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E870A4A">
            <w:pPr>
              <w:jc w:val="center"/>
              <w:textAlignment w:val="center"/>
              <w:rPr>
                <w:rFonts w:ascii="仿宋" w:hAnsi="仿宋" w:eastAsia="仿宋" w:cs="仿宋"/>
                <w:color w:val="auto"/>
                <w:highlight w:val="none"/>
              </w:rPr>
            </w:pPr>
          </w:p>
        </w:tc>
      </w:tr>
      <w:tr w14:paraId="6469D48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3ED2B3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185</w:t>
            </w:r>
          </w:p>
        </w:tc>
        <w:tc>
          <w:tcPr>
            <w:tcW w:w="1843" w:type="dxa"/>
            <w:tcBorders>
              <w:top w:val="single" w:color="000000" w:sz="4" w:space="0"/>
              <w:left w:val="single" w:color="000000" w:sz="4" w:space="0"/>
              <w:bottom w:val="single" w:color="000000" w:sz="4" w:space="0"/>
              <w:right w:val="single" w:color="000000" w:sz="4" w:space="0"/>
            </w:tcBorders>
            <w:vAlign w:val="center"/>
          </w:tcPr>
          <w:p w14:paraId="6DBE411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验电幡</w:t>
            </w:r>
          </w:p>
        </w:tc>
        <w:tc>
          <w:tcPr>
            <w:tcW w:w="1180" w:type="dxa"/>
            <w:tcBorders>
              <w:top w:val="single" w:color="000000" w:sz="4" w:space="0"/>
              <w:left w:val="single" w:color="000000" w:sz="4" w:space="0"/>
              <w:bottom w:val="single" w:color="000000" w:sz="4" w:space="0"/>
              <w:right w:val="single" w:color="000000" w:sz="4" w:space="0"/>
            </w:tcBorders>
            <w:vAlign w:val="center"/>
          </w:tcPr>
          <w:p w14:paraId="123588B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2F3F69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9AE03A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468324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CA4CD9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25A9081">
            <w:pPr>
              <w:jc w:val="center"/>
              <w:textAlignment w:val="center"/>
              <w:rPr>
                <w:rFonts w:ascii="仿宋" w:hAnsi="仿宋" w:eastAsia="仿宋" w:cs="仿宋"/>
                <w:color w:val="auto"/>
                <w:highlight w:val="none"/>
              </w:rPr>
            </w:pPr>
          </w:p>
        </w:tc>
      </w:tr>
      <w:tr w14:paraId="6324EA4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73C2AD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186</w:t>
            </w:r>
          </w:p>
        </w:tc>
        <w:tc>
          <w:tcPr>
            <w:tcW w:w="1843" w:type="dxa"/>
            <w:tcBorders>
              <w:top w:val="single" w:color="000000" w:sz="4" w:space="0"/>
              <w:left w:val="single" w:color="000000" w:sz="4" w:space="0"/>
              <w:bottom w:val="single" w:color="000000" w:sz="4" w:space="0"/>
              <w:right w:val="single" w:color="000000" w:sz="4" w:space="0"/>
            </w:tcBorders>
            <w:vAlign w:val="center"/>
          </w:tcPr>
          <w:p w14:paraId="4D2463C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尖形布电器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863F8F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53F71D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E7C104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8E32CE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8328B0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EA81942">
            <w:pPr>
              <w:jc w:val="center"/>
              <w:textAlignment w:val="center"/>
              <w:rPr>
                <w:rFonts w:ascii="仿宋" w:hAnsi="仿宋" w:eastAsia="仿宋" w:cs="仿宋"/>
                <w:color w:val="auto"/>
                <w:highlight w:val="none"/>
              </w:rPr>
            </w:pPr>
          </w:p>
        </w:tc>
      </w:tr>
      <w:tr w14:paraId="01FBC85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DBF15A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187</w:t>
            </w:r>
          </w:p>
        </w:tc>
        <w:tc>
          <w:tcPr>
            <w:tcW w:w="1843" w:type="dxa"/>
            <w:tcBorders>
              <w:top w:val="single" w:color="000000" w:sz="4" w:space="0"/>
              <w:left w:val="single" w:color="000000" w:sz="4" w:space="0"/>
              <w:bottom w:val="single" w:color="000000" w:sz="4" w:space="0"/>
              <w:right w:val="single" w:color="000000" w:sz="4" w:space="0"/>
            </w:tcBorders>
            <w:vAlign w:val="center"/>
          </w:tcPr>
          <w:p w14:paraId="35CBBF7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正负电荷检验器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433CDD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7DA065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D49B5E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37F90A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C05EEA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ABD3F84">
            <w:pPr>
              <w:jc w:val="center"/>
              <w:textAlignment w:val="center"/>
              <w:rPr>
                <w:rFonts w:ascii="仿宋" w:hAnsi="仿宋" w:eastAsia="仿宋" w:cs="仿宋"/>
                <w:color w:val="auto"/>
                <w:highlight w:val="none"/>
              </w:rPr>
            </w:pPr>
          </w:p>
        </w:tc>
      </w:tr>
      <w:tr w14:paraId="7AC2AF8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35FAE3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188</w:t>
            </w:r>
          </w:p>
        </w:tc>
        <w:tc>
          <w:tcPr>
            <w:tcW w:w="1843" w:type="dxa"/>
            <w:tcBorders>
              <w:top w:val="single" w:color="000000" w:sz="4" w:space="0"/>
              <w:left w:val="single" w:color="000000" w:sz="4" w:space="0"/>
              <w:bottom w:val="single" w:color="000000" w:sz="4" w:space="0"/>
              <w:right w:val="single" w:color="000000" w:sz="4" w:space="0"/>
            </w:tcBorders>
            <w:vAlign w:val="center"/>
          </w:tcPr>
          <w:p w14:paraId="463A783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静电实验箱</w:t>
            </w:r>
          </w:p>
        </w:tc>
        <w:tc>
          <w:tcPr>
            <w:tcW w:w="1180" w:type="dxa"/>
            <w:tcBorders>
              <w:top w:val="single" w:color="000000" w:sz="4" w:space="0"/>
              <w:left w:val="single" w:color="000000" w:sz="4" w:space="0"/>
              <w:bottom w:val="single" w:color="000000" w:sz="4" w:space="0"/>
              <w:right w:val="single" w:color="000000" w:sz="4" w:space="0"/>
            </w:tcBorders>
            <w:vAlign w:val="center"/>
          </w:tcPr>
          <w:p w14:paraId="70A26C5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EF55D8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6C9961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0DA2C5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FB82A6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552ED60">
            <w:pPr>
              <w:jc w:val="center"/>
              <w:textAlignment w:val="center"/>
              <w:rPr>
                <w:rFonts w:ascii="仿宋" w:hAnsi="仿宋" w:eastAsia="仿宋" w:cs="仿宋"/>
                <w:color w:val="auto"/>
                <w:highlight w:val="none"/>
              </w:rPr>
            </w:pPr>
          </w:p>
        </w:tc>
      </w:tr>
      <w:tr w14:paraId="77A489A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089380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189</w:t>
            </w:r>
          </w:p>
        </w:tc>
        <w:tc>
          <w:tcPr>
            <w:tcW w:w="1843" w:type="dxa"/>
            <w:tcBorders>
              <w:top w:val="single" w:color="000000" w:sz="4" w:space="0"/>
              <w:left w:val="single" w:color="000000" w:sz="4" w:space="0"/>
              <w:bottom w:val="single" w:color="000000" w:sz="4" w:space="0"/>
              <w:right w:val="single" w:color="000000" w:sz="4" w:space="0"/>
            </w:tcBorders>
            <w:vAlign w:val="center"/>
          </w:tcPr>
          <w:p w14:paraId="20AF0B8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金属网罩</w:t>
            </w:r>
          </w:p>
        </w:tc>
        <w:tc>
          <w:tcPr>
            <w:tcW w:w="1180" w:type="dxa"/>
            <w:tcBorders>
              <w:top w:val="single" w:color="000000" w:sz="4" w:space="0"/>
              <w:left w:val="single" w:color="000000" w:sz="4" w:space="0"/>
              <w:bottom w:val="single" w:color="000000" w:sz="4" w:space="0"/>
              <w:right w:val="single" w:color="000000" w:sz="4" w:space="0"/>
            </w:tcBorders>
            <w:vAlign w:val="center"/>
          </w:tcPr>
          <w:p w14:paraId="31C2090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80EFEA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ACD45E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D9C18E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F2377C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428B605">
            <w:pPr>
              <w:jc w:val="center"/>
              <w:textAlignment w:val="center"/>
              <w:rPr>
                <w:rFonts w:ascii="仿宋" w:hAnsi="仿宋" w:eastAsia="仿宋" w:cs="仿宋"/>
                <w:color w:val="auto"/>
                <w:highlight w:val="none"/>
              </w:rPr>
            </w:pPr>
          </w:p>
        </w:tc>
      </w:tr>
      <w:tr w14:paraId="6AC8BD7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F4B35D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190</w:t>
            </w:r>
          </w:p>
        </w:tc>
        <w:tc>
          <w:tcPr>
            <w:tcW w:w="1843" w:type="dxa"/>
            <w:tcBorders>
              <w:top w:val="single" w:color="000000" w:sz="4" w:space="0"/>
              <w:left w:val="single" w:color="000000" w:sz="4" w:space="0"/>
              <w:bottom w:val="single" w:color="000000" w:sz="4" w:space="0"/>
              <w:right w:val="single" w:color="000000" w:sz="4" w:space="0"/>
            </w:tcBorders>
            <w:vAlign w:val="center"/>
          </w:tcPr>
          <w:p w14:paraId="5DDDF6A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电荷间作用力演示器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24D5D65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EB39A2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C7A3AB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78FF9A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C54CBB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A0669E2">
            <w:pPr>
              <w:jc w:val="center"/>
              <w:textAlignment w:val="center"/>
              <w:rPr>
                <w:rFonts w:ascii="仿宋" w:hAnsi="仿宋" w:eastAsia="仿宋" w:cs="仿宋"/>
                <w:color w:val="auto"/>
                <w:highlight w:val="none"/>
              </w:rPr>
            </w:pPr>
          </w:p>
        </w:tc>
      </w:tr>
      <w:tr w14:paraId="774668C5">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B48392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191</w:t>
            </w:r>
          </w:p>
        </w:tc>
        <w:tc>
          <w:tcPr>
            <w:tcW w:w="1843" w:type="dxa"/>
            <w:tcBorders>
              <w:top w:val="single" w:color="000000" w:sz="4" w:space="0"/>
              <w:left w:val="single" w:color="000000" w:sz="4" w:space="0"/>
              <w:bottom w:val="single" w:color="000000" w:sz="4" w:space="0"/>
              <w:right w:val="single" w:color="000000" w:sz="4" w:space="0"/>
            </w:tcBorders>
            <w:vAlign w:val="center"/>
          </w:tcPr>
          <w:p w14:paraId="7C4383E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电荷间作用力实验器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3502E41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C5EF17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C53958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E55A4D6">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A6A5F1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0C147DA">
            <w:pPr>
              <w:jc w:val="center"/>
              <w:textAlignment w:val="center"/>
              <w:rPr>
                <w:rFonts w:ascii="仿宋" w:hAnsi="仿宋" w:eastAsia="仿宋" w:cs="仿宋"/>
                <w:color w:val="auto"/>
                <w:highlight w:val="none"/>
              </w:rPr>
            </w:pPr>
          </w:p>
        </w:tc>
      </w:tr>
      <w:tr w14:paraId="4454ED8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B33A82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192</w:t>
            </w:r>
          </w:p>
        </w:tc>
        <w:tc>
          <w:tcPr>
            <w:tcW w:w="1843" w:type="dxa"/>
            <w:tcBorders>
              <w:top w:val="single" w:color="000000" w:sz="4" w:space="0"/>
              <w:left w:val="single" w:color="000000" w:sz="4" w:space="0"/>
              <w:bottom w:val="single" w:color="000000" w:sz="4" w:space="0"/>
              <w:right w:val="single" w:color="000000" w:sz="4" w:space="0"/>
            </w:tcBorders>
            <w:vAlign w:val="center"/>
          </w:tcPr>
          <w:p w14:paraId="3371860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库仑定律演示器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1E85916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CA4BBC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BF10A1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418E43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38A879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BE49196">
            <w:pPr>
              <w:jc w:val="center"/>
              <w:textAlignment w:val="center"/>
              <w:rPr>
                <w:rFonts w:ascii="仿宋" w:hAnsi="仿宋" w:eastAsia="仿宋" w:cs="仿宋"/>
                <w:color w:val="auto"/>
                <w:highlight w:val="none"/>
              </w:rPr>
            </w:pPr>
          </w:p>
        </w:tc>
      </w:tr>
      <w:tr w14:paraId="4D4111C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D312E6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193</w:t>
            </w:r>
          </w:p>
        </w:tc>
        <w:tc>
          <w:tcPr>
            <w:tcW w:w="1843" w:type="dxa"/>
            <w:tcBorders>
              <w:top w:val="single" w:color="000000" w:sz="4" w:space="0"/>
              <w:left w:val="single" w:color="000000" w:sz="4" w:space="0"/>
              <w:bottom w:val="single" w:color="000000" w:sz="4" w:space="0"/>
              <w:right w:val="single" w:color="000000" w:sz="4" w:space="0"/>
            </w:tcBorders>
            <w:vAlign w:val="center"/>
          </w:tcPr>
          <w:p w14:paraId="2F7E1BE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电场线演示器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8D6D9C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69DFF6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8BA9D3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839971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F3CAE31">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8F56D56">
            <w:pPr>
              <w:jc w:val="center"/>
              <w:textAlignment w:val="center"/>
              <w:rPr>
                <w:rFonts w:ascii="仿宋" w:hAnsi="仿宋" w:eastAsia="仿宋" w:cs="仿宋"/>
                <w:color w:val="auto"/>
                <w:highlight w:val="none"/>
              </w:rPr>
            </w:pPr>
          </w:p>
        </w:tc>
      </w:tr>
      <w:tr w14:paraId="50F4A3E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86BE2A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194</w:t>
            </w:r>
          </w:p>
        </w:tc>
        <w:tc>
          <w:tcPr>
            <w:tcW w:w="1843" w:type="dxa"/>
            <w:tcBorders>
              <w:top w:val="single" w:color="000000" w:sz="4" w:space="0"/>
              <w:left w:val="single" w:color="000000" w:sz="4" w:space="0"/>
              <w:bottom w:val="single" w:color="000000" w:sz="4" w:space="0"/>
              <w:right w:val="single" w:color="000000" w:sz="4" w:space="0"/>
            </w:tcBorders>
            <w:vAlign w:val="center"/>
          </w:tcPr>
          <w:p w14:paraId="44C0974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电势演示仪</w:t>
            </w:r>
          </w:p>
        </w:tc>
        <w:tc>
          <w:tcPr>
            <w:tcW w:w="1180" w:type="dxa"/>
            <w:tcBorders>
              <w:top w:val="single" w:color="000000" w:sz="4" w:space="0"/>
              <w:left w:val="single" w:color="000000" w:sz="4" w:space="0"/>
              <w:bottom w:val="single" w:color="000000" w:sz="4" w:space="0"/>
              <w:right w:val="single" w:color="000000" w:sz="4" w:space="0"/>
            </w:tcBorders>
            <w:vAlign w:val="center"/>
          </w:tcPr>
          <w:p w14:paraId="2C38171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FA6ADA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3190B1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6C2BB0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8666BD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B563EE1">
            <w:pPr>
              <w:jc w:val="center"/>
              <w:textAlignment w:val="center"/>
              <w:rPr>
                <w:rFonts w:ascii="仿宋" w:hAnsi="仿宋" w:eastAsia="仿宋" w:cs="仿宋"/>
                <w:color w:val="auto"/>
                <w:highlight w:val="none"/>
              </w:rPr>
            </w:pPr>
          </w:p>
        </w:tc>
      </w:tr>
      <w:tr w14:paraId="36FD7E2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E0932B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195</w:t>
            </w:r>
          </w:p>
        </w:tc>
        <w:tc>
          <w:tcPr>
            <w:tcW w:w="1843" w:type="dxa"/>
            <w:tcBorders>
              <w:top w:val="single" w:color="000000" w:sz="4" w:space="0"/>
              <w:left w:val="single" w:color="000000" w:sz="4" w:space="0"/>
              <w:bottom w:val="single" w:color="000000" w:sz="4" w:space="0"/>
              <w:right w:val="single" w:color="000000" w:sz="4" w:space="0"/>
            </w:tcBorders>
            <w:vAlign w:val="center"/>
          </w:tcPr>
          <w:p w14:paraId="060B2C5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等势线描绘实验器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18C1C89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4FDDDD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9B8C62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9B2355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505313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B18CB88">
            <w:pPr>
              <w:jc w:val="center"/>
              <w:textAlignment w:val="center"/>
              <w:rPr>
                <w:rFonts w:ascii="仿宋" w:hAnsi="仿宋" w:eastAsia="仿宋" w:cs="仿宋"/>
                <w:color w:val="auto"/>
                <w:highlight w:val="none"/>
              </w:rPr>
            </w:pPr>
          </w:p>
        </w:tc>
      </w:tr>
      <w:tr w14:paraId="1189C31B">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1D067B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196</w:t>
            </w:r>
          </w:p>
        </w:tc>
        <w:tc>
          <w:tcPr>
            <w:tcW w:w="1843" w:type="dxa"/>
            <w:tcBorders>
              <w:top w:val="single" w:color="000000" w:sz="4" w:space="0"/>
              <w:left w:val="single" w:color="000000" w:sz="4" w:space="0"/>
              <w:bottom w:val="single" w:color="000000" w:sz="4" w:space="0"/>
              <w:right w:val="single" w:color="000000" w:sz="4" w:space="0"/>
            </w:tcBorders>
            <w:vAlign w:val="center"/>
          </w:tcPr>
          <w:p w14:paraId="7A3ADDE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平行板电容器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F17A12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4CAB49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452BD6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A90FBA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890305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110556E">
            <w:pPr>
              <w:jc w:val="center"/>
              <w:textAlignment w:val="center"/>
              <w:rPr>
                <w:rFonts w:ascii="仿宋" w:hAnsi="仿宋" w:eastAsia="仿宋" w:cs="仿宋"/>
                <w:color w:val="auto"/>
                <w:highlight w:val="none"/>
              </w:rPr>
            </w:pPr>
          </w:p>
        </w:tc>
      </w:tr>
      <w:tr w14:paraId="071597E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CEDBF8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197</w:t>
            </w:r>
          </w:p>
        </w:tc>
        <w:tc>
          <w:tcPr>
            <w:tcW w:w="1843" w:type="dxa"/>
            <w:tcBorders>
              <w:top w:val="single" w:color="000000" w:sz="4" w:space="0"/>
              <w:left w:val="single" w:color="000000" w:sz="4" w:space="0"/>
              <w:bottom w:val="single" w:color="000000" w:sz="4" w:space="0"/>
              <w:right w:val="single" w:color="000000" w:sz="4" w:space="0"/>
            </w:tcBorders>
            <w:vAlign w:val="center"/>
          </w:tcPr>
          <w:p w14:paraId="7688BF93">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电场中带电粒子运动模拟演示器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0C89A1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C33D97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5DB616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5605F4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478DA26">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E18D137">
            <w:pPr>
              <w:jc w:val="center"/>
              <w:textAlignment w:val="center"/>
              <w:rPr>
                <w:rFonts w:ascii="仿宋" w:hAnsi="仿宋" w:eastAsia="仿宋" w:cs="仿宋"/>
                <w:color w:val="auto"/>
                <w:highlight w:val="none"/>
              </w:rPr>
            </w:pPr>
          </w:p>
        </w:tc>
      </w:tr>
      <w:tr w14:paraId="47665EE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9AC4F9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198</w:t>
            </w:r>
          </w:p>
        </w:tc>
        <w:tc>
          <w:tcPr>
            <w:tcW w:w="1843" w:type="dxa"/>
            <w:tcBorders>
              <w:top w:val="single" w:color="000000" w:sz="4" w:space="0"/>
              <w:left w:val="single" w:color="000000" w:sz="4" w:space="0"/>
              <w:bottom w:val="single" w:color="000000" w:sz="4" w:space="0"/>
              <w:right w:val="single" w:color="000000" w:sz="4" w:space="0"/>
            </w:tcBorders>
            <w:vAlign w:val="center"/>
          </w:tcPr>
          <w:p w14:paraId="7D0A71E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常用电容器示教板</w:t>
            </w:r>
          </w:p>
        </w:tc>
        <w:tc>
          <w:tcPr>
            <w:tcW w:w="1180" w:type="dxa"/>
            <w:tcBorders>
              <w:top w:val="single" w:color="000000" w:sz="4" w:space="0"/>
              <w:left w:val="single" w:color="000000" w:sz="4" w:space="0"/>
              <w:bottom w:val="single" w:color="000000" w:sz="4" w:space="0"/>
              <w:right w:val="single" w:color="000000" w:sz="4" w:space="0"/>
            </w:tcBorders>
            <w:vAlign w:val="center"/>
          </w:tcPr>
          <w:p w14:paraId="6268C1D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192473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AF75EA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88BCA4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228B3F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F1FF3AD">
            <w:pPr>
              <w:jc w:val="center"/>
              <w:textAlignment w:val="center"/>
              <w:rPr>
                <w:rFonts w:ascii="仿宋" w:hAnsi="仿宋" w:eastAsia="仿宋" w:cs="仿宋"/>
                <w:color w:val="auto"/>
                <w:highlight w:val="none"/>
              </w:rPr>
            </w:pPr>
          </w:p>
        </w:tc>
      </w:tr>
      <w:tr w14:paraId="5F5882B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A54F18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199</w:t>
            </w:r>
          </w:p>
        </w:tc>
        <w:tc>
          <w:tcPr>
            <w:tcW w:w="1843" w:type="dxa"/>
            <w:tcBorders>
              <w:top w:val="single" w:color="000000" w:sz="4" w:space="0"/>
              <w:left w:val="single" w:color="000000" w:sz="4" w:space="0"/>
              <w:bottom w:val="single" w:color="000000" w:sz="4" w:space="0"/>
              <w:right w:val="single" w:color="000000" w:sz="4" w:space="0"/>
            </w:tcBorders>
            <w:vAlign w:val="center"/>
          </w:tcPr>
          <w:p w14:paraId="232D34A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常用电阻器示教板</w:t>
            </w:r>
          </w:p>
        </w:tc>
        <w:tc>
          <w:tcPr>
            <w:tcW w:w="1180" w:type="dxa"/>
            <w:tcBorders>
              <w:top w:val="single" w:color="000000" w:sz="4" w:space="0"/>
              <w:left w:val="single" w:color="000000" w:sz="4" w:space="0"/>
              <w:bottom w:val="single" w:color="000000" w:sz="4" w:space="0"/>
              <w:right w:val="single" w:color="000000" w:sz="4" w:space="0"/>
            </w:tcBorders>
            <w:vAlign w:val="center"/>
          </w:tcPr>
          <w:p w14:paraId="47D2178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AE0E65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4B0829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AABDD0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F73252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6454A46">
            <w:pPr>
              <w:jc w:val="center"/>
              <w:textAlignment w:val="center"/>
              <w:rPr>
                <w:rFonts w:ascii="仿宋" w:hAnsi="仿宋" w:eastAsia="仿宋" w:cs="仿宋"/>
                <w:color w:val="auto"/>
                <w:highlight w:val="none"/>
              </w:rPr>
            </w:pPr>
          </w:p>
        </w:tc>
      </w:tr>
      <w:tr w14:paraId="5DD3E04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61FE3D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200</w:t>
            </w:r>
          </w:p>
        </w:tc>
        <w:tc>
          <w:tcPr>
            <w:tcW w:w="1843" w:type="dxa"/>
            <w:tcBorders>
              <w:top w:val="single" w:color="000000" w:sz="4" w:space="0"/>
              <w:left w:val="single" w:color="000000" w:sz="4" w:space="0"/>
              <w:bottom w:val="single" w:color="000000" w:sz="4" w:space="0"/>
              <w:right w:val="single" w:color="000000" w:sz="4" w:space="0"/>
            </w:tcBorders>
            <w:vAlign w:val="center"/>
          </w:tcPr>
          <w:p w14:paraId="308A381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演示可调内阻电池</w:t>
            </w:r>
          </w:p>
        </w:tc>
        <w:tc>
          <w:tcPr>
            <w:tcW w:w="1180" w:type="dxa"/>
            <w:tcBorders>
              <w:top w:val="single" w:color="000000" w:sz="4" w:space="0"/>
              <w:left w:val="single" w:color="000000" w:sz="4" w:space="0"/>
              <w:bottom w:val="single" w:color="000000" w:sz="4" w:space="0"/>
              <w:right w:val="single" w:color="000000" w:sz="4" w:space="0"/>
            </w:tcBorders>
            <w:vAlign w:val="center"/>
          </w:tcPr>
          <w:p w14:paraId="301690D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FCA328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5F571D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5D2BB9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90E581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4F0DC41">
            <w:pPr>
              <w:jc w:val="center"/>
              <w:textAlignment w:val="center"/>
              <w:rPr>
                <w:rFonts w:ascii="仿宋" w:hAnsi="仿宋" w:eastAsia="仿宋" w:cs="仿宋"/>
                <w:color w:val="auto"/>
                <w:highlight w:val="none"/>
              </w:rPr>
            </w:pPr>
          </w:p>
        </w:tc>
      </w:tr>
      <w:tr w14:paraId="7756800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0F996B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201</w:t>
            </w:r>
          </w:p>
        </w:tc>
        <w:tc>
          <w:tcPr>
            <w:tcW w:w="1843" w:type="dxa"/>
            <w:tcBorders>
              <w:top w:val="single" w:color="000000" w:sz="4" w:space="0"/>
              <w:left w:val="single" w:color="000000" w:sz="4" w:space="0"/>
              <w:bottom w:val="single" w:color="000000" w:sz="4" w:space="0"/>
              <w:right w:val="single" w:color="000000" w:sz="4" w:space="0"/>
            </w:tcBorders>
            <w:vAlign w:val="center"/>
          </w:tcPr>
          <w:p w14:paraId="41286EB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阴极射线管</w:t>
            </w:r>
          </w:p>
        </w:tc>
        <w:tc>
          <w:tcPr>
            <w:tcW w:w="1180" w:type="dxa"/>
            <w:tcBorders>
              <w:top w:val="single" w:color="000000" w:sz="4" w:space="0"/>
              <w:left w:val="single" w:color="000000" w:sz="4" w:space="0"/>
              <w:bottom w:val="single" w:color="000000" w:sz="4" w:space="0"/>
              <w:right w:val="single" w:color="000000" w:sz="4" w:space="0"/>
            </w:tcBorders>
            <w:vAlign w:val="center"/>
          </w:tcPr>
          <w:p w14:paraId="2AEF3EC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A14A04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6032C6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4082C3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FA9FFA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76D3F4A">
            <w:pPr>
              <w:jc w:val="center"/>
              <w:textAlignment w:val="center"/>
              <w:rPr>
                <w:rFonts w:ascii="仿宋" w:hAnsi="仿宋" w:eastAsia="仿宋" w:cs="仿宋"/>
                <w:color w:val="auto"/>
                <w:highlight w:val="none"/>
              </w:rPr>
            </w:pPr>
          </w:p>
        </w:tc>
      </w:tr>
      <w:tr w14:paraId="08D2F5E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F49FEE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202</w:t>
            </w:r>
          </w:p>
        </w:tc>
        <w:tc>
          <w:tcPr>
            <w:tcW w:w="1843" w:type="dxa"/>
            <w:tcBorders>
              <w:top w:val="single" w:color="000000" w:sz="4" w:space="0"/>
              <w:left w:val="single" w:color="000000" w:sz="4" w:space="0"/>
              <w:bottom w:val="single" w:color="000000" w:sz="4" w:space="0"/>
              <w:right w:val="single" w:color="000000" w:sz="4" w:space="0"/>
            </w:tcBorders>
            <w:vAlign w:val="center"/>
          </w:tcPr>
          <w:p w14:paraId="645FF98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阴极射线管</w:t>
            </w:r>
          </w:p>
        </w:tc>
        <w:tc>
          <w:tcPr>
            <w:tcW w:w="1180" w:type="dxa"/>
            <w:tcBorders>
              <w:top w:val="single" w:color="000000" w:sz="4" w:space="0"/>
              <w:left w:val="single" w:color="000000" w:sz="4" w:space="0"/>
              <w:bottom w:val="single" w:color="000000" w:sz="4" w:space="0"/>
              <w:right w:val="single" w:color="000000" w:sz="4" w:space="0"/>
            </w:tcBorders>
            <w:vAlign w:val="center"/>
          </w:tcPr>
          <w:p w14:paraId="6BA8964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B8D8E8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C323F0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B40EBA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D17FAB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AEED9C6">
            <w:pPr>
              <w:jc w:val="center"/>
              <w:textAlignment w:val="center"/>
              <w:rPr>
                <w:rFonts w:ascii="仿宋" w:hAnsi="仿宋" w:eastAsia="仿宋" w:cs="仿宋"/>
                <w:color w:val="auto"/>
                <w:highlight w:val="none"/>
              </w:rPr>
            </w:pPr>
          </w:p>
        </w:tc>
      </w:tr>
      <w:tr w14:paraId="7058EAD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C1261B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203</w:t>
            </w:r>
          </w:p>
        </w:tc>
        <w:tc>
          <w:tcPr>
            <w:tcW w:w="1843" w:type="dxa"/>
            <w:tcBorders>
              <w:top w:val="single" w:color="000000" w:sz="4" w:space="0"/>
              <w:left w:val="single" w:color="000000" w:sz="4" w:space="0"/>
              <w:bottom w:val="single" w:color="000000" w:sz="4" w:space="0"/>
              <w:right w:val="single" w:color="000000" w:sz="4" w:space="0"/>
            </w:tcBorders>
            <w:vAlign w:val="center"/>
          </w:tcPr>
          <w:p w14:paraId="3283389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阴极射线管</w:t>
            </w:r>
          </w:p>
        </w:tc>
        <w:tc>
          <w:tcPr>
            <w:tcW w:w="1180" w:type="dxa"/>
            <w:tcBorders>
              <w:top w:val="single" w:color="000000" w:sz="4" w:space="0"/>
              <w:left w:val="single" w:color="000000" w:sz="4" w:space="0"/>
              <w:bottom w:val="single" w:color="000000" w:sz="4" w:space="0"/>
              <w:right w:val="single" w:color="000000" w:sz="4" w:space="0"/>
            </w:tcBorders>
            <w:vAlign w:val="center"/>
          </w:tcPr>
          <w:p w14:paraId="0556CB3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4EF527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7E6913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BAEC53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FCC362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9B930A7">
            <w:pPr>
              <w:jc w:val="center"/>
              <w:textAlignment w:val="center"/>
              <w:rPr>
                <w:rFonts w:ascii="仿宋" w:hAnsi="仿宋" w:eastAsia="仿宋" w:cs="仿宋"/>
                <w:color w:val="auto"/>
                <w:highlight w:val="none"/>
              </w:rPr>
            </w:pPr>
          </w:p>
        </w:tc>
      </w:tr>
      <w:tr w14:paraId="59AE680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96EB23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204</w:t>
            </w:r>
          </w:p>
        </w:tc>
        <w:tc>
          <w:tcPr>
            <w:tcW w:w="1843" w:type="dxa"/>
            <w:tcBorders>
              <w:top w:val="single" w:color="000000" w:sz="4" w:space="0"/>
              <w:left w:val="single" w:color="000000" w:sz="4" w:space="0"/>
              <w:bottom w:val="single" w:color="000000" w:sz="4" w:space="0"/>
              <w:right w:val="single" w:color="000000" w:sz="4" w:space="0"/>
            </w:tcBorders>
            <w:vAlign w:val="center"/>
          </w:tcPr>
          <w:p w14:paraId="1584FEC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阴极射线管</w:t>
            </w:r>
          </w:p>
        </w:tc>
        <w:tc>
          <w:tcPr>
            <w:tcW w:w="1180" w:type="dxa"/>
            <w:tcBorders>
              <w:top w:val="single" w:color="000000" w:sz="4" w:space="0"/>
              <w:left w:val="single" w:color="000000" w:sz="4" w:space="0"/>
              <w:bottom w:val="single" w:color="000000" w:sz="4" w:space="0"/>
              <w:right w:val="single" w:color="000000" w:sz="4" w:space="0"/>
            </w:tcBorders>
            <w:vAlign w:val="center"/>
          </w:tcPr>
          <w:p w14:paraId="5A968F3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D9D9B9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232C2C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A3663D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F9722DF">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3955984">
            <w:pPr>
              <w:jc w:val="center"/>
              <w:textAlignment w:val="center"/>
              <w:rPr>
                <w:rFonts w:ascii="仿宋" w:hAnsi="仿宋" w:eastAsia="仿宋" w:cs="仿宋"/>
                <w:color w:val="auto"/>
                <w:highlight w:val="none"/>
              </w:rPr>
            </w:pPr>
          </w:p>
        </w:tc>
      </w:tr>
      <w:tr w14:paraId="138C8A0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AB8BFF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205</w:t>
            </w:r>
          </w:p>
        </w:tc>
        <w:tc>
          <w:tcPr>
            <w:tcW w:w="1843" w:type="dxa"/>
            <w:tcBorders>
              <w:top w:val="single" w:color="000000" w:sz="4" w:space="0"/>
              <w:left w:val="single" w:color="000000" w:sz="4" w:space="0"/>
              <w:bottom w:val="single" w:color="000000" w:sz="4" w:space="0"/>
              <w:right w:val="single" w:color="000000" w:sz="4" w:space="0"/>
            </w:tcBorders>
            <w:vAlign w:val="center"/>
          </w:tcPr>
          <w:p w14:paraId="69D227B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条形强磁体</w:t>
            </w:r>
          </w:p>
        </w:tc>
        <w:tc>
          <w:tcPr>
            <w:tcW w:w="1180" w:type="dxa"/>
            <w:tcBorders>
              <w:top w:val="single" w:color="000000" w:sz="4" w:space="0"/>
              <w:left w:val="single" w:color="000000" w:sz="4" w:space="0"/>
              <w:bottom w:val="single" w:color="000000" w:sz="4" w:space="0"/>
              <w:right w:val="single" w:color="000000" w:sz="4" w:space="0"/>
            </w:tcBorders>
            <w:vAlign w:val="center"/>
          </w:tcPr>
          <w:p w14:paraId="517EC0C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6A221A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40ECAE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D3AB6A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8A96DC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CCAD3BC">
            <w:pPr>
              <w:jc w:val="center"/>
              <w:textAlignment w:val="center"/>
              <w:rPr>
                <w:rFonts w:ascii="仿宋" w:hAnsi="仿宋" w:eastAsia="仿宋" w:cs="仿宋"/>
                <w:color w:val="auto"/>
                <w:highlight w:val="none"/>
              </w:rPr>
            </w:pPr>
          </w:p>
        </w:tc>
      </w:tr>
      <w:tr w14:paraId="4997967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BB79BC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206</w:t>
            </w:r>
          </w:p>
        </w:tc>
        <w:tc>
          <w:tcPr>
            <w:tcW w:w="1843" w:type="dxa"/>
            <w:tcBorders>
              <w:top w:val="single" w:color="000000" w:sz="4" w:space="0"/>
              <w:left w:val="single" w:color="000000" w:sz="4" w:space="0"/>
              <w:bottom w:val="single" w:color="000000" w:sz="4" w:space="0"/>
              <w:right w:val="single" w:color="000000" w:sz="4" w:space="0"/>
            </w:tcBorders>
            <w:vAlign w:val="center"/>
          </w:tcPr>
          <w:p w14:paraId="7891D2B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蹄形强磁体</w:t>
            </w:r>
          </w:p>
        </w:tc>
        <w:tc>
          <w:tcPr>
            <w:tcW w:w="1180" w:type="dxa"/>
            <w:tcBorders>
              <w:top w:val="single" w:color="000000" w:sz="4" w:space="0"/>
              <w:left w:val="single" w:color="000000" w:sz="4" w:space="0"/>
              <w:bottom w:val="single" w:color="000000" w:sz="4" w:space="0"/>
              <w:right w:val="single" w:color="000000" w:sz="4" w:space="0"/>
            </w:tcBorders>
            <w:vAlign w:val="center"/>
          </w:tcPr>
          <w:p w14:paraId="1EB8518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3CF106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C0092C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375D88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62E9FF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8AF4318">
            <w:pPr>
              <w:jc w:val="center"/>
              <w:textAlignment w:val="center"/>
              <w:rPr>
                <w:rFonts w:ascii="仿宋" w:hAnsi="仿宋" w:eastAsia="仿宋" w:cs="仿宋"/>
                <w:color w:val="auto"/>
                <w:highlight w:val="none"/>
              </w:rPr>
            </w:pPr>
          </w:p>
        </w:tc>
      </w:tr>
      <w:tr w14:paraId="5B9279E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3E5BF4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207</w:t>
            </w:r>
          </w:p>
        </w:tc>
        <w:tc>
          <w:tcPr>
            <w:tcW w:w="1843" w:type="dxa"/>
            <w:tcBorders>
              <w:top w:val="single" w:color="000000" w:sz="4" w:space="0"/>
              <w:left w:val="single" w:color="000000" w:sz="4" w:space="0"/>
              <w:bottom w:val="single" w:color="000000" w:sz="4" w:space="0"/>
              <w:right w:val="single" w:color="000000" w:sz="4" w:space="0"/>
            </w:tcBorders>
            <w:vAlign w:val="center"/>
          </w:tcPr>
          <w:p w14:paraId="0678B31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强磁针</w:t>
            </w:r>
          </w:p>
        </w:tc>
        <w:tc>
          <w:tcPr>
            <w:tcW w:w="1180" w:type="dxa"/>
            <w:tcBorders>
              <w:top w:val="single" w:color="000000" w:sz="4" w:space="0"/>
              <w:left w:val="single" w:color="000000" w:sz="4" w:space="0"/>
              <w:bottom w:val="single" w:color="000000" w:sz="4" w:space="0"/>
              <w:right w:val="single" w:color="000000" w:sz="4" w:space="0"/>
            </w:tcBorders>
            <w:vAlign w:val="center"/>
          </w:tcPr>
          <w:p w14:paraId="1DD8544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359624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EC5812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ECD13E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4401C2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37E8B6E">
            <w:pPr>
              <w:jc w:val="center"/>
              <w:textAlignment w:val="center"/>
              <w:rPr>
                <w:rFonts w:ascii="仿宋" w:hAnsi="仿宋" w:eastAsia="仿宋" w:cs="仿宋"/>
                <w:color w:val="auto"/>
                <w:highlight w:val="none"/>
              </w:rPr>
            </w:pPr>
          </w:p>
        </w:tc>
      </w:tr>
      <w:tr w14:paraId="4A903ED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B71303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208</w:t>
            </w:r>
          </w:p>
        </w:tc>
        <w:tc>
          <w:tcPr>
            <w:tcW w:w="1843" w:type="dxa"/>
            <w:tcBorders>
              <w:top w:val="single" w:color="000000" w:sz="4" w:space="0"/>
              <w:left w:val="single" w:color="000000" w:sz="4" w:space="0"/>
              <w:bottom w:val="single" w:color="000000" w:sz="4" w:space="0"/>
              <w:right w:val="single" w:color="000000" w:sz="4" w:space="0"/>
            </w:tcBorders>
            <w:vAlign w:val="center"/>
          </w:tcPr>
          <w:p w14:paraId="5E76BC41">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通电平行直导线</w:t>
            </w:r>
            <w:r>
              <w:rPr>
                <w:rFonts w:hint="eastAsia" w:ascii="仿宋" w:hAnsi="仿宋" w:eastAsia="仿宋" w:cs="仿宋"/>
                <w:color w:val="auto"/>
                <w:highlight w:val="none"/>
                <w:lang w:eastAsia="zh-CN"/>
              </w:rPr>
              <w:br w:type="textWrapping"/>
            </w:r>
            <w:r>
              <w:rPr>
                <w:rFonts w:hint="eastAsia" w:ascii="仿宋" w:hAnsi="仿宋" w:eastAsia="仿宋" w:cs="仿宋"/>
                <w:color w:val="auto"/>
                <w:highlight w:val="none"/>
                <w:lang w:eastAsia="zh-CN"/>
              </w:rPr>
              <w:t>相互作用演示器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01F7150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D32E72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B2211F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F88CBC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52FBDB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7516CA7">
            <w:pPr>
              <w:jc w:val="center"/>
              <w:textAlignment w:val="center"/>
              <w:rPr>
                <w:rFonts w:ascii="仿宋" w:hAnsi="仿宋" w:eastAsia="仿宋" w:cs="仿宋"/>
                <w:color w:val="auto"/>
                <w:highlight w:val="none"/>
              </w:rPr>
            </w:pPr>
          </w:p>
        </w:tc>
      </w:tr>
      <w:tr w14:paraId="528A0CE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994099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209</w:t>
            </w:r>
          </w:p>
        </w:tc>
        <w:tc>
          <w:tcPr>
            <w:tcW w:w="1843" w:type="dxa"/>
            <w:tcBorders>
              <w:top w:val="single" w:color="000000" w:sz="4" w:space="0"/>
              <w:left w:val="single" w:color="000000" w:sz="4" w:space="0"/>
              <w:bottom w:val="single" w:color="000000" w:sz="4" w:space="0"/>
              <w:right w:val="single" w:color="000000" w:sz="4" w:space="0"/>
            </w:tcBorders>
            <w:vAlign w:val="center"/>
          </w:tcPr>
          <w:p w14:paraId="20365FB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电流天平</w:t>
            </w:r>
          </w:p>
        </w:tc>
        <w:tc>
          <w:tcPr>
            <w:tcW w:w="1180" w:type="dxa"/>
            <w:tcBorders>
              <w:top w:val="single" w:color="000000" w:sz="4" w:space="0"/>
              <w:left w:val="single" w:color="000000" w:sz="4" w:space="0"/>
              <w:bottom w:val="single" w:color="000000" w:sz="4" w:space="0"/>
              <w:right w:val="single" w:color="000000" w:sz="4" w:space="0"/>
            </w:tcBorders>
            <w:vAlign w:val="center"/>
          </w:tcPr>
          <w:p w14:paraId="3661519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8BAF8D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CA3FA4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69CE85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6141A25">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F0D2302">
            <w:pPr>
              <w:jc w:val="center"/>
              <w:textAlignment w:val="center"/>
              <w:rPr>
                <w:rFonts w:ascii="仿宋" w:hAnsi="仿宋" w:eastAsia="仿宋" w:cs="仿宋"/>
                <w:color w:val="auto"/>
                <w:highlight w:val="none"/>
              </w:rPr>
            </w:pPr>
          </w:p>
        </w:tc>
      </w:tr>
      <w:tr w14:paraId="57702E2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CBEB3D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210</w:t>
            </w:r>
          </w:p>
        </w:tc>
        <w:tc>
          <w:tcPr>
            <w:tcW w:w="1843" w:type="dxa"/>
            <w:tcBorders>
              <w:top w:val="single" w:color="000000" w:sz="4" w:space="0"/>
              <w:left w:val="single" w:color="000000" w:sz="4" w:space="0"/>
              <w:bottom w:val="single" w:color="000000" w:sz="4" w:space="0"/>
              <w:right w:val="single" w:color="000000" w:sz="4" w:space="0"/>
            </w:tcBorders>
            <w:vAlign w:val="center"/>
          </w:tcPr>
          <w:p w14:paraId="4BC0A0F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安培力演示器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B97E99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995F36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3944AE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3839D6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511C44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ADE965F">
            <w:pPr>
              <w:jc w:val="center"/>
              <w:textAlignment w:val="center"/>
              <w:rPr>
                <w:rFonts w:ascii="仿宋" w:hAnsi="仿宋" w:eastAsia="仿宋" w:cs="仿宋"/>
                <w:color w:val="auto"/>
                <w:highlight w:val="none"/>
              </w:rPr>
            </w:pPr>
          </w:p>
        </w:tc>
      </w:tr>
      <w:tr w14:paraId="293FA0E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9A418B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211</w:t>
            </w:r>
          </w:p>
        </w:tc>
        <w:tc>
          <w:tcPr>
            <w:tcW w:w="1843" w:type="dxa"/>
            <w:tcBorders>
              <w:top w:val="single" w:color="000000" w:sz="4" w:space="0"/>
              <w:left w:val="single" w:color="000000" w:sz="4" w:space="0"/>
              <w:bottom w:val="single" w:color="000000" w:sz="4" w:space="0"/>
              <w:right w:val="single" w:color="000000" w:sz="4" w:space="0"/>
            </w:tcBorders>
            <w:vAlign w:val="center"/>
          </w:tcPr>
          <w:p w14:paraId="65C16CA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安培力实验器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0451724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384793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9F63F3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A81950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84897C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DBC7C3D">
            <w:pPr>
              <w:jc w:val="center"/>
              <w:textAlignment w:val="center"/>
              <w:rPr>
                <w:rFonts w:ascii="仿宋" w:hAnsi="仿宋" w:eastAsia="仿宋" w:cs="仿宋"/>
                <w:color w:val="auto"/>
                <w:highlight w:val="none"/>
              </w:rPr>
            </w:pPr>
          </w:p>
        </w:tc>
      </w:tr>
      <w:tr w14:paraId="32D31DC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B4327C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212</w:t>
            </w:r>
          </w:p>
        </w:tc>
        <w:tc>
          <w:tcPr>
            <w:tcW w:w="1843" w:type="dxa"/>
            <w:tcBorders>
              <w:top w:val="single" w:color="000000" w:sz="4" w:space="0"/>
              <w:left w:val="single" w:color="000000" w:sz="4" w:space="0"/>
              <w:bottom w:val="single" w:color="000000" w:sz="4" w:space="0"/>
              <w:right w:val="single" w:color="000000" w:sz="4" w:space="0"/>
            </w:tcBorders>
            <w:vAlign w:val="center"/>
          </w:tcPr>
          <w:p w14:paraId="25ABE83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自感现象演示器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65781B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89FDD2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EFF886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7516B2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243AB5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ECBA8E2">
            <w:pPr>
              <w:jc w:val="center"/>
              <w:textAlignment w:val="center"/>
              <w:rPr>
                <w:rFonts w:ascii="仿宋" w:hAnsi="仿宋" w:eastAsia="仿宋" w:cs="仿宋"/>
                <w:color w:val="auto"/>
                <w:highlight w:val="none"/>
              </w:rPr>
            </w:pPr>
          </w:p>
        </w:tc>
      </w:tr>
      <w:tr w14:paraId="65AA86B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DFCC71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213</w:t>
            </w:r>
          </w:p>
        </w:tc>
        <w:tc>
          <w:tcPr>
            <w:tcW w:w="1843" w:type="dxa"/>
            <w:tcBorders>
              <w:top w:val="single" w:color="000000" w:sz="4" w:space="0"/>
              <w:left w:val="single" w:color="000000" w:sz="4" w:space="0"/>
              <w:bottom w:val="single" w:color="000000" w:sz="4" w:space="0"/>
              <w:right w:val="single" w:color="000000" w:sz="4" w:space="0"/>
            </w:tcBorders>
            <w:vAlign w:val="center"/>
          </w:tcPr>
          <w:p w14:paraId="59CB741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电磁感应演示器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5C9D0C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887FA9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862DFD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63FC7F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0E0ACA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CB5FB76">
            <w:pPr>
              <w:jc w:val="center"/>
              <w:textAlignment w:val="center"/>
              <w:rPr>
                <w:rFonts w:ascii="仿宋" w:hAnsi="仿宋" w:eastAsia="仿宋" w:cs="仿宋"/>
                <w:color w:val="auto"/>
                <w:highlight w:val="none"/>
              </w:rPr>
            </w:pPr>
          </w:p>
        </w:tc>
      </w:tr>
      <w:tr w14:paraId="25E5CDA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13BA19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214</w:t>
            </w:r>
          </w:p>
        </w:tc>
        <w:tc>
          <w:tcPr>
            <w:tcW w:w="1843" w:type="dxa"/>
            <w:tcBorders>
              <w:top w:val="single" w:color="000000" w:sz="4" w:space="0"/>
              <w:left w:val="single" w:color="000000" w:sz="4" w:space="0"/>
              <w:bottom w:val="single" w:color="000000" w:sz="4" w:space="0"/>
              <w:right w:val="single" w:color="000000" w:sz="4" w:space="0"/>
            </w:tcBorders>
            <w:vAlign w:val="center"/>
          </w:tcPr>
          <w:p w14:paraId="6749969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楞次定律演示器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B96179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49EA40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CA747F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5FADFA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1B0AD1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33AF242">
            <w:pPr>
              <w:jc w:val="center"/>
              <w:textAlignment w:val="center"/>
              <w:rPr>
                <w:rFonts w:ascii="仿宋" w:hAnsi="仿宋" w:eastAsia="仿宋" w:cs="仿宋"/>
                <w:color w:val="auto"/>
                <w:highlight w:val="none"/>
              </w:rPr>
            </w:pPr>
          </w:p>
        </w:tc>
      </w:tr>
      <w:tr w14:paraId="539C186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F3F1B2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215</w:t>
            </w:r>
          </w:p>
        </w:tc>
        <w:tc>
          <w:tcPr>
            <w:tcW w:w="1843" w:type="dxa"/>
            <w:tcBorders>
              <w:top w:val="single" w:color="000000" w:sz="4" w:space="0"/>
              <w:left w:val="single" w:color="000000" w:sz="4" w:space="0"/>
              <w:bottom w:val="single" w:color="000000" w:sz="4" w:space="0"/>
              <w:right w:val="single" w:color="000000" w:sz="4" w:space="0"/>
            </w:tcBorders>
            <w:vAlign w:val="center"/>
          </w:tcPr>
          <w:p w14:paraId="5EDFAED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电磁阻尼演示器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3A4626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EB8888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29AD68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7ED567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2825E9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4C2F881">
            <w:pPr>
              <w:jc w:val="center"/>
              <w:textAlignment w:val="center"/>
              <w:rPr>
                <w:rFonts w:ascii="仿宋" w:hAnsi="仿宋" w:eastAsia="仿宋" w:cs="仿宋"/>
                <w:color w:val="auto"/>
                <w:highlight w:val="none"/>
              </w:rPr>
            </w:pPr>
          </w:p>
        </w:tc>
      </w:tr>
      <w:tr w14:paraId="4A05D1D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285344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216</w:t>
            </w:r>
          </w:p>
        </w:tc>
        <w:tc>
          <w:tcPr>
            <w:tcW w:w="1843" w:type="dxa"/>
            <w:tcBorders>
              <w:top w:val="single" w:color="000000" w:sz="4" w:space="0"/>
              <w:left w:val="single" w:color="000000" w:sz="4" w:space="0"/>
              <w:bottom w:val="single" w:color="000000" w:sz="4" w:space="0"/>
              <w:right w:val="single" w:color="000000" w:sz="4" w:space="0"/>
            </w:tcBorders>
            <w:vAlign w:val="center"/>
          </w:tcPr>
          <w:p w14:paraId="628B0C2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动能发电手电筒</w:t>
            </w:r>
          </w:p>
        </w:tc>
        <w:tc>
          <w:tcPr>
            <w:tcW w:w="1180" w:type="dxa"/>
            <w:tcBorders>
              <w:top w:val="single" w:color="000000" w:sz="4" w:space="0"/>
              <w:left w:val="single" w:color="000000" w:sz="4" w:space="0"/>
              <w:bottom w:val="single" w:color="000000" w:sz="4" w:space="0"/>
              <w:right w:val="single" w:color="000000" w:sz="4" w:space="0"/>
            </w:tcBorders>
            <w:vAlign w:val="center"/>
          </w:tcPr>
          <w:p w14:paraId="26612FE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F0D5D8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31C9AE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23EDB6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0D50DCF">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C245478">
            <w:pPr>
              <w:jc w:val="center"/>
              <w:textAlignment w:val="center"/>
              <w:rPr>
                <w:rFonts w:ascii="仿宋" w:hAnsi="仿宋" w:eastAsia="仿宋" w:cs="仿宋"/>
                <w:color w:val="auto"/>
                <w:highlight w:val="none"/>
              </w:rPr>
            </w:pPr>
          </w:p>
        </w:tc>
      </w:tr>
      <w:tr w14:paraId="5555B5D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03503E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217</w:t>
            </w:r>
          </w:p>
        </w:tc>
        <w:tc>
          <w:tcPr>
            <w:tcW w:w="1843" w:type="dxa"/>
            <w:tcBorders>
              <w:top w:val="single" w:color="000000" w:sz="4" w:space="0"/>
              <w:left w:val="single" w:color="000000" w:sz="4" w:space="0"/>
              <w:bottom w:val="single" w:color="000000" w:sz="4" w:space="0"/>
              <w:right w:val="single" w:color="000000" w:sz="4" w:space="0"/>
            </w:tcBorders>
            <w:vAlign w:val="center"/>
          </w:tcPr>
          <w:p w14:paraId="045692AC">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单匝线圈电机原理演示器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12A8A27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67EDB5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5680F5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93097B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D9A046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0A3D297">
            <w:pPr>
              <w:jc w:val="center"/>
              <w:textAlignment w:val="center"/>
              <w:rPr>
                <w:rFonts w:ascii="仿宋" w:hAnsi="仿宋" w:eastAsia="仿宋" w:cs="仿宋"/>
                <w:color w:val="auto"/>
                <w:highlight w:val="none"/>
              </w:rPr>
            </w:pPr>
          </w:p>
        </w:tc>
      </w:tr>
      <w:tr w14:paraId="1B99E94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B343A1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218</w:t>
            </w:r>
          </w:p>
        </w:tc>
        <w:tc>
          <w:tcPr>
            <w:tcW w:w="1843" w:type="dxa"/>
            <w:tcBorders>
              <w:top w:val="single" w:color="000000" w:sz="4" w:space="0"/>
              <w:left w:val="single" w:color="000000" w:sz="4" w:space="0"/>
              <w:bottom w:val="single" w:color="000000" w:sz="4" w:space="0"/>
              <w:right w:val="single" w:color="000000" w:sz="4" w:space="0"/>
            </w:tcBorders>
            <w:vAlign w:val="center"/>
          </w:tcPr>
          <w:p w14:paraId="162899C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三相电机原理演示器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C8BEB6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A4FAFC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BF4D2F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BA3675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C0F45E6">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A1018BF">
            <w:pPr>
              <w:jc w:val="center"/>
              <w:textAlignment w:val="center"/>
              <w:rPr>
                <w:rFonts w:ascii="仿宋" w:hAnsi="仿宋" w:eastAsia="仿宋" w:cs="仿宋"/>
                <w:color w:val="auto"/>
                <w:highlight w:val="none"/>
              </w:rPr>
            </w:pPr>
          </w:p>
        </w:tc>
      </w:tr>
      <w:tr w14:paraId="34CCBF0B">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65C525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219</w:t>
            </w:r>
          </w:p>
        </w:tc>
        <w:tc>
          <w:tcPr>
            <w:tcW w:w="1843" w:type="dxa"/>
            <w:tcBorders>
              <w:top w:val="single" w:color="000000" w:sz="4" w:space="0"/>
              <w:left w:val="single" w:color="000000" w:sz="4" w:space="0"/>
              <w:bottom w:val="single" w:color="000000" w:sz="4" w:space="0"/>
              <w:right w:val="single" w:color="000000" w:sz="4" w:space="0"/>
            </w:tcBorders>
            <w:vAlign w:val="center"/>
          </w:tcPr>
          <w:p w14:paraId="75E2EBF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手摇三相交流发电机</w:t>
            </w:r>
          </w:p>
        </w:tc>
        <w:tc>
          <w:tcPr>
            <w:tcW w:w="1180" w:type="dxa"/>
            <w:tcBorders>
              <w:top w:val="single" w:color="000000" w:sz="4" w:space="0"/>
              <w:left w:val="single" w:color="000000" w:sz="4" w:space="0"/>
              <w:bottom w:val="single" w:color="000000" w:sz="4" w:space="0"/>
              <w:right w:val="single" w:color="000000" w:sz="4" w:space="0"/>
            </w:tcBorders>
            <w:vAlign w:val="center"/>
          </w:tcPr>
          <w:p w14:paraId="4039440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AAD430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EBB4FE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CF380F6">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4FFF21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7A18501">
            <w:pPr>
              <w:jc w:val="center"/>
              <w:textAlignment w:val="center"/>
              <w:rPr>
                <w:rFonts w:ascii="仿宋" w:hAnsi="仿宋" w:eastAsia="仿宋" w:cs="仿宋"/>
                <w:color w:val="auto"/>
                <w:highlight w:val="none"/>
              </w:rPr>
            </w:pPr>
          </w:p>
        </w:tc>
      </w:tr>
      <w:tr w14:paraId="0667808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4C9E4C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220</w:t>
            </w:r>
          </w:p>
        </w:tc>
        <w:tc>
          <w:tcPr>
            <w:tcW w:w="1843" w:type="dxa"/>
            <w:tcBorders>
              <w:top w:val="single" w:color="000000" w:sz="4" w:space="0"/>
              <w:left w:val="single" w:color="000000" w:sz="4" w:space="0"/>
              <w:bottom w:val="single" w:color="000000" w:sz="4" w:space="0"/>
              <w:right w:val="single" w:color="000000" w:sz="4" w:space="0"/>
            </w:tcBorders>
            <w:vAlign w:val="center"/>
          </w:tcPr>
          <w:p w14:paraId="768569C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三线电子开关</w:t>
            </w:r>
          </w:p>
        </w:tc>
        <w:tc>
          <w:tcPr>
            <w:tcW w:w="1180" w:type="dxa"/>
            <w:tcBorders>
              <w:top w:val="single" w:color="000000" w:sz="4" w:space="0"/>
              <w:left w:val="single" w:color="000000" w:sz="4" w:space="0"/>
              <w:bottom w:val="single" w:color="000000" w:sz="4" w:space="0"/>
              <w:right w:val="single" w:color="000000" w:sz="4" w:space="0"/>
            </w:tcBorders>
            <w:vAlign w:val="center"/>
          </w:tcPr>
          <w:p w14:paraId="29B2A05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85AEC3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E3F454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0537E5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E871D4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8C4B2AD">
            <w:pPr>
              <w:jc w:val="center"/>
              <w:textAlignment w:val="center"/>
              <w:rPr>
                <w:rFonts w:ascii="仿宋" w:hAnsi="仿宋" w:eastAsia="仿宋" w:cs="仿宋"/>
                <w:color w:val="auto"/>
                <w:highlight w:val="none"/>
              </w:rPr>
            </w:pPr>
          </w:p>
        </w:tc>
      </w:tr>
      <w:tr w14:paraId="0667301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6EA96D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221</w:t>
            </w:r>
          </w:p>
        </w:tc>
        <w:tc>
          <w:tcPr>
            <w:tcW w:w="1843" w:type="dxa"/>
            <w:tcBorders>
              <w:top w:val="single" w:color="000000" w:sz="4" w:space="0"/>
              <w:left w:val="single" w:color="000000" w:sz="4" w:space="0"/>
              <w:bottom w:val="single" w:color="000000" w:sz="4" w:space="0"/>
              <w:right w:val="single" w:color="000000" w:sz="4" w:space="0"/>
            </w:tcBorders>
            <w:vAlign w:val="center"/>
          </w:tcPr>
          <w:p w14:paraId="59124AE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交流电路特性演示器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61DBF42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9E55FD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D42285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B22296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F914E95">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C7DF4A0">
            <w:pPr>
              <w:jc w:val="center"/>
              <w:textAlignment w:val="center"/>
              <w:rPr>
                <w:rFonts w:ascii="仿宋" w:hAnsi="仿宋" w:eastAsia="仿宋" w:cs="仿宋"/>
                <w:color w:val="auto"/>
                <w:highlight w:val="none"/>
              </w:rPr>
            </w:pPr>
          </w:p>
        </w:tc>
      </w:tr>
      <w:tr w14:paraId="363E7BC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C0C791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222</w:t>
            </w:r>
          </w:p>
        </w:tc>
        <w:tc>
          <w:tcPr>
            <w:tcW w:w="1843" w:type="dxa"/>
            <w:tcBorders>
              <w:top w:val="single" w:color="000000" w:sz="4" w:space="0"/>
              <w:left w:val="single" w:color="000000" w:sz="4" w:space="0"/>
              <w:bottom w:val="single" w:color="000000" w:sz="4" w:space="0"/>
              <w:right w:val="single" w:color="000000" w:sz="4" w:space="0"/>
            </w:tcBorders>
            <w:vAlign w:val="center"/>
          </w:tcPr>
          <w:p w14:paraId="0736B45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可拆变压器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EB44D2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2C6715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426854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C1E83F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615307F">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5EA6C8B">
            <w:pPr>
              <w:jc w:val="center"/>
              <w:textAlignment w:val="center"/>
              <w:rPr>
                <w:rFonts w:ascii="仿宋" w:hAnsi="仿宋" w:eastAsia="仿宋" w:cs="仿宋"/>
                <w:color w:val="auto"/>
                <w:highlight w:val="none"/>
              </w:rPr>
            </w:pPr>
          </w:p>
        </w:tc>
      </w:tr>
      <w:tr w14:paraId="7848F96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CF3506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223</w:t>
            </w:r>
          </w:p>
        </w:tc>
        <w:tc>
          <w:tcPr>
            <w:tcW w:w="1843" w:type="dxa"/>
            <w:tcBorders>
              <w:top w:val="single" w:color="000000" w:sz="4" w:space="0"/>
              <w:left w:val="single" w:color="000000" w:sz="4" w:space="0"/>
              <w:bottom w:val="single" w:color="000000" w:sz="4" w:space="0"/>
              <w:right w:val="single" w:color="000000" w:sz="4" w:space="0"/>
            </w:tcBorders>
            <w:vAlign w:val="center"/>
          </w:tcPr>
          <w:p w14:paraId="7059EE9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小型变压器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11C1FD0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31425B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19A9C4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9B71BA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4587D4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8FB1C0F">
            <w:pPr>
              <w:jc w:val="center"/>
              <w:textAlignment w:val="center"/>
              <w:rPr>
                <w:rFonts w:ascii="仿宋" w:hAnsi="仿宋" w:eastAsia="仿宋" w:cs="仿宋"/>
                <w:color w:val="auto"/>
                <w:highlight w:val="none"/>
              </w:rPr>
            </w:pPr>
          </w:p>
        </w:tc>
      </w:tr>
      <w:tr w14:paraId="4E50FC5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C7F19A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224</w:t>
            </w:r>
          </w:p>
        </w:tc>
        <w:tc>
          <w:tcPr>
            <w:tcW w:w="1843" w:type="dxa"/>
            <w:tcBorders>
              <w:top w:val="single" w:color="000000" w:sz="4" w:space="0"/>
              <w:left w:val="single" w:color="000000" w:sz="4" w:space="0"/>
              <w:bottom w:val="single" w:color="000000" w:sz="4" w:space="0"/>
              <w:right w:val="single" w:color="000000" w:sz="4" w:space="0"/>
            </w:tcBorders>
            <w:vAlign w:val="center"/>
          </w:tcPr>
          <w:p w14:paraId="632AC6F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变压器原理说明器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264FCF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DC85B7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781928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EB902E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9D92C15">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9ABABC9">
            <w:pPr>
              <w:jc w:val="center"/>
              <w:textAlignment w:val="center"/>
              <w:rPr>
                <w:rFonts w:ascii="仿宋" w:hAnsi="仿宋" w:eastAsia="仿宋" w:cs="仿宋"/>
                <w:color w:val="auto"/>
                <w:highlight w:val="none"/>
              </w:rPr>
            </w:pPr>
          </w:p>
        </w:tc>
      </w:tr>
      <w:tr w14:paraId="4A8EB94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D31854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225</w:t>
            </w:r>
          </w:p>
        </w:tc>
        <w:tc>
          <w:tcPr>
            <w:tcW w:w="1843" w:type="dxa"/>
            <w:tcBorders>
              <w:top w:val="single" w:color="000000" w:sz="4" w:space="0"/>
              <w:left w:val="single" w:color="000000" w:sz="4" w:space="0"/>
              <w:bottom w:val="single" w:color="000000" w:sz="4" w:space="0"/>
              <w:right w:val="single" w:color="000000" w:sz="4" w:space="0"/>
            </w:tcBorders>
            <w:vAlign w:val="center"/>
          </w:tcPr>
          <w:p w14:paraId="2809E87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日光灯原理演示器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31EDD60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270AF3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4E1572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7AAFED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5E75D4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177E4E6">
            <w:pPr>
              <w:jc w:val="center"/>
              <w:textAlignment w:val="center"/>
              <w:rPr>
                <w:rFonts w:ascii="仿宋" w:hAnsi="仿宋" w:eastAsia="仿宋" w:cs="仿宋"/>
                <w:color w:val="auto"/>
                <w:highlight w:val="none"/>
              </w:rPr>
            </w:pPr>
          </w:p>
        </w:tc>
      </w:tr>
      <w:tr w14:paraId="127A03FB">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8AF846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226</w:t>
            </w:r>
          </w:p>
        </w:tc>
        <w:tc>
          <w:tcPr>
            <w:tcW w:w="1843" w:type="dxa"/>
            <w:tcBorders>
              <w:top w:val="single" w:color="000000" w:sz="4" w:space="0"/>
              <w:left w:val="single" w:color="000000" w:sz="4" w:space="0"/>
              <w:bottom w:val="single" w:color="000000" w:sz="4" w:space="0"/>
              <w:right w:val="single" w:color="000000" w:sz="4" w:space="0"/>
            </w:tcBorders>
            <w:vAlign w:val="center"/>
          </w:tcPr>
          <w:p w14:paraId="76F17BF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洛伦兹力演示器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7A0573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16942A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74342E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36C246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01FB99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23035E8">
            <w:pPr>
              <w:jc w:val="center"/>
              <w:textAlignment w:val="center"/>
              <w:rPr>
                <w:rFonts w:ascii="仿宋" w:hAnsi="仿宋" w:eastAsia="仿宋" w:cs="仿宋"/>
                <w:color w:val="auto"/>
                <w:highlight w:val="none"/>
              </w:rPr>
            </w:pPr>
          </w:p>
        </w:tc>
      </w:tr>
      <w:tr w14:paraId="7F00A82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586BE1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227</w:t>
            </w:r>
          </w:p>
        </w:tc>
        <w:tc>
          <w:tcPr>
            <w:tcW w:w="1843" w:type="dxa"/>
            <w:tcBorders>
              <w:top w:val="single" w:color="000000" w:sz="4" w:space="0"/>
              <w:left w:val="single" w:color="000000" w:sz="4" w:space="0"/>
              <w:bottom w:val="single" w:color="000000" w:sz="4" w:space="0"/>
              <w:right w:val="single" w:color="000000" w:sz="4" w:space="0"/>
            </w:tcBorders>
            <w:vAlign w:val="center"/>
          </w:tcPr>
          <w:p w14:paraId="12DC750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电子束演示器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1AC424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AB65DA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F07A9A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228BD9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F522AA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CA5B2AA">
            <w:pPr>
              <w:jc w:val="center"/>
              <w:textAlignment w:val="center"/>
              <w:rPr>
                <w:rFonts w:ascii="仿宋" w:hAnsi="仿宋" w:eastAsia="仿宋" w:cs="仿宋"/>
                <w:color w:val="auto"/>
                <w:highlight w:val="none"/>
              </w:rPr>
            </w:pPr>
          </w:p>
        </w:tc>
      </w:tr>
      <w:tr w14:paraId="462A947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84EDD4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228</w:t>
            </w:r>
          </w:p>
        </w:tc>
        <w:tc>
          <w:tcPr>
            <w:tcW w:w="1843" w:type="dxa"/>
            <w:tcBorders>
              <w:top w:val="single" w:color="000000" w:sz="4" w:space="0"/>
              <w:left w:val="single" w:color="000000" w:sz="4" w:space="0"/>
              <w:bottom w:val="single" w:color="000000" w:sz="4" w:space="0"/>
              <w:right w:val="single" w:color="000000" w:sz="4" w:space="0"/>
            </w:tcBorders>
            <w:vAlign w:val="center"/>
          </w:tcPr>
          <w:p w14:paraId="6A76D65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阴极射线演示器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16CC0C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D70827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265A85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83C932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71D217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CAC65C3">
            <w:pPr>
              <w:jc w:val="center"/>
              <w:textAlignment w:val="center"/>
              <w:rPr>
                <w:rFonts w:ascii="仿宋" w:hAnsi="仿宋" w:eastAsia="仿宋" w:cs="仿宋"/>
                <w:color w:val="auto"/>
                <w:highlight w:val="none"/>
              </w:rPr>
            </w:pPr>
          </w:p>
        </w:tc>
      </w:tr>
      <w:tr w14:paraId="4194653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80A8CD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229</w:t>
            </w:r>
          </w:p>
        </w:tc>
        <w:tc>
          <w:tcPr>
            <w:tcW w:w="1843" w:type="dxa"/>
            <w:tcBorders>
              <w:top w:val="single" w:color="000000" w:sz="4" w:space="0"/>
              <w:left w:val="single" w:color="000000" w:sz="4" w:space="0"/>
              <w:bottom w:val="single" w:color="000000" w:sz="4" w:space="0"/>
              <w:right w:val="single" w:color="000000" w:sz="4" w:space="0"/>
            </w:tcBorders>
            <w:vAlign w:val="center"/>
          </w:tcPr>
          <w:p w14:paraId="667EBCE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电学元件黑箱</w:t>
            </w:r>
          </w:p>
        </w:tc>
        <w:tc>
          <w:tcPr>
            <w:tcW w:w="1180" w:type="dxa"/>
            <w:tcBorders>
              <w:top w:val="single" w:color="000000" w:sz="4" w:space="0"/>
              <w:left w:val="single" w:color="000000" w:sz="4" w:space="0"/>
              <w:bottom w:val="single" w:color="000000" w:sz="4" w:space="0"/>
              <w:right w:val="single" w:color="000000" w:sz="4" w:space="0"/>
            </w:tcBorders>
            <w:vAlign w:val="center"/>
          </w:tcPr>
          <w:p w14:paraId="29528EB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A1C8C5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7B7144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257E3F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19D9C0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871806B">
            <w:pPr>
              <w:jc w:val="center"/>
              <w:textAlignment w:val="center"/>
              <w:rPr>
                <w:rFonts w:ascii="仿宋" w:hAnsi="仿宋" w:eastAsia="仿宋" w:cs="仿宋"/>
                <w:color w:val="auto"/>
                <w:highlight w:val="none"/>
              </w:rPr>
            </w:pPr>
          </w:p>
        </w:tc>
      </w:tr>
      <w:tr w14:paraId="0011A54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EEDCDB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230</w:t>
            </w:r>
          </w:p>
        </w:tc>
        <w:tc>
          <w:tcPr>
            <w:tcW w:w="1843" w:type="dxa"/>
            <w:tcBorders>
              <w:top w:val="single" w:color="000000" w:sz="4" w:space="0"/>
              <w:left w:val="single" w:color="000000" w:sz="4" w:space="0"/>
              <w:bottom w:val="single" w:color="000000" w:sz="4" w:space="0"/>
              <w:right w:val="single" w:color="000000" w:sz="4" w:space="0"/>
            </w:tcBorders>
            <w:vAlign w:val="center"/>
          </w:tcPr>
          <w:p w14:paraId="63D8208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低气压放电管组</w:t>
            </w:r>
          </w:p>
        </w:tc>
        <w:tc>
          <w:tcPr>
            <w:tcW w:w="1180" w:type="dxa"/>
            <w:tcBorders>
              <w:top w:val="single" w:color="000000" w:sz="4" w:space="0"/>
              <w:left w:val="single" w:color="000000" w:sz="4" w:space="0"/>
              <w:bottom w:val="single" w:color="000000" w:sz="4" w:space="0"/>
              <w:right w:val="single" w:color="000000" w:sz="4" w:space="0"/>
            </w:tcBorders>
            <w:vAlign w:val="center"/>
          </w:tcPr>
          <w:p w14:paraId="0809173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8064EF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3AF86B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E66FBB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7BE37B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6283FBE">
            <w:pPr>
              <w:jc w:val="center"/>
              <w:textAlignment w:val="center"/>
              <w:rPr>
                <w:rFonts w:ascii="仿宋" w:hAnsi="仿宋" w:eastAsia="仿宋" w:cs="仿宋"/>
                <w:color w:val="auto"/>
                <w:highlight w:val="none"/>
              </w:rPr>
            </w:pPr>
          </w:p>
        </w:tc>
      </w:tr>
      <w:tr w14:paraId="3E5B058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5ACBD5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231</w:t>
            </w:r>
          </w:p>
        </w:tc>
        <w:tc>
          <w:tcPr>
            <w:tcW w:w="1843" w:type="dxa"/>
            <w:tcBorders>
              <w:top w:val="single" w:color="000000" w:sz="4" w:space="0"/>
              <w:left w:val="single" w:color="000000" w:sz="4" w:space="0"/>
              <w:bottom w:val="single" w:color="000000" w:sz="4" w:space="0"/>
              <w:right w:val="single" w:color="000000" w:sz="4" w:space="0"/>
            </w:tcBorders>
            <w:vAlign w:val="center"/>
          </w:tcPr>
          <w:p w14:paraId="786C4DCA">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光的折射全反射实验器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EED486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0291E6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46B5CF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E7E31F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A88407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542D135">
            <w:pPr>
              <w:jc w:val="center"/>
              <w:textAlignment w:val="center"/>
              <w:rPr>
                <w:rFonts w:ascii="仿宋" w:hAnsi="仿宋" w:eastAsia="仿宋" w:cs="仿宋"/>
                <w:color w:val="auto"/>
                <w:highlight w:val="none"/>
              </w:rPr>
            </w:pPr>
          </w:p>
        </w:tc>
      </w:tr>
      <w:tr w14:paraId="39BEA3A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DBBE68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232</w:t>
            </w:r>
          </w:p>
        </w:tc>
        <w:tc>
          <w:tcPr>
            <w:tcW w:w="1843" w:type="dxa"/>
            <w:tcBorders>
              <w:top w:val="single" w:color="000000" w:sz="4" w:space="0"/>
              <w:left w:val="single" w:color="000000" w:sz="4" w:space="0"/>
              <w:bottom w:val="single" w:color="000000" w:sz="4" w:space="0"/>
              <w:right w:val="single" w:color="000000" w:sz="4" w:space="0"/>
            </w:tcBorders>
            <w:vAlign w:val="center"/>
          </w:tcPr>
          <w:p w14:paraId="4B8924B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光的干涉衍射偏振演示器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23B1C18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8AEDC8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50AC40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E63490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35CC7E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9926288">
            <w:pPr>
              <w:jc w:val="center"/>
              <w:textAlignment w:val="center"/>
              <w:rPr>
                <w:rFonts w:ascii="仿宋" w:hAnsi="仿宋" w:eastAsia="仿宋" w:cs="仿宋"/>
                <w:color w:val="auto"/>
                <w:highlight w:val="none"/>
              </w:rPr>
            </w:pPr>
          </w:p>
        </w:tc>
      </w:tr>
      <w:tr w14:paraId="21F13E4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8A98C9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233</w:t>
            </w:r>
          </w:p>
        </w:tc>
        <w:tc>
          <w:tcPr>
            <w:tcW w:w="1843" w:type="dxa"/>
            <w:tcBorders>
              <w:top w:val="single" w:color="000000" w:sz="4" w:space="0"/>
              <w:left w:val="single" w:color="000000" w:sz="4" w:space="0"/>
              <w:bottom w:val="single" w:color="000000" w:sz="4" w:space="0"/>
              <w:right w:val="single" w:color="000000" w:sz="4" w:space="0"/>
            </w:tcBorders>
            <w:vAlign w:val="center"/>
          </w:tcPr>
          <w:p w14:paraId="06B0F53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激光光学演示仪</w:t>
            </w:r>
          </w:p>
        </w:tc>
        <w:tc>
          <w:tcPr>
            <w:tcW w:w="1180" w:type="dxa"/>
            <w:tcBorders>
              <w:top w:val="single" w:color="000000" w:sz="4" w:space="0"/>
              <w:left w:val="single" w:color="000000" w:sz="4" w:space="0"/>
              <w:bottom w:val="single" w:color="000000" w:sz="4" w:space="0"/>
              <w:right w:val="single" w:color="000000" w:sz="4" w:space="0"/>
            </w:tcBorders>
            <w:vAlign w:val="center"/>
          </w:tcPr>
          <w:p w14:paraId="2B495D2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1682D5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E03112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65920A6">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EC98FF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419D135">
            <w:pPr>
              <w:jc w:val="center"/>
              <w:textAlignment w:val="center"/>
              <w:rPr>
                <w:rFonts w:ascii="仿宋" w:hAnsi="仿宋" w:eastAsia="仿宋" w:cs="仿宋"/>
                <w:color w:val="auto"/>
                <w:highlight w:val="none"/>
              </w:rPr>
            </w:pPr>
          </w:p>
        </w:tc>
      </w:tr>
      <w:tr w14:paraId="6A759A1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81C4B7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234</w:t>
            </w:r>
          </w:p>
        </w:tc>
        <w:tc>
          <w:tcPr>
            <w:tcW w:w="1843" w:type="dxa"/>
            <w:tcBorders>
              <w:top w:val="single" w:color="000000" w:sz="4" w:space="0"/>
              <w:left w:val="single" w:color="000000" w:sz="4" w:space="0"/>
              <w:bottom w:val="single" w:color="000000" w:sz="4" w:space="0"/>
              <w:right w:val="single" w:color="000000" w:sz="4" w:space="0"/>
            </w:tcBorders>
            <w:vAlign w:val="center"/>
          </w:tcPr>
          <w:p w14:paraId="1EA1BA1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微型物理光学观察器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322CE40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E0D558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2C3226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B19F15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A7703F1">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10F1810">
            <w:pPr>
              <w:jc w:val="center"/>
              <w:textAlignment w:val="center"/>
              <w:rPr>
                <w:rFonts w:ascii="仿宋" w:hAnsi="仿宋" w:eastAsia="仿宋" w:cs="仿宋"/>
                <w:color w:val="auto"/>
                <w:highlight w:val="none"/>
              </w:rPr>
            </w:pPr>
          </w:p>
        </w:tc>
      </w:tr>
      <w:tr w14:paraId="6788AD2B">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F5ED41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235</w:t>
            </w:r>
          </w:p>
        </w:tc>
        <w:tc>
          <w:tcPr>
            <w:tcW w:w="1843" w:type="dxa"/>
            <w:tcBorders>
              <w:top w:val="single" w:color="000000" w:sz="4" w:space="0"/>
              <w:left w:val="single" w:color="000000" w:sz="4" w:space="0"/>
              <w:bottom w:val="single" w:color="000000" w:sz="4" w:space="0"/>
              <w:right w:val="single" w:color="000000" w:sz="4" w:space="0"/>
            </w:tcBorders>
            <w:vAlign w:val="center"/>
          </w:tcPr>
          <w:p w14:paraId="06AE838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双缝干涉实验仪</w:t>
            </w:r>
          </w:p>
        </w:tc>
        <w:tc>
          <w:tcPr>
            <w:tcW w:w="1180" w:type="dxa"/>
            <w:tcBorders>
              <w:top w:val="single" w:color="000000" w:sz="4" w:space="0"/>
              <w:left w:val="single" w:color="000000" w:sz="4" w:space="0"/>
              <w:bottom w:val="single" w:color="000000" w:sz="4" w:space="0"/>
              <w:right w:val="single" w:color="000000" w:sz="4" w:space="0"/>
            </w:tcBorders>
            <w:vAlign w:val="center"/>
          </w:tcPr>
          <w:p w14:paraId="43B26EC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6E9922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25FA98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6BA916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A65B36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71C7DBB">
            <w:pPr>
              <w:jc w:val="center"/>
              <w:textAlignment w:val="center"/>
              <w:rPr>
                <w:rFonts w:ascii="仿宋" w:hAnsi="仿宋" w:eastAsia="仿宋" w:cs="仿宋"/>
                <w:color w:val="auto"/>
                <w:highlight w:val="none"/>
              </w:rPr>
            </w:pPr>
          </w:p>
        </w:tc>
      </w:tr>
      <w:tr w14:paraId="486400B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6AB977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236</w:t>
            </w:r>
          </w:p>
        </w:tc>
        <w:tc>
          <w:tcPr>
            <w:tcW w:w="1843" w:type="dxa"/>
            <w:tcBorders>
              <w:top w:val="single" w:color="000000" w:sz="4" w:space="0"/>
              <w:left w:val="single" w:color="000000" w:sz="4" w:space="0"/>
              <w:bottom w:val="single" w:color="000000" w:sz="4" w:space="0"/>
              <w:right w:val="single" w:color="000000" w:sz="4" w:space="0"/>
            </w:tcBorders>
            <w:vAlign w:val="center"/>
          </w:tcPr>
          <w:p w14:paraId="016E9B1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牛顿环</w:t>
            </w:r>
          </w:p>
        </w:tc>
        <w:tc>
          <w:tcPr>
            <w:tcW w:w="1180" w:type="dxa"/>
            <w:tcBorders>
              <w:top w:val="single" w:color="000000" w:sz="4" w:space="0"/>
              <w:left w:val="single" w:color="000000" w:sz="4" w:space="0"/>
              <w:bottom w:val="single" w:color="000000" w:sz="4" w:space="0"/>
              <w:right w:val="single" w:color="000000" w:sz="4" w:space="0"/>
            </w:tcBorders>
            <w:vAlign w:val="center"/>
          </w:tcPr>
          <w:p w14:paraId="5E057B1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535E9A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3CFA22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1594B3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E2E5D6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8729DFB">
            <w:pPr>
              <w:jc w:val="center"/>
              <w:textAlignment w:val="center"/>
              <w:rPr>
                <w:rFonts w:ascii="仿宋" w:hAnsi="仿宋" w:eastAsia="仿宋" w:cs="仿宋"/>
                <w:color w:val="auto"/>
                <w:highlight w:val="none"/>
              </w:rPr>
            </w:pPr>
          </w:p>
        </w:tc>
      </w:tr>
      <w:tr w14:paraId="4583B4D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7C76DB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237</w:t>
            </w:r>
          </w:p>
        </w:tc>
        <w:tc>
          <w:tcPr>
            <w:tcW w:w="1843" w:type="dxa"/>
            <w:tcBorders>
              <w:top w:val="single" w:color="000000" w:sz="4" w:space="0"/>
              <w:left w:val="single" w:color="000000" w:sz="4" w:space="0"/>
              <w:bottom w:val="single" w:color="000000" w:sz="4" w:space="0"/>
              <w:right w:val="single" w:color="000000" w:sz="4" w:space="0"/>
            </w:tcBorders>
            <w:vAlign w:val="center"/>
          </w:tcPr>
          <w:p w14:paraId="2EB0793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光导纤维应用演示器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B368DE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5931F7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6587EE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0BEC9C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AA1107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5962257">
            <w:pPr>
              <w:jc w:val="center"/>
              <w:textAlignment w:val="center"/>
              <w:rPr>
                <w:rFonts w:ascii="仿宋" w:hAnsi="仿宋" w:eastAsia="仿宋" w:cs="仿宋"/>
                <w:color w:val="auto"/>
                <w:highlight w:val="none"/>
              </w:rPr>
            </w:pPr>
          </w:p>
        </w:tc>
      </w:tr>
      <w:tr w14:paraId="5E8EC24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30EB54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238</w:t>
            </w:r>
          </w:p>
        </w:tc>
        <w:tc>
          <w:tcPr>
            <w:tcW w:w="1843" w:type="dxa"/>
            <w:tcBorders>
              <w:top w:val="single" w:color="000000" w:sz="4" w:space="0"/>
              <w:left w:val="single" w:color="000000" w:sz="4" w:space="0"/>
              <w:bottom w:val="single" w:color="000000" w:sz="4" w:space="0"/>
              <w:right w:val="single" w:color="000000" w:sz="4" w:space="0"/>
            </w:tcBorders>
            <w:vAlign w:val="center"/>
          </w:tcPr>
          <w:p w14:paraId="4A6A883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光的偏振观察器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1438BB4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7C651B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D96974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E7D745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6B9080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EC34879">
            <w:pPr>
              <w:jc w:val="center"/>
              <w:textAlignment w:val="center"/>
              <w:rPr>
                <w:rFonts w:ascii="仿宋" w:hAnsi="仿宋" w:eastAsia="仿宋" w:cs="仿宋"/>
                <w:color w:val="auto"/>
                <w:highlight w:val="none"/>
              </w:rPr>
            </w:pPr>
          </w:p>
        </w:tc>
      </w:tr>
      <w:tr w14:paraId="0E4A5DD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CB92F4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239</w:t>
            </w:r>
          </w:p>
        </w:tc>
        <w:tc>
          <w:tcPr>
            <w:tcW w:w="1843" w:type="dxa"/>
            <w:tcBorders>
              <w:top w:val="single" w:color="000000" w:sz="4" w:space="0"/>
              <w:left w:val="single" w:color="000000" w:sz="4" w:space="0"/>
              <w:bottom w:val="single" w:color="000000" w:sz="4" w:space="0"/>
              <w:right w:val="single" w:color="000000" w:sz="4" w:space="0"/>
            </w:tcBorders>
            <w:vAlign w:val="center"/>
          </w:tcPr>
          <w:p w14:paraId="2B9D4E5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手持直视分光镜</w:t>
            </w:r>
          </w:p>
        </w:tc>
        <w:tc>
          <w:tcPr>
            <w:tcW w:w="1180" w:type="dxa"/>
            <w:tcBorders>
              <w:top w:val="single" w:color="000000" w:sz="4" w:space="0"/>
              <w:left w:val="single" w:color="000000" w:sz="4" w:space="0"/>
              <w:bottom w:val="single" w:color="000000" w:sz="4" w:space="0"/>
              <w:right w:val="single" w:color="000000" w:sz="4" w:space="0"/>
            </w:tcBorders>
            <w:vAlign w:val="center"/>
          </w:tcPr>
          <w:p w14:paraId="5341C42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080153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5416EF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D4961C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82374C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CE227F0">
            <w:pPr>
              <w:jc w:val="center"/>
              <w:textAlignment w:val="center"/>
              <w:rPr>
                <w:rFonts w:ascii="仿宋" w:hAnsi="仿宋" w:eastAsia="仿宋" w:cs="仿宋"/>
                <w:color w:val="auto"/>
                <w:highlight w:val="none"/>
              </w:rPr>
            </w:pPr>
          </w:p>
        </w:tc>
      </w:tr>
      <w:tr w14:paraId="1FF5030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9023BD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240</w:t>
            </w:r>
          </w:p>
        </w:tc>
        <w:tc>
          <w:tcPr>
            <w:tcW w:w="1843" w:type="dxa"/>
            <w:tcBorders>
              <w:top w:val="single" w:color="000000" w:sz="4" w:space="0"/>
              <w:left w:val="single" w:color="000000" w:sz="4" w:space="0"/>
              <w:bottom w:val="single" w:color="000000" w:sz="4" w:space="0"/>
              <w:right w:val="single" w:color="000000" w:sz="4" w:space="0"/>
            </w:tcBorders>
            <w:vAlign w:val="center"/>
          </w:tcPr>
          <w:p w14:paraId="187696F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棱镜分光镜</w:t>
            </w:r>
          </w:p>
        </w:tc>
        <w:tc>
          <w:tcPr>
            <w:tcW w:w="1180" w:type="dxa"/>
            <w:tcBorders>
              <w:top w:val="single" w:color="000000" w:sz="4" w:space="0"/>
              <w:left w:val="single" w:color="000000" w:sz="4" w:space="0"/>
              <w:bottom w:val="single" w:color="000000" w:sz="4" w:space="0"/>
              <w:right w:val="single" w:color="000000" w:sz="4" w:space="0"/>
            </w:tcBorders>
            <w:vAlign w:val="center"/>
          </w:tcPr>
          <w:p w14:paraId="1D13F14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DB3162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0F9E4C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304B53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D3278F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E8A5B30">
            <w:pPr>
              <w:jc w:val="center"/>
              <w:textAlignment w:val="center"/>
              <w:rPr>
                <w:rFonts w:ascii="仿宋" w:hAnsi="仿宋" w:eastAsia="仿宋" w:cs="仿宋"/>
                <w:color w:val="auto"/>
                <w:highlight w:val="none"/>
              </w:rPr>
            </w:pPr>
          </w:p>
        </w:tc>
      </w:tr>
      <w:tr w14:paraId="0F1E554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A64A75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241</w:t>
            </w:r>
          </w:p>
        </w:tc>
        <w:tc>
          <w:tcPr>
            <w:tcW w:w="1843" w:type="dxa"/>
            <w:tcBorders>
              <w:top w:val="single" w:color="000000" w:sz="4" w:space="0"/>
              <w:left w:val="single" w:color="000000" w:sz="4" w:space="0"/>
              <w:bottom w:val="single" w:color="000000" w:sz="4" w:space="0"/>
              <w:right w:val="single" w:color="000000" w:sz="4" w:space="0"/>
            </w:tcBorders>
            <w:vAlign w:val="center"/>
          </w:tcPr>
          <w:p w14:paraId="7FD0509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光谱管组</w:t>
            </w:r>
          </w:p>
        </w:tc>
        <w:tc>
          <w:tcPr>
            <w:tcW w:w="1180" w:type="dxa"/>
            <w:tcBorders>
              <w:top w:val="single" w:color="000000" w:sz="4" w:space="0"/>
              <w:left w:val="single" w:color="000000" w:sz="4" w:space="0"/>
              <w:bottom w:val="single" w:color="000000" w:sz="4" w:space="0"/>
              <w:right w:val="single" w:color="000000" w:sz="4" w:space="0"/>
            </w:tcBorders>
            <w:vAlign w:val="center"/>
          </w:tcPr>
          <w:p w14:paraId="64BED0A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C6FC52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8D28D0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C1C64F6">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B5B7AD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C372096">
            <w:pPr>
              <w:jc w:val="center"/>
              <w:textAlignment w:val="center"/>
              <w:rPr>
                <w:rFonts w:ascii="仿宋" w:hAnsi="仿宋" w:eastAsia="仿宋" w:cs="仿宋"/>
                <w:color w:val="auto"/>
                <w:highlight w:val="none"/>
              </w:rPr>
            </w:pPr>
          </w:p>
        </w:tc>
      </w:tr>
      <w:tr w14:paraId="1D87152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6286C8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242</w:t>
            </w:r>
          </w:p>
        </w:tc>
        <w:tc>
          <w:tcPr>
            <w:tcW w:w="1843" w:type="dxa"/>
            <w:tcBorders>
              <w:top w:val="single" w:color="000000" w:sz="4" w:space="0"/>
              <w:left w:val="single" w:color="000000" w:sz="4" w:space="0"/>
              <w:bottom w:val="single" w:color="000000" w:sz="4" w:space="0"/>
              <w:right w:val="single" w:color="000000" w:sz="4" w:space="0"/>
            </w:tcBorders>
            <w:vAlign w:val="center"/>
          </w:tcPr>
          <w:p w14:paraId="5956E54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钠的吸收光谱演</w:t>
            </w:r>
            <w:r>
              <w:rPr>
                <w:rFonts w:hint="eastAsia" w:ascii="仿宋" w:hAnsi="仿宋" w:eastAsia="仿宋" w:cs="仿宋"/>
                <w:color w:val="auto"/>
                <w:highlight w:val="none"/>
                <w:lang w:eastAsia="zh-CN"/>
              </w:rPr>
              <w:br w:type="textWrapping"/>
            </w:r>
            <w:r>
              <w:rPr>
                <w:rFonts w:hint="eastAsia" w:ascii="仿宋" w:hAnsi="仿宋" w:eastAsia="仿宋" w:cs="仿宋"/>
                <w:color w:val="auto"/>
                <w:highlight w:val="none"/>
                <w:lang w:eastAsia="zh-CN"/>
              </w:rPr>
              <w:t>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4273E6A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781A94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7D99A2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E1CB85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B5125A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8DF1CD5">
            <w:pPr>
              <w:jc w:val="center"/>
              <w:textAlignment w:val="center"/>
              <w:rPr>
                <w:rFonts w:ascii="仿宋" w:hAnsi="仿宋" w:eastAsia="仿宋" w:cs="仿宋"/>
                <w:color w:val="auto"/>
                <w:highlight w:val="none"/>
              </w:rPr>
            </w:pPr>
          </w:p>
        </w:tc>
      </w:tr>
      <w:tr w14:paraId="5472F7D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1601FB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243</w:t>
            </w:r>
          </w:p>
        </w:tc>
        <w:tc>
          <w:tcPr>
            <w:tcW w:w="1843" w:type="dxa"/>
            <w:tcBorders>
              <w:top w:val="single" w:color="000000" w:sz="4" w:space="0"/>
              <w:left w:val="single" w:color="000000" w:sz="4" w:space="0"/>
              <w:bottom w:val="single" w:color="000000" w:sz="4" w:space="0"/>
              <w:right w:val="single" w:color="000000" w:sz="4" w:space="0"/>
            </w:tcBorders>
            <w:vAlign w:val="center"/>
          </w:tcPr>
          <w:p w14:paraId="0CA3F98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光电效应演示器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38AB645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E9862B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DB5D00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8572C8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4B388C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D7FADC4">
            <w:pPr>
              <w:jc w:val="center"/>
              <w:textAlignment w:val="center"/>
              <w:rPr>
                <w:rFonts w:ascii="仿宋" w:hAnsi="仿宋" w:eastAsia="仿宋" w:cs="仿宋"/>
                <w:color w:val="auto"/>
                <w:highlight w:val="none"/>
              </w:rPr>
            </w:pPr>
          </w:p>
        </w:tc>
      </w:tr>
      <w:tr w14:paraId="629A5CF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4776C1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244</w:t>
            </w:r>
          </w:p>
        </w:tc>
        <w:tc>
          <w:tcPr>
            <w:tcW w:w="1843" w:type="dxa"/>
            <w:tcBorders>
              <w:top w:val="single" w:color="000000" w:sz="4" w:space="0"/>
              <w:left w:val="single" w:color="000000" w:sz="4" w:space="0"/>
              <w:bottom w:val="single" w:color="000000" w:sz="4" w:space="0"/>
              <w:right w:val="single" w:color="000000" w:sz="4" w:space="0"/>
            </w:tcBorders>
            <w:vAlign w:val="center"/>
          </w:tcPr>
          <w:p w14:paraId="51CD246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光电效应演示器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AD35D9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55B1A7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F1D10B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274D2B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522651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3619393">
            <w:pPr>
              <w:jc w:val="center"/>
              <w:textAlignment w:val="center"/>
              <w:rPr>
                <w:rFonts w:ascii="仿宋" w:hAnsi="仿宋" w:eastAsia="仿宋" w:cs="仿宋"/>
                <w:color w:val="auto"/>
                <w:highlight w:val="none"/>
              </w:rPr>
            </w:pPr>
          </w:p>
        </w:tc>
      </w:tr>
      <w:tr w14:paraId="0C9CB1A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765FD7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245</w:t>
            </w:r>
          </w:p>
        </w:tc>
        <w:tc>
          <w:tcPr>
            <w:tcW w:w="1843" w:type="dxa"/>
            <w:tcBorders>
              <w:top w:val="single" w:color="000000" w:sz="4" w:space="0"/>
              <w:left w:val="single" w:color="000000" w:sz="4" w:space="0"/>
              <w:bottom w:val="single" w:color="000000" w:sz="4" w:space="0"/>
              <w:right w:val="single" w:color="000000" w:sz="4" w:space="0"/>
            </w:tcBorders>
            <w:vAlign w:val="center"/>
          </w:tcPr>
          <w:p w14:paraId="646BBF5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液压机模型</w:t>
            </w:r>
          </w:p>
        </w:tc>
        <w:tc>
          <w:tcPr>
            <w:tcW w:w="1180" w:type="dxa"/>
            <w:tcBorders>
              <w:top w:val="single" w:color="000000" w:sz="4" w:space="0"/>
              <w:left w:val="single" w:color="000000" w:sz="4" w:space="0"/>
              <w:bottom w:val="single" w:color="000000" w:sz="4" w:space="0"/>
              <w:right w:val="single" w:color="000000" w:sz="4" w:space="0"/>
            </w:tcBorders>
            <w:vAlign w:val="center"/>
          </w:tcPr>
          <w:p w14:paraId="4E4D1FA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4B9176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DEE3DF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091406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6EB834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08634D3">
            <w:pPr>
              <w:jc w:val="center"/>
              <w:textAlignment w:val="center"/>
              <w:rPr>
                <w:rFonts w:ascii="仿宋" w:hAnsi="仿宋" w:eastAsia="仿宋" w:cs="仿宋"/>
                <w:color w:val="auto"/>
                <w:highlight w:val="none"/>
              </w:rPr>
            </w:pPr>
          </w:p>
        </w:tc>
      </w:tr>
      <w:tr w14:paraId="2C3B0F1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7993BE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246</w:t>
            </w:r>
          </w:p>
        </w:tc>
        <w:tc>
          <w:tcPr>
            <w:tcW w:w="1843" w:type="dxa"/>
            <w:tcBorders>
              <w:top w:val="single" w:color="000000" w:sz="4" w:space="0"/>
              <w:left w:val="single" w:color="000000" w:sz="4" w:space="0"/>
              <w:bottom w:val="single" w:color="000000" w:sz="4" w:space="0"/>
              <w:right w:val="single" w:color="000000" w:sz="4" w:space="0"/>
            </w:tcBorders>
            <w:vAlign w:val="center"/>
          </w:tcPr>
          <w:p w14:paraId="30BC72F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磁分子模型</w:t>
            </w:r>
          </w:p>
        </w:tc>
        <w:tc>
          <w:tcPr>
            <w:tcW w:w="1180" w:type="dxa"/>
            <w:tcBorders>
              <w:top w:val="single" w:color="000000" w:sz="4" w:space="0"/>
              <w:left w:val="single" w:color="000000" w:sz="4" w:space="0"/>
              <w:bottom w:val="single" w:color="000000" w:sz="4" w:space="0"/>
              <w:right w:val="single" w:color="000000" w:sz="4" w:space="0"/>
            </w:tcBorders>
            <w:vAlign w:val="center"/>
          </w:tcPr>
          <w:p w14:paraId="00BF18A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E7BDA0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94B1FF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DB3B94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8834FC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192413F">
            <w:pPr>
              <w:jc w:val="center"/>
              <w:textAlignment w:val="center"/>
              <w:rPr>
                <w:rFonts w:ascii="仿宋" w:hAnsi="仿宋" w:eastAsia="仿宋" w:cs="仿宋"/>
                <w:color w:val="auto"/>
                <w:highlight w:val="none"/>
              </w:rPr>
            </w:pPr>
          </w:p>
        </w:tc>
      </w:tr>
      <w:tr w14:paraId="4CE8C56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202D10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247</w:t>
            </w:r>
          </w:p>
        </w:tc>
        <w:tc>
          <w:tcPr>
            <w:tcW w:w="1843" w:type="dxa"/>
            <w:tcBorders>
              <w:top w:val="single" w:color="000000" w:sz="4" w:space="0"/>
              <w:left w:val="single" w:color="000000" w:sz="4" w:space="0"/>
              <w:bottom w:val="single" w:color="000000" w:sz="4" w:space="0"/>
              <w:right w:val="single" w:color="000000" w:sz="4" w:space="0"/>
            </w:tcBorders>
            <w:vAlign w:val="center"/>
          </w:tcPr>
          <w:p w14:paraId="5B9E2E4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离心机械模型</w:t>
            </w:r>
          </w:p>
        </w:tc>
        <w:tc>
          <w:tcPr>
            <w:tcW w:w="1180" w:type="dxa"/>
            <w:tcBorders>
              <w:top w:val="single" w:color="000000" w:sz="4" w:space="0"/>
              <w:left w:val="single" w:color="000000" w:sz="4" w:space="0"/>
              <w:bottom w:val="single" w:color="000000" w:sz="4" w:space="0"/>
              <w:right w:val="single" w:color="000000" w:sz="4" w:space="0"/>
            </w:tcBorders>
            <w:vAlign w:val="center"/>
          </w:tcPr>
          <w:p w14:paraId="414AD56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42CFFF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502DBA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6F121D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0F00D1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9950FA1">
            <w:pPr>
              <w:jc w:val="center"/>
              <w:textAlignment w:val="center"/>
              <w:rPr>
                <w:rFonts w:ascii="仿宋" w:hAnsi="仿宋" w:eastAsia="仿宋" w:cs="仿宋"/>
                <w:color w:val="auto"/>
                <w:highlight w:val="none"/>
              </w:rPr>
            </w:pPr>
          </w:p>
        </w:tc>
      </w:tr>
      <w:tr w14:paraId="5EE26E1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0B33DB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248</w:t>
            </w:r>
          </w:p>
        </w:tc>
        <w:tc>
          <w:tcPr>
            <w:tcW w:w="1843" w:type="dxa"/>
            <w:tcBorders>
              <w:top w:val="single" w:color="000000" w:sz="4" w:space="0"/>
              <w:left w:val="single" w:color="000000" w:sz="4" w:space="0"/>
              <w:bottom w:val="single" w:color="000000" w:sz="4" w:space="0"/>
              <w:right w:val="single" w:color="000000" w:sz="4" w:space="0"/>
            </w:tcBorders>
            <w:vAlign w:val="center"/>
          </w:tcPr>
          <w:p w14:paraId="19EFF9E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晶体空间点阵模型</w:t>
            </w:r>
          </w:p>
        </w:tc>
        <w:tc>
          <w:tcPr>
            <w:tcW w:w="1180" w:type="dxa"/>
            <w:tcBorders>
              <w:top w:val="single" w:color="000000" w:sz="4" w:space="0"/>
              <w:left w:val="single" w:color="000000" w:sz="4" w:space="0"/>
              <w:bottom w:val="single" w:color="000000" w:sz="4" w:space="0"/>
              <w:right w:val="single" w:color="000000" w:sz="4" w:space="0"/>
            </w:tcBorders>
            <w:vAlign w:val="center"/>
          </w:tcPr>
          <w:p w14:paraId="70EBA97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714C18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ED6D23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4FA33B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A681BB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4D40CE8">
            <w:pPr>
              <w:jc w:val="center"/>
              <w:textAlignment w:val="center"/>
              <w:rPr>
                <w:rFonts w:ascii="仿宋" w:hAnsi="仿宋" w:eastAsia="仿宋" w:cs="仿宋"/>
                <w:color w:val="auto"/>
                <w:highlight w:val="none"/>
              </w:rPr>
            </w:pPr>
          </w:p>
        </w:tc>
      </w:tr>
      <w:tr w14:paraId="5F978B1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6F9E97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249</w:t>
            </w:r>
          </w:p>
        </w:tc>
        <w:tc>
          <w:tcPr>
            <w:tcW w:w="1843" w:type="dxa"/>
            <w:tcBorders>
              <w:top w:val="single" w:color="000000" w:sz="4" w:space="0"/>
              <w:left w:val="single" w:color="000000" w:sz="4" w:space="0"/>
              <w:bottom w:val="single" w:color="000000" w:sz="4" w:space="0"/>
              <w:right w:val="single" w:color="000000" w:sz="4" w:space="0"/>
            </w:tcBorders>
            <w:vAlign w:val="center"/>
          </w:tcPr>
          <w:p w14:paraId="4FE3E71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蒸汽机模型</w:t>
            </w:r>
          </w:p>
        </w:tc>
        <w:tc>
          <w:tcPr>
            <w:tcW w:w="1180" w:type="dxa"/>
            <w:tcBorders>
              <w:top w:val="single" w:color="000000" w:sz="4" w:space="0"/>
              <w:left w:val="single" w:color="000000" w:sz="4" w:space="0"/>
              <w:bottom w:val="single" w:color="000000" w:sz="4" w:space="0"/>
              <w:right w:val="single" w:color="000000" w:sz="4" w:space="0"/>
            </w:tcBorders>
            <w:vAlign w:val="center"/>
          </w:tcPr>
          <w:p w14:paraId="792C588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145C83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CCF2B3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4A6C85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8A6170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B32E54D">
            <w:pPr>
              <w:jc w:val="center"/>
              <w:textAlignment w:val="center"/>
              <w:rPr>
                <w:rFonts w:ascii="仿宋" w:hAnsi="仿宋" w:eastAsia="仿宋" w:cs="仿宋"/>
                <w:color w:val="auto"/>
                <w:highlight w:val="none"/>
              </w:rPr>
            </w:pPr>
          </w:p>
        </w:tc>
      </w:tr>
      <w:tr w14:paraId="48A9B525">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382FD3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250</w:t>
            </w:r>
          </w:p>
        </w:tc>
        <w:tc>
          <w:tcPr>
            <w:tcW w:w="1843" w:type="dxa"/>
            <w:tcBorders>
              <w:top w:val="single" w:color="000000" w:sz="4" w:space="0"/>
              <w:left w:val="single" w:color="000000" w:sz="4" w:space="0"/>
              <w:bottom w:val="single" w:color="000000" w:sz="4" w:space="0"/>
              <w:right w:val="single" w:color="000000" w:sz="4" w:space="0"/>
            </w:tcBorders>
            <w:vAlign w:val="center"/>
          </w:tcPr>
          <w:p w14:paraId="3EF0374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蒸汽轮机模型</w:t>
            </w:r>
          </w:p>
        </w:tc>
        <w:tc>
          <w:tcPr>
            <w:tcW w:w="1180" w:type="dxa"/>
            <w:tcBorders>
              <w:top w:val="single" w:color="000000" w:sz="4" w:space="0"/>
              <w:left w:val="single" w:color="000000" w:sz="4" w:space="0"/>
              <w:bottom w:val="single" w:color="000000" w:sz="4" w:space="0"/>
              <w:right w:val="single" w:color="000000" w:sz="4" w:space="0"/>
            </w:tcBorders>
            <w:vAlign w:val="center"/>
          </w:tcPr>
          <w:p w14:paraId="688832F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D9A88A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A5F84A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96D2CC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502686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5EB722F">
            <w:pPr>
              <w:jc w:val="center"/>
              <w:textAlignment w:val="center"/>
              <w:rPr>
                <w:rFonts w:ascii="仿宋" w:hAnsi="仿宋" w:eastAsia="仿宋" w:cs="仿宋"/>
                <w:color w:val="auto"/>
                <w:highlight w:val="none"/>
              </w:rPr>
            </w:pPr>
          </w:p>
        </w:tc>
      </w:tr>
      <w:tr w14:paraId="395A624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F28641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251</w:t>
            </w:r>
          </w:p>
        </w:tc>
        <w:tc>
          <w:tcPr>
            <w:tcW w:w="1843" w:type="dxa"/>
            <w:tcBorders>
              <w:top w:val="single" w:color="000000" w:sz="4" w:space="0"/>
              <w:left w:val="single" w:color="000000" w:sz="4" w:space="0"/>
              <w:bottom w:val="single" w:color="000000" w:sz="4" w:space="0"/>
              <w:right w:val="single" w:color="000000" w:sz="4" w:space="0"/>
            </w:tcBorders>
            <w:vAlign w:val="center"/>
          </w:tcPr>
          <w:p w14:paraId="26DF88E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燃气轮机模型</w:t>
            </w:r>
          </w:p>
        </w:tc>
        <w:tc>
          <w:tcPr>
            <w:tcW w:w="1180" w:type="dxa"/>
            <w:tcBorders>
              <w:top w:val="single" w:color="000000" w:sz="4" w:space="0"/>
              <w:left w:val="single" w:color="000000" w:sz="4" w:space="0"/>
              <w:bottom w:val="single" w:color="000000" w:sz="4" w:space="0"/>
              <w:right w:val="single" w:color="000000" w:sz="4" w:space="0"/>
            </w:tcBorders>
            <w:vAlign w:val="center"/>
          </w:tcPr>
          <w:p w14:paraId="644541E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2749A7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BCD553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AD7A3F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A253B6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B0276FA">
            <w:pPr>
              <w:jc w:val="center"/>
              <w:textAlignment w:val="center"/>
              <w:rPr>
                <w:rFonts w:ascii="仿宋" w:hAnsi="仿宋" w:eastAsia="仿宋" w:cs="仿宋"/>
                <w:color w:val="auto"/>
                <w:highlight w:val="none"/>
              </w:rPr>
            </w:pPr>
          </w:p>
        </w:tc>
      </w:tr>
      <w:tr w14:paraId="189D7E1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58B751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252</w:t>
            </w:r>
          </w:p>
        </w:tc>
        <w:tc>
          <w:tcPr>
            <w:tcW w:w="1843" w:type="dxa"/>
            <w:tcBorders>
              <w:top w:val="single" w:color="000000" w:sz="4" w:space="0"/>
              <w:left w:val="single" w:color="000000" w:sz="4" w:space="0"/>
              <w:bottom w:val="single" w:color="000000" w:sz="4" w:space="0"/>
              <w:right w:val="single" w:color="000000" w:sz="4" w:space="0"/>
            </w:tcBorders>
            <w:vAlign w:val="center"/>
          </w:tcPr>
          <w:p w14:paraId="396DEB5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机械机构模型</w:t>
            </w:r>
          </w:p>
        </w:tc>
        <w:tc>
          <w:tcPr>
            <w:tcW w:w="1180" w:type="dxa"/>
            <w:tcBorders>
              <w:top w:val="single" w:color="000000" w:sz="4" w:space="0"/>
              <w:left w:val="single" w:color="000000" w:sz="4" w:space="0"/>
              <w:bottom w:val="single" w:color="000000" w:sz="4" w:space="0"/>
              <w:right w:val="single" w:color="000000" w:sz="4" w:space="0"/>
            </w:tcBorders>
            <w:vAlign w:val="center"/>
          </w:tcPr>
          <w:p w14:paraId="307991A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D61467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49E016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6C479A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D42C61F">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49E1AB1">
            <w:pPr>
              <w:jc w:val="center"/>
              <w:textAlignment w:val="center"/>
              <w:rPr>
                <w:rFonts w:ascii="仿宋" w:hAnsi="仿宋" w:eastAsia="仿宋" w:cs="仿宋"/>
                <w:color w:val="auto"/>
                <w:highlight w:val="none"/>
              </w:rPr>
            </w:pPr>
          </w:p>
        </w:tc>
      </w:tr>
      <w:tr w14:paraId="0C7F06F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E0F735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253</w:t>
            </w:r>
          </w:p>
        </w:tc>
        <w:tc>
          <w:tcPr>
            <w:tcW w:w="1843" w:type="dxa"/>
            <w:tcBorders>
              <w:top w:val="single" w:color="000000" w:sz="4" w:space="0"/>
              <w:left w:val="single" w:color="000000" w:sz="4" w:space="0"/>
              <w:bottom w:val="single" w:color="000000" w:sz="4" w:space="0"/>
              <w:right w:val="single" w:color="000000" w:sz="4" w:space="0"/>
            </w:tcBorders>
            <w:vAlign w:val="center"/>
          </w:tcPr>
          <w:p w14:paraId="2F24248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机械传动模型</w:t>
            </w:r>
          </w:p>
        </w:tc>
        <w:tc>
          <w:tcPr>
            <w:tcW w:w="1180" w:type="dxa"/>
            <w:tcBorders>
              <w:top w:val="single" w:color="000000" w:sz="4" w:space="0"/>
              <w:left w:val="single" w:color="000000" w:sz="4" w:space="0"/>
              <w:bottom w:val="single" w:color="000000" w:sz="4" w:space="0"/>
              <w:right w:val="single" w:color="000000" w:sz="4" w:space="0"/>
            </w:tcBorders>
            <w:vAlign w:val="center"/>
          </w:tcPr>
          <w:p w14:paraId="393C158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F1C016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0206D5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889E4E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69C6A2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8ABDCF8">
            <w:pPr>
              <w:jc w:val="center"/>
              <w:textAlignment w:val="center"/>
              <w:rPr>
                <w:rFonts w:ascii="仿宋" w:hAnsi="仿宋" w:eastAsia="仿宋" w:cs="仿宋"/>
                <w:color w:val="auto"/>
                <w:highlight w:val="none"/>
              </w:rPr>
            </w:pPr>
          </w:p>
        </w:tc>
      </w:tr>
      <w:tr w14:paraId="62435A15">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7E12E5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254</w:t>
            </w:r>
          </w:p>
        </w:tc>
        <w:tc>
          <w:tcPr>
            <w:tcW w:w="1843" w:type="dxa"/>
            <w:tcBorders>
              <w:top w:val="single" w:color="000000" w:sz="4" w:space="0"/>
              <w:left w:val="single" w:color="000000" w:sz="4" w:space="0"/>
              <w:bottom w:val="single" w:color="000000" w:sz="4" w:space="0"/>
              <w:right w:val="single" w:color="000000" w:sz="4" w:space="0"/>
            </w:tcBorders>
            <w:vAlign w:val="center"/>
          </w:tcPr>
          <w:p w14:paraId="0DAB3228">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高中物理必修模块教学挂图</w:t>
            </w:r>
          </w:p>
        </w:tc>
        <w:tc>
          <w:tcPr>
            <w:tcW w:w="1180" w:type="dxa"/>
            <w:tcBorders>
              <w:top w:val="single" w:color="000000" w:sz="4" w:space="0"/>
              <w:left w:val="single" w:color="000000" w:sz="4" w:space="0"/>
              <w:bottom w:val="single" w:color="000000" w:sz="4" w:space="0"/>
              <w:right w:val="single" w:color="000000" w:sz="4" w:space="0"/>
            </w:tcBorders>
            <w:vAlign w:val="center"/>
          </w:tcPr>
          <w:p w14:paraId="3D35EEF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45AFAB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9AC1EF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EBD3FB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2A0277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7FFF25C">
            <w:pPr>
              <w:jc w:val="center"/>
              <w:textAlignment w:val="center"/>
              <w:rPr>
                <w:rFonts w:ascii="仿宋" w:hAnsi="仿宋" w:eastAsia="仿宋" w:cs="仿宋"/>
                <w:color w:val="auto"/>
                <w:highlight w:val="none"/>
              </w:rPr>
            </w:pPr>
          </w:p>
        </w:tc>
      </w:tr>
      <w:tr w14:paraId="47C0A01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2368BC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255</w:t>
            </w:r>
          </w:p>
        </w:tc>
        <w:tc>
          <w:tcPr>
            <w:tcW w:w="1843" w:type="dxa"/>
            <w:tcBorders>
              <w:top w:val="single" w:color="000000" w:sz="4" w:space="0"/>
              <w:left w:val="single" w:color="000000" w:sz="4" w:space="0"/>
              <w:bottom w:val="single" w:color="000000" w:sz="4" w:space="0"/>
              <w:right w:val="single" w:color="000000" w:sz="4" w:space="0"/>
            </w:tcBorders>
            <w:vAlign w:val="center"/>
          </w:tcPr>
          <w:p w14:paraId="60DA91E3">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高中物理系列1选</w:t>
            </w:r>
            <w:r>
              <w:rPr>
                <w:rFonts w:hint="eastAsia" w:ascii="仿宋" w:hAnsi="仿宋" w:eastAsia="仿宋" w:cs="仿宋"/>
                <w:color w:val="auto"/>
                <w:highlight w:val="none"/>
                <w:lang w:eastAsia="zh-CN"/>
              </w:rPr>
              <w:br w:type="textWrapping"/>
            </w:r>
            <w:r>
              <w:rPr>
                <w:rFonts w:hint="eastAsia" w:ascii="仿宋" w:hAnsi="仿宋" w:eastAsia="仿宋" w:cs="仿宋"/>
                <w:color w:val="auto"/>
                <w:highlight w:val="none"/>
                <w:lang w:eastAsia="zh-CN"/>
              </w:rPr>
              <w:t>修模块教学挂图</w:t>
            </w:r>
          </w:p>
        </w:tc>
        <w:tc>
          <w:tcPr>
            <w:tcW w:w="1180" w:type="dxa"/>
            <w:tcBorders>
              <w:top w:val="single" w:color="000000" w:sz="4" w:space="0"/>
              <w:left w:val="single" w:color="000000" w:sz="4" w:space="0"/>
              <w:bottom w:val="single" w:color="000000" w:sz="4" w:space="0"/>
              <w:right w:val="single" w:color="000000" w:sz="4" w:space="0"/>
            </w:tcBorders>
            <w:vAlign w:val="center"/>
          </w:tcPr>
          <w:p w14:paraId="5FEC6DB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EAFA91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652DC4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A62CBE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18AA13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FCAD414">
            <w:pPr>
              <w:jc w:val="center"/>
              <w:textAlignment w:val="center"/>
              <w:rPr>
                <w:rFonts w:ascii="仿宋" w:hAnsi="仿宋" w:eastAsia="仿宋" w:cs="仿宋"/>
                <w:color w:val="auto"/>
                <w:highlight w:val="none"/>
              </w:rPr>
            </w:pPr>
          </w:p>
        </w:tc>
      </w:tr>
      <w:tr w14:paraId="63079EF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1D6F8A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256</w:t>
            </w:r>
          </w:p>
        </w:tc>
        <w:tc>
          <w:tcPr>
            <w:tcW w:w="1843" w:type="dxa"/>
            <w:tcBorders>
              <w:top w:val="single" w:color="000000" w:sz="4" w:space="0"/>
              <w:left w:val="single" w:color="000000" w:sz="4" w:space="0"/>
              <w:bottom w:val="single" w:color="000000" w:sz="4" w:space="0"/>
              <w:right w:val="single" w:color="000000" w:sz="4" w:space="0"/>
            </w:tcBorders>
            <w:vAlign w:val="center"/>
          </w:tcPr>
          <w:p w14:paraId="6C9336CB">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高中物理系列2选</w:t>
            </w:r>
            <w:r>
              <w:rPr>
                <w:rFonts w:hint="eastAsia" w:ascii="仿宋" w:hAnsi="仿宋" w:eastAsia="仿宋" w:cs="仿宋"/>
                <w:color w:val="auto"/>
                <w:highlight w:val="none"/>
                <w:lang w:eastAsia="zh-CN"/>
              </w:rPr>
              <w:br w:type="textWrapping"/>
            </w:r>
            <w:r>
              <w:rPr>
                <w:rFonts w:hint="eastAsia" w:ascii="仿宋" w:hAnsi="仿宋" w:eastAsia="仿宋" w:cs="仿宋"/>
                <w:color w:val="auto"/>
                <w:highlight w:val="none"/>
                <w:lang w:eastAsia="zh-CN"/>
              </w:rPr>
              <w:t>修模块教学挂图</w:t>
            </w:r>
          </w:p>
        </w:tc>
        <w:tc>
          <w:tcPr>
            <w:tcW w:w="1180" w:type="dxa"/>
            <w:tcBorders>
              <w:top w:val="single" w:color="000000" w:sz="4" w:space="0"/>
              <w:left w:val="single" w:color="000000" w:sz="4" w:space="0"/>
              <w:bottom w:val="single" w:color="000000" w:sz="4" w:space="0"/>
              <w:right w:val="single" w:color="000000" w:sz="4" w:space="0"/>
            </w:tcBorders>
            <w:vAlign w:val="center"/>
          </w:tcPr>
          <w:p w14:paraId="45FB99B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CFB282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AAB966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93D2C6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44FDB4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FDFC366">
            <w:pPr>
              <w:jc w:val="center"/>
              <w:textAlignment w:val="center"/>
              <w:rPr>
                <w:rFonts w:ascii="仿宋" w:hAnsi="仿宋" w:eastAsia="仿宋" w:cs="仿宋"/>
                <w:color w:val="auto"/>
                <w:highlight w:val="none"/>
              </w:rPr>
            </w:pPr>
          </w:p>
        </w:tc>
      </w:tr>
      <w:tr w14:paraId="06B1002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A387FE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257</w:t>
            </w:r>
          </w:p>
        </w:tc>
        <w:tc>
          <w:tcPr>
            <w:tcW w:w="1843" w:type="dxa"/>
            <w:tcBorders>
              <w:top w:val="single" w:color="000000" w:sz="4" w:space="0"/>
              <w:left w:val="single" w:color="000000" w:sz="4" w:space="0"/>
              <w:bottom w:val="single" w:color="000000" w:sz="4" w:space="0"/>
              <w:right w:val="single" w:color="000000" w:sz="4" w:space="0"/>
            </w:tcBorders>
            <w:vAlign w:val="center"/>
          </w:tcPr>
          <w:p w14:paraId="261AE20F">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高中物理系列3选</w:t>
            </w:r>
            <w:r>
              <w:rPr>
                <w:rFonts w:hint="eastAsia" w:ascii="仿宋" w:hAnsi="仿宋" w:eastAsia="仿宋" w:cs="仿宋"/>
                <w:color w:val="auto"/>
                <w:highlight w:val="none"/>
                <w:lang w:eastAsia="zh-CN"/>
              </w:rPr>
              <w:br w:type="textWrapping"/>
            </w:r>
            <w:r>
              <w:rPr>
                <w:rFonts w:hint="eastAsia" w:ascii="仿宋" w:hAnsi="仿宋" w:eastAsia="仿宋" w:cs="仿宋"/>
                <w:color w:val="auto"/>
                <w:highlight w:val="none"/>
                <w:lang w:eastAsia="zh-CN"/>
              </w:rPr>
              <w:t>修模块教学挂图</w:t>
            </w:r>
          </w:p>
        </w:tc>
        <w:tc>
          <w:tcPr>
            <w:tcW w:w="1180" w:type="dxa"/>
            <w:tcBorders>
              <w:top w:val="single" w:color="000000" w:sz="4" w:space="0"/>
              <w:left w:val="single" w:color="000000" w:sz="4" w:space="0"/>
              <w:bottom w:val="single" w:color="000000" w:sz="4" w:space="0"/>
              <w:right w:val="single" w:color="000000" w:sz="4" w:space="0"/>
            </w:tcBorders>
            <w:vAlign w:val="center"/>
          </w:tcPr>
          <w:p w14:paraId="1B7D9DD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24B634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6ACC07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1B82D4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DEE9D7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F8EF914">
            <w:pPr>
              <w:jc w:val="center"/>
              <w:textAlignment w:val="center"/>
              <w:rPr>
                <w:rFonts w:ascii="仿宋" w:hAnsi="仿宋" w:eastAsia="仿宋" w:cs="仿宋"/>
                <w:color w:val="auto"/>
                <w:highlight w:val="none"/>
              </w:rPr>
            </w:pPr>
          </w:p>
        </w:tc>
      </w:tr>
      <w:tr w14:paraId="57463F9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2EFFA6F">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258</w:t>
            </w:r>
          </w:p>
        </w:tc>
        <w:tc>
          <w:tcPr>
            <w:tcW w:w="1843" w:type="dxa"/>
            <w:tcBorders>
              <w:top w:val="single" w:color="000000" w:sz="4" w:space="0"/>
              <w:left w:val="single" w:color="000000" w:sz="4" w:space="0"/>
              <w:bottom w:val="single" w:color="000000" w:sz="4" w:space="0"/>
              <w:right w:val="single" w:color="000000" w:sz="4" w:space="0"/>
            </w:tcBorders>
            <w:vAlign w:val="center"/>
          </w:tcPr>
          <w:p w14:paraId="20F73CD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简明物理学史挂图</w:t>
            </w:r>
          </w:p>
        </w:tc>
        <w:tc>
          <w:tcPr>
            <w:tcW w:w="1180" w:type="dxa"/>
            <w:tcBorders>
              <w:top w:val="single" w:color="000000" w:sz="4" w:space="0"/>
              <w:left w:val="single" w:color="000000" w:sz="4" w:space="0"/>
              <w:bottom w:val="single" w:color="000000" w:sz="4" w:space="0"/>
              <w:right w:val="single" w:color="000000" w:sz="4" w:space="0"/>
            </w:tcBorders>
            <w:vAlign w:val="center"/>
          </w:tcPr>
          <w:p w14:paraId="0031D2C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594810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839F22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903075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DC0EBB6">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B3C4221">
            <w:pPr>
              <w:jc w:val="center"/>
              <w:textAlignment w:val="center"/>
              <w:rPr>
                <w:rFonts w:ascii="仿宋" w:hAnsi="仿宋" w:eastAsia="仿宋" w:cs="仿宋"/>
                <w:color w:val="auto"/>
                <w:highlight w:val="none"/>
              </w:rPr>
            </w:pPr>
          </w:p>
        </w:tc>
      </w:tr>
      <w:tr w14:paraId="2C8E26F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C5AE9B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259</w:t>
            </w:r>
          </w:p>
        </w:tc>
        <w:tc>
          <w:tcPr>
            <w:tcW w:w="1843" w:type="dxa"/>
            <w:tcBorders>
              <w:top w:val="single" w:color="000000" w:sz="4" w:space="0"/>
              <w:left w:val="single" w:color="000000" w:sz="4" w:space="0"/>
              <w:bottom w:val="single" w:color="000000" w:sz="4" w:space="0"/>
              <w:right w:val="single" w:color="000000" w:sz="4" w:space="0"/>
            </w:tcBorders>
            <w:vAlign w:val="center"/>
          </w:tcPr>
          <w:p w14:paraId="59578C2A">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实验规范操作和安全要求</w:t>
            </w:r>
          </w:p>
        </w:tc>
        <w:tc>
          <w:tcPr>
            <w:tcW w:w="1180" w:type="dxa"/>
            <w:tcBorders>
              <w:top w:val="single" w:color="000000" w:sz="4" w:space="0"/>
              <w:left w:val="single" w:color="000000" w:sz="4" w:space="0"/>
              <w:bottom w:val="single" w:color="000000" w:sz="4" w:space="0"/>
              <w:right w:val="single" w:color="000000" w:sz="4" w:space="0"/>
            </w:tcBorders>
            <w:vAlign w:val="center"/>
          </w:tcPr>
          <w:p w14:paraId="273214D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E0612E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85E3EE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783E08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5CA951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FB56DAD">
            <w:pPr>
              <w:jc w:val="center"/>
              <w:textAlignment w:val="center"/>
              <w:rPr>
                <w:rFonts w:ascii="仿宋" w:hAnsi="仿宋" w:eastAsia="仿宋" w:cs="仿宋"/>
                <w:color w:val="auto"/>
                <w:highlight w:val="none"/>
              </w:rPr>
            </w:pPr>
          </w:p>
        </w:tc>
      </w:tr>
      <w:tr w14:paraId="57E42E8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DD8389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260</w:t>
            </w:r>
          </w:p>
        </w:tc>
        <w:tc>
          <w:tcPr>
            <w:tcW w:w="1843" w:type="dxa"/>
            <w:tcBorders>
              <w:top w:val="single" w:color="000000" w:sz="4" w:space="0"/>
              <w:left w:val="single" w:color="000000" w:sz="4" w:space="0"/>
              <w:bottom w:val="single" w:color="000000" w:sz="4" w:space="0"/>
              <w:right w:val="single" w:color="000000" w:sz="4" w:space="0"/>
            </w:tcBorders>
            <w:vAlign w:val="center"/>
          </w:tcPr>
          <w:p w14:paraId="6D58D7F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初中物理实验参考书</w:t>
            </w:r>
          </w:p>
        </w:tc>
        <w:tc>
          <w:tcPr>
            <w:tcW w:w="1180" w:type="dxa"/>
            <w:tcBorders>
              <w:top w:val="single" w:color="000000" w:sz="4" w:space="0"/>
              <w:left w:val="single" w:color="000000" w:sz="4" w:space="0"/>
              <w:bottom w:val="single" w:color="000000" w:sz="4" w:space="0"/>
              <w:right w:val="single" w:color="000000" w:sz="4" w:space="0"/>
            </w:tcBorders>
            <w:vAlign w:val="center"/>
          </w:tcPr>
          <w:p w14:paraId="6F345DE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62B238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B8EB54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FB676F6">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D77E8A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921F7D0">
            <w:pPr>
              <w:jc w:val="center"/>
              <w:textAlignment w:val="center"/>
              <w:rPr>
                <w:rFonts w:ascii="仿宋" w:hAnsi="仿宋" w:eastAsia="仿宋" w:cs="仿宋"/>
                <w:color w:val="auto"/>
                <w:highlight w:val="none"/>
              </w:rPr>
            </w:pPr>
          </w:p>
        </w:tc>
      </w:tr>
      <w:tr w14:paraId="391E34B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47C407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261</w:t>
            </w:r>
          </w:p>
        </w:tc>
        <w:tc>
          <w:tcPr>
            <w:tcW w:w="1843" w:type="dxa"/>
            <w:tcBorders>
              <w:top w:val="single" w:color="000000" w:sz="4" w:space="0"/>
              <w:left w:val="single" w:color="000000" w:sz="4" w:space="0"/>
              <w:bottom w:val="single" w:color="000000" w:sz="4" w:space="0"/>
              <w:right w:val="single" w:color="000000" w:sz="4" w:space="0"/>
            </w:tcBorders>
            <w:vAlign w:val="center"/>
          </w:tcPr>
          <w:p w14:paraId="54B43D1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初中物理实验手册</w:t>
            </w:r>
          </w:p>
        </w:tc>
        <w:tc>
          <w:tcPr>
            <w:tcW w:w="1180" w:type="dxa"/>
            <w:tcBorders>
              <w:top w:val="single" w:color="000000" w:sz="4" w:space="0"/>
              <w:left w:val="single" w:color="000000" w:sz="4" w:space="0"/>
              <w:bottom w:val="single" w:color="000000" w:sz="4" w:space="0"/>
              <w:right w:val="single" w:color="000000" w:sz="4" w:space="0"/>
            </w:tcBorders>
            <w:vAlign w:val="center"/>
          </w:tcPr>
          <w:p w14:paraId="2475600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013D88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391065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F5BD1C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4970C5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B1FB67A">
            <w:pPr>
              <w:jc w:val="center"/>
              <w:textAlignment w:val="center"/>
              <w:rPr>
                <w:rFonts w:ascii="仿宋" w:hAnsi="仿宋" w:eastAsia="仿宋" w:cs="仿宋"/>
                <w:color w:val="auto"/>
                <w:highlight w:val="none"/>
              </w:rPr>
            </w:pPr>
          </w:p>
        </w:tc>
      </w:tr>
      <w:tr w14:paraId="1050CAF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7C75CA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262</w:t>
            </w:r>
          </w:p>
        </w:tc>
        <w:tc>
          <w:tcPr>
            <w:tcW w:w="1843" w:type="dxa"/>
            <w:tcBorders>
              <w:top w:val="single" w:color="000000" w:sz="4" w:space="0"/>
              <w:left w:val="single" w:color="000000" w:sz="4" w:space="0"/>
              <w:bottom w:val="single" w:color="000000" w:sz="4" w:space="0"/>
              <w:right w:val="single" w:color="000000" w:sz="4" w:space="0"/>
            </w:tcBorders>
            <w:vAlign w:val="center"/>
          </w:tcPr>
          <w:p w14:paraId="6206A15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高中物理实验参考书</w:t>
            </w:r>
          </w:p>
        </w:tc>
        <w:tc>
          <w:tcPr>
            <w:tcW w:w="1180" w:type="dxa"/>
            <w:tcBorders>
              <w:top w:val="single" w:color="000000" w:sz="4" w:space="0"/>
              <w:left w:val="single" w:color="000000" w:sz="4" w:space="0"/>
              <w:bottom w:val="single" w:color="000000" w:sz="4" w:space="0"/>
              <w:right w:val="single" w:color="000000" w:sz="4" w:space="0"/>
            </w:tcBorders>
            <w:vAlign w:val="center"/>
          </w:tcPr>
          <w:p w14:paraId="2BAD30B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C21029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B295FF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8B1128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7E4664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20FCD3A">
            <w:pPr>
              <w:jc w:val="center"/>
              <w:textAlignment w:val="center"/>
              <w:rPr>
                <w:rFonts w:ascii="仿宋" w:hAnsi="仿宋" w:eastAsia="仿宋" w:cs="仿宋"/>
                <w:color w:val="auto"/>
                <w:highlight w:val="none"/>
              </w:rPr>
            </w:pPr>
          </w:p>
        </w:tc>
      </w:tr>
      <w:tr w14:paraId="46EC1A9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88DB4D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263</w:t>
            </w:r>
          </w:p>
        </w:tc>
        <w:tc>
          <w:tcPr>
            <w:tcW w:w="1843" w:type="dxa"/>
            <w:tcBorders>
              <w:top w:val="single" w:color="000000" w:sz="4" w:space="0"/>
              <w:left w:val="single" w:color="000000" w:sz="4" w:space="0"/>
              <w:bottom w:val="single" w:color="000000" w:sz="4" w:space="0"/>
              <w:right w:val="single" w:color="000000" w:sz="4" w:space="0"/>
            </w:tcBorders>
            <w:vAlign w:val="center"/>
          </w:tcPr>
          <w:p w14:paraId="18A96B4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高中物理实验手册</w:t>
            </w:r>
          </w:p>
        </w:tc>
        <w:tc>
          <w:tcPr>
            <w:tcW w:w="1180" w:type="dxa"/>
            <w:tcBorders>
              <w:top w:val="single" w:color="000000" w:sz="4" w:space="0"/>
              <w:left w:val="single" w:color="000000" w:sz="4" w:space="0"/>
              <w:bottom w:val="single" w:color="000000" w:sz="4" w:space="0"/>
              <w:right w:val="single" w:color="000000" w:sz="4" w:space="0"/>
            </w:tcBorders>
            <w:vAlign w:val="center"/>
          </w:tcPr>
          <w:p w14:paraId="780D711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E6E341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05F266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97E946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8013A77">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8C113E4">
            <w:pPr>
              <w:jc w:val="center"/>
              <w:textAlignment w:val="center"/>
              <w:rPr>
                <w:rFonts w:ascii="仿宋" w:hAnsi="仿宋" w:eastAsia="仿宋" w:cs="仿宋"/>
                <w:color w:val="auto"/>
                <w:highlight w:val="none"/>
              </w:rPr>
            </w:pPr>
          </w:p>
        </w:tc>
      </w:tr>
      <w:tr w14:paraId="53959B5B">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7319EC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264</w:t>
            </w:r>
          </w:p>
        </w:tc>
        <w:tc>
          <w:tcPr>
            <w:tcW w:w="1843" w:type="dxa"/>
            <w:tcBorders>
              <w:top w:val="single" w:color="000000" w:sz="4" w:space="0"/>
              <w:left w:val="single" w:color="000000" w:sz="4" w:space="0"/>
              <w:bottom w:val="single" w:color="000000" w:sz="4" w:space="0"/>
              <w:right w:val="single" w:color="000000" w:sz="4" w:space="0"/>
            </w:tcBorders>
            <w:vAlign w:val="center"/>
          </w:tcPr>
          <w:p w14:paraId="786583A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传感器器材</w:t>
            </w:r>
          </w:p>
        </w:tc>
        <w:tc>
          <w:tcPr>
            <w:tcW w:w="1180" w:type="dxa"/>
            <w:tcBorders>
              <w:top w:val="single" w:color="000000" w:sz="4" w:space="0"/>
              <w:left w:val="single" w:color="000000" w:sz="4" w:space="0"/>
              <w:bottom w:val="single" w:color="000000" w:sz="4" w:space="0"/>
              <w:right w:val="single" w:color="000000" w:sz="4" w:space="0"/>
            </w:tcBorders>
            <w:vAlign w:val="center"/>
          </w:tcPr>
          <w:p w14:paraId="1102E22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0F2EA5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64C5D5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85CE02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52C2FA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F8F8157">
            <w:pPr>
              <w:jc w:val="center"/>
              <w:textAlignment w:val="center"/>
              <w:rPr>
                <w:rFonts w:ascii="仿宋" w:hAnsi="仿宋" w:eastAsia="仿宋" w:cs="仿宋"/>
                <w:color w:val="auto"/>
                <w:highlight w:val="none"/>
              </w:rPr>
            </w:pPr>
          </w:p>
        </w:tc>
      </w:tr>
      <w:tr w14:paraId="021ECCB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86B446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265</w:t>
            </w:r>
          </w:p>
        </w:tc>
        <w:tc>
          <w:tcPr>
            <w:tcW w:w="1843" w:type="dxa"/>
            <w:tcBorders>
              <w:top w:val="single" w:color="000000" w:sz="4" w:space="0"/>
              <w:left w:val="single" w:color="000000" w:sz="4" w:space="0"/>
              <w:bottom w:val="single" w:color="000000" w:sz="4" w:space="0"/>
              <w:right w:val="single" w:color="000000" w:sz="4" w:space="0"/>
            </w:tcBorders>
            <w:vAlign w:val="center"/>
          </w:tcPr>
          <w:p w14:paraId="31B3FE0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晶体和非晶体样品</w:t>
            </w:r>
          </w:p>
        </w:tc>
        <w:tc>
          <w:tcPr>
            <w:tcW w:w="1180" w:type="dxa"/>
            <w:tcBorders>
              <w:top w:val="single" w:color="000000" w:sz="4" w:space="0"/>
              <w:left w:val="single" w:color="000000" w:sz="4" w:space="0"/>
              <w:bottom w:val="single" w:color="000000" w:sz="4" w:space="0"/>
              <w:right w:val="single" w:color="000000" w:sz="4" w:space="0"/>
            </w:tcBorders>
            <w:vAlign w:val="center"/>
          </w:tcPr>
          <w:p w14:paraId="01FD029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033D1E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126E11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0B43C2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223984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87F154C">
            <w:pPr>
              <w:jc w:val="center"/>
              <w:textAlignment w:val="center"/>
              <w:rPr>
                <w:rFonts w:ascii="仿宋" w:hAnsi="仿宋" w:eastAsia="仿宋" w:cs="仿宋"/>
                <w:color w:val="auto"/>
                <w:highlight w:val="none"/>
              </w:rPr>
            </w:pPr>
          </w:p>
        </w:tc>
      </w:tr>
      <w:tr w14:paraId="3A2D414B">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4F1F02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266</w:t>
            </w:r>
          </w:p>
        </w:tc>
        <w:tc>
          <w:tcPr>
            <w:tcW w:w="1843" w:type="dxa"/>
            <w:tcBorders>
              <w:top w:val="single" w:color="000000" w:sz="4" w:space="0"/>
              <w:left w:val="single" w:color="000000" w:sz="4" w:space="0"/>
              <w:bottom w:val="single" w:color="000000" w:sz="4" w:space="0"/>
              <w:right w:val="single" w:color="000000" w:sz="4" w:space="0"/>
            </w:tcBorders>
            <w:vAlign w:val="center"/>
          </w:tcPr>
          <w:p w14:paraId="73FC92A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滚珠盒</w:t>
            </w:r>
          </w:p>
        </w:tc>
        <w:tc>
          <w:tcPr>
            <w:tcW w:w="1180" w:type="dxa"/>
            <w:tcBorders>
              <w:top w:val="single" w:color="000000" w:sz="4" w:space="0"/>
              <w:left w:val="single" w:color="000000" w:sz="4" w:space="0"/>
              <w:bottom w:val="single" w:color="000000" w:sz="4" w:space="0"/>
              <w:right w:val="single" w:color="000000" w:sz="4" w:space="0"/>
            </w:tcBorders>
            <w:vAlign w:val="center"/>
          </w:tcPr>
          <w:p w14:paraId="04DCCBE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D65D22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192D7D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89CC9C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865C8B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A22EC0A">
            <w:pPr>
              <w:jc w:val="center"/>
              <w:textAlignment w:val="center"/>
              <w:rPr>
                <w:rFonts w:ascii="仿宋" w:hAnsi="仿宋" w:eastAsia="仿宋" w:cs="仿宋"/>
                <w:color w:val="auto"/>
                <w:highlight w:val="none"/>
              </w:rPr>
            </w:pPr>
          </w:p>
        </w:tc>
      </w:tr>
      <w:tr w14:paraId="2D5E6CB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FADA3B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267</w:t>
            </w:r>
          </w:p>
        </w:tc>
        <w:tc>
          <w:tcPr>
            <w:tcW w:w="1843" w:type="dxa"/>
            <w:tcBorders>
              <w:top w:val="single" w:color="000000" w:sz="4" w:space="0"/>
              <w:left w:val="single" w:color="000000" w:sz="4" w:space="0"/>
              <w:bottom w:val="single" w:color="000000" w:sz="4" w:space="0"/>
              <w:right w:val="single" w:color="000000" w:sz="4" w:space="0"/>
            </w:tcBorders>
            <w:vAlign w:val="center"/>
          </w:tcPr>
          <w:p w14:paraId="45F6A1F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演示实验器材</w:t>
            </w:r>
          </w:p>
        </w:tc>
        <w:tc>
          <w:tcPr>
            <w:tcW w:w="1180" w:type="dxa"/>
            <w:tcBorders>
              <w:top w:val="single" w:color="000000" w:sz="4" w:space="0"/>
              <w:left w:val="single" w:color="000000" w:sz="4" w:space="0"/>
              <w:bottom w:val="single" w:color="000000" w:sz="4" w:space="0"/>
              <w:right w:val="single" w:color="000000" w:sz="4" w:space="0"/>
            </w:tcBorders>
            <w:vAlign w:val="center"/>
          </w:tcPr>
          <w:p w14:paraId="2FAE652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95DB4B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9670DB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1FFA73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399C41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FCFD1A7">
            <w:pPr>
              <w:jc w:val="center"/>
              <w:textAlignment w:val="center"/>
              <w:rPr>
                <w:rFonts w:ascii="仿宋" w:hAnsi="仿宋" w:eastAsia="仿宋" w:cs="仿宋"/>
                <w:color w:val="auto"/>
                <w:highlight w:val="none"/>
              </w:rPr>
            </w:pPr>
          </w:p>
        </w:tc>
      </w:tr>
      <w:tr w14:paraId="14CCAB6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AAB74F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268</w:t>
            </w:r>
          </w:p>
        </w:tc>
        <w:tc>
          <w:tcPr>
            <w:tcW w:w="1843" w:type="dxa"/>
            <w:tcBorders>
              <w:top w:val="single" w:color="000000" w:sz="4" w:space="0"/>
              <w:left w:val="single" w:color="000000" w:sz="4" w:space="0"/>
              <w:bottom w:val="single" w:color="000000" w:sz="4" w:space="0"/>
              <w:right w:val="single" w:color="000000" w:sz="4" w:space="0"/>
            </w:tcBorders>
            <w:vAlign w:val="center"/>
          </w:tcPr>
          <w:p w14:paraId="7ADE94C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学生实验纸材</w:t>
            </w:r>
          </w:p>
        </w:tc>
        <w:tc>
          <w:tcPr>
            <w:tcW w:w="1180" w:type="dxa"/>
            <w:tcBorders>
              <w:top w:val="single" w:color="000000" w:sz="4" w:space="0"/>
              <w:left w:val="single" w:color="000000" w:sz="4" w:space="0"/>
              <w:bottom w:val="single" w:color="000000" w:sz="4" w:space="0"/>
              <w:right w:val="single" w:color="000000" w:sz="4" w:space="0"/>
            </w:tcBorders>
            <w:vAlign w:val="center"/>
          </w:tcPr>
          <w:p w14:paraId="081CD6F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32B93D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453C6E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6B1463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DBDE99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36DF9F4">
            <w:pPr>
              <w:jc w:val="center"/>
              <w:textAlignment w:val="center"/>
              <w:rPr>
                <w:rFonts w:ascii="仿宋" w:hAnsi="仿宋" w:eastAsia="仿宋" w:cs="仿宋"/>
                <w:color w:val="auto"/>
                <w:highlight w:val="none"/>
              </w:rPr>
            </w:pPr>
          </w:p>
        </w:tc>
      </w:tr>
      <w:tr w14:paraId="7981271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345A36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269</w:t>
            </w:r>
          </w:p>
        </w:tc>
        <w:tc>
          <w:tcPr>
            <w:tcW w:w="1843" w:type="dxa"/>
            <w:tcBorders>
              <w:top w:val="single" w:color="000000" w:sz="4" w:space="0"/>
              <w:left w:val="single" w:color="000000" w:sz="4" w:space="0"/>
              <w:bottom w:val="single" w:color="000000" w:sz="4" w:space="0"/>
              <w:right w:val="single" w:color="000000" w:sz="4" w:space="0"/>
            </w:tcBorders>
            <w:vAlign w:val="center"/>
          </w:tcPr>
          <w:p w14:paraId="71F97BF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频闪观察器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7C4EEBB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8D9889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8D27DE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71704B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3751F95">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33307AB">
            <w:pPr>
              <w:jc w:val="center"/>
              <w:textAlignment w:val="center"/>
              <w:rPr>
                <w:rFonts w:ascii="仿宋" w:hAnsi="仿宋" w:eastAsia="仿宋" w:cs="仿宋"/>
                <w:color w:val="auto"/>
                <w:highlight w:val="none"/>
              </w:rPr>
            </w:pPr>
          </w:p>
        </w:tc>
      </w:tr>
      <w:tr w14:paraId="5A23725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E41664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270</w:t>
            </w:r>
          </w:p>
        </w:tc>
        <w:tc>
          <w:tcPr>
            <w:tcW w:w="1843" w:type="dxa"/>
            <w:tcBorders>
              <w:top w:val="single" w:color="000000" w:sz="4" w:space="0"/>
              <w:left w:val="single" w:color="000000" w:sz="4" w:space="0"/>
              <w:bottom w:val="single" w:color="000000" w:sz="4" w:space="0"/>
              <w:right w:val="single" w:color="000000" w:sz="4" w:space="0"/>
            </w:tcBorders>
            <w:vAlign w:val="center"/>
          </w:tcPr>
          <w:p w14:paraId="59E935F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电工刀</w:t>
            </w:r>
          </w:p>
        </w:tc>
        <w:tc>
          <w:tcPr>
            <w:tcW w:w="1180" w:type="dxa"/>
            <w:tcBorders>
              <w:top w:val="single" w:color="000000" w:sz="4" w:space="0"/>
              <w:left w:val="single" w:color="000000" w:sz="4" w:space="0"/>
              <w:bottom w:val="single" w:color="000000" w:sz="4" w:space="0"/>
              <w:right w:val="single" w:color="000000" w:sz="4" w:space="0"/>
            </w:tcBorders>
            <w:vAlign w:val="center"/>
          </w:tcPr>
          <w:p w14:paraId="05B31E3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2C31CB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C32363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35ED97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73C1CB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3D9ADD2">
            <w:pPr>
              <w:jc w:val="center"/>
              <w:textAlignment w:val="center"/>
              <w:rPr>
                <w:rFonts w:ascii="仿宋" w:hAnsi="仿宋" w:eastAsia="仿宋" w:cs="仿宋"/>
                <w:color w:val="auto"/>
                <w:highlight w:val="none"/>
              </w:rPr>
            </w:pPr>
          </w:p>
        </w:tc>
      </w:tr>
      <w:tr w14:paraId="5F393DB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9C6B05A">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271</w:t>
            </w:r>
          </w:p>
        </w:tc>
        <w:tc>
          <w:tcPr>
            <w:tcW w:w="1843" w:type="dxa"/>
            <w:tcBorders>
              <w:top w:val="single" w:color="000000" w:sz="4" w:space="0"/>
              <w:left w:val="single" w:color="000000" w:sz="4" w:space="0"/>
              <w:bottom w:val="single" w:color="000000" w:sz="4" w:space="0"/>
              <w:right w:val="single" w:color="000000" w:sz="4" w:space="0"/>
            </w:tcBorders>
            <w:vAlign w:val="center"/>
          </w:tcPr>
          <w:p w14:paraId="4C194F0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手摇钻</w:t>
            </w:r>
          </w:p>
        </w:tc>
        <w:tc>
          <w:tcPr>
            <w:tcW w:w="1180" w:type="dxa"/>
            <w:tcBorders>
              <w:top w:val="single" w:color="000000" w:sz="4" w:space="0"/>
              <w:left w:val="single" w:color="000000" w:sz="4" w:space="0"/>
              <w:bottom w:val="single" w:color="000000" w:sz="4" w:space="0"/>
              <w:right w:val="single" w:color="000000" w:sz="4" w:space="0"/>
            </w:tcBorders>
            <w:vAlign w:val="center"/>
          </w:tcPr>
          <w:p w14:paraId="749291D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6B4240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DC1024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24A2E1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96CCE75">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4AE6EE3">
            <w:pPr>
              <w:jc w:val="center"/>
              <w:textAlignment w:val="center"/>
              <w:rPr>
                <w:rFonts w:ascii="仿宋" w:hAnsi="仿宋" w:eastAsia="仿宋" w:cs="仿宋"/>
                <w:color w:val="auto"/>
                <w:highlight w:val="none"/>
              </w:rPr>
            </w:pPr>
          </w:p>
        </w:tc>
      </w:tr>
      <w:tr w14:paraId="54FF83F5">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424C78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272</w:t>
            </w:r>
          </w:p>
        </w:tc>
        <w:tc>
          <w:tcPr>
            <w:tcW w:w="1843" w:type="dxa"/>
            <w:tcBorders>
              <w:top w:val="single" w:color="000000" w:sz="4" w:space="0"/>
              <w:left w:val="single" w:color="000000" w:sz="4" w:space="0"/>
              <w:bottom w:val="single" w:color="000000" w:sz="4" w:space="0"/>
              <w:right w:val="single" w:color="000000" w:sz="4" w:space="0"/>
            </w:tcBorders>
            <w:vAlign w:val="center"/>
          </w:tcPr>
          <w:p w14:paraId="1F11AFF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木锉</w:t>
            </w:r>
          </w:p>
        </w:tc>
        <w:tc>
          <w:tcPr>
            <w:tcW w:w="1180" w:type="dxa"/>
            <w:tcBorders>
              <w:top w:val="single" w:color="000000" w:sz="4" w:space="0"/>
              <w:left w:val="single" w:color="000000" w:sz="4" w:space="0"/>
              <w:bottom w:val="single" w:color="000000" w:sz="4" w:space="0"/>
              <w:right w:val="single" w:color="000000" w:sz="4" w:space="0"/>
            </w:tcBorders>
            <w:vAlign w:val="center"/>
          </w:tcPr>
          <w:p w14:paraId="5FCA20A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6DD269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8813FB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D5F447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F41614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1BCDEC9">
            <w:pPr>
              <w:jc w:val="center"/>
              <w:textAlignment w:val="center"/>
              <w:rPr>
                <w:rFonts w:ascii="仿宋" w:hAnsi="仿宋" w:eastAsia="仿宋" w:cs="仿宋"/>
                <w:color w:val="auto"/>
                <w:highlight w:val="none"/>
              </w:rPr>
            </w:pPr>
          </w:p>
        </w:tc>
      </w:tr>
      <w:tr w14:paraId="420AE74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99ACD3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273</w:t>
            </w:r>
          </w:p>
        </w:tc>
        <w:tc>
          <w:tcPr>
            <w:tcW w:w="1843" w:type="dxa"/>
            <w:tcBorders>
              <w:top w:val="single" w:color="000000" w:sz="4" w:space="0"/>
              <w:left w:val="single" w:color="000000" w:sz="4" w:space="0"/>
              <w:bottom w:val="single" w:color="000000" w:sz="4" w:space="0"/>
              <w:right w:val="single" w:color="000000" w:sz="4" w:space="0"/>
            </w:tcBorders>
            <w:vAlign w:val="center"/>
          </w:tcPr>
          <w:p w14:paraId="78A8111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木工锯</w:t>
            </w:r>
          </w:p>
        </w:tc>
        <w:tc>
          <w:tcPr>
            <w:tcW w:w="1180" w:type="dxa"/>
            <w:tcBorders>
              <w:top w:val="single" w:color="000000" w:sz="4" w:space="0"/>
              <w:left w:val="single" w:color="000000" w:sz="4" w:space="0"/>
              <w:bottom w:val="single" w:color="000000" w:sz="4" w:space="0"/>
              <w:right w:val="single" w:color="000000" w:sz="4" w:space="0"/>
            </w:tcBorders>
            <w:vAlign w:val="center"/>
          </w:tcPr>
          <w:p w14:paraId="3016A2E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A415CD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0B2A61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B149C3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6726A0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3B243CF">
            <w:pPr>
              <w:jc w:val="center"/>
              <w:textAlignment w:val="center"/>
              <w:rPr>
                <w:rFonts w:ascii="仿宋" w:hAnsi="仿宋" w:eastAsia="仿宋" w:cs="仿宋"/>
                <w:color w:val="auto"/>
                <w:highlight w:val="none"/>
              </w:rPr>
            </w:pPr>
          </w:p>
        </w:tc>
      </w:tr>
      <w:tr w14:paraId="0B273A3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FC5DE5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274</w:t>
            </w:r>
          </w:p>
        </w:tc>
        <w:tc>
          <w:tcPr>
            <w:tcW w:w="1843" w:type="dxa"/>
            <w:tcBorders>
              <w:top w:val="single" w:color="000000" w:sz="4" w:space="0"/>
              <w:left w:val="single" w:color="000000" w:sz="4" w:space="0"/>
              <w:bottom w:val="single" w:color="000000" w:sz="4" w:space="0"/>
              <w:right w:val="single" w:color="000000" w:sz="4" w:space="0"/>
            </w:tcBorders>
            <w:vAlign w:val="center"/>
          </w:tcPr>
          <w:p w14:paraId="52A935F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木工锤</w:t>
            </w:r>
          </w:p>
        </w:tc>
        <w:tc>
          <w:tcPr>
            <w:tcW w:w="1180" w:type="dxa"/>
            <w:tcBorders>
              <w:top w:val="single" w:color="000000" w:sz="4" w:space="0"/>
              <w:left w:val="single" w:color="000000" w:sz="4" w:space="0"/>
              <w:bottom w:val="single" w:color="000000" w:sz="4" w:space="0"/>
              <w:right w:val="single" w:color="000000" w:sz="4" w:space="0"/>
            </w:tcBorders>
            <w:vAlign w:val="center"/>
          </w:tcPr>
          <w:p w14:paraId="4215995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A7B8B7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CBE3DD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6CE280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3AA285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FFA32A5">
            <w:pPr>
              <w:jc w:val="center"/>
              <w:textAlignment w:val="center"/>
              <w:rPr>
                <w:rFonts w:ascii="仿宋" w:hAnsi="仿宋" w:eastAsia="仿宋" w:cs="仿宋"/>
                <w:color w:val="auto"/>
                <w:highlight w:val="none"/>
              </w:rPr>
            </w:pPr>
          </w:p>
        </w:tc>
      </w:tr>
      <w:tr w14:paraId="43D2838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92E8A4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275</w:t>
            </w:r>
          </w:p>
        </w:tc>
        <w:tc>
          <w:tcPr>
            <w:tcW w:w="1843" w:type="dxa"/>
            <w:tcBorders>
              <w:top w:val="single" w:color="000000" w:sz="4" w:space="0"/>
              <w:left w:val="single" w:color="000000" w:sz="4" w:space="0"/>
              <w:bottom w:val="single" w:color="000000" w:sz="4" w:space="0"/>
              <w:right w:val="single" w:color="000000" w:sz="4" w:space="0"/>
            </w:tcBorders>
            <w:vAlign w:val="center"/>
          </w:tcPr>
          <w:p w14:paraId="3D6F61F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铯</w:t>
            </w:r>
          </w:p>
        </w:tc>
        <w:tc>
          <w:tcPr>
            <w:tcW w:w="1180" w:type="dxa"/>
            <w:tcBorders>
              <w:top w:val="single" w:color="000000" w:sz="4" w:space="0"/>
              <w:left w:val="single" w:color="000000" w:sz="4" w:space="0"/>
              <w:bottom w:val="single" w:color="000000" w:sz="4" w:space="0"/>
              <w:right w:val="single" w:color="000000" w:sz="4" w:space="0"/>
            </w:tcBorders>
            <w:vAlign w:val="center"/>
          </w:tcPr>
          <w:p w14:paraId="01ADBEC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2D8E40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CA5F03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FCAF40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B14EDB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7C4440B">
            <w:pPr>
              <w:jc w:val="center"/>
              <w:textAlignment w:val="center"/>
              <w:rPr>
                <w:rFonts w:ascii="仿宋" w:hAnsi="仿宋" w:eastAsia="仿宋" w:cs="仿宋"/>
                <w:color w:val="auto"/>
                <w:highlight w:val="none"/>
              </w:rPr>
            </w:pPr>
          </w:p>
        </w:tc>
      </w:tr>
      <w:tr w14:paraId="674A9F8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936704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276</w:t>
            </w:r>
          </w:p>
        </w:tc>
        <w:tc>
          <w:tcPr>
            <w:tcW w:w="1843" w:type="dxa"/>
            <w:tcBorders>
              <w:top w:val="single" w:color="000000" w:sz="4" w:space="0"/>
              <w:left w:val="single" w:color="000000" w:sz="4" w:space="0"/>
              <w:bottom w:val="single" w:color="000000" w:sz="4" w:space="0"/>
              <w:right w:val="single" w:color="000000" w:sz="4" w:space="0"/>
            </w:tcBorders>
            <w:vAlign w:val="center"/>
          </w:tcPr>
          <w:p w14:paraId="768B417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斧</w:t>
            </w:r>
          </w:p>
        </w:tc>
        <w:tc>
          <w:tcPr>
            <w:tcW w:w="1180" w:type="dxa"/>
            <w:tcBorders>
              <w:top w:val="single" w:color="000000" w:sz="4" w:space="0"/>
              <w:left w:val="single" w:color="000000" w:sz="4" w:space="0"/>
              <w:bottom w:val="single" w:color="000000" w:sz="4" w:space="0"/>
              <w:right w:val="single" w:color="000000" w:sz="4" w:space="0"/>
            </w:tcBorders>
            <w:vAlign w:val="center"/>
          </w:tcPr>
          <w:p w14:paraId="3BF952E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5CA326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6C5BDC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5238C3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6E6D18F">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0A8935E">
            <w:pPr>
              <w:jc w:val="center"/>
              <w:textAlignment w:val="center"/>
              <w:rPr>
                <w:rFonts w:ascii="仿宋" w:hAnsi="仿宋" w:eastAsia="仿宋" w:cs="仿宋"/>
                <w:color w:val="auto"/>
                <w:highlight w:val="none"/>
              </w:rPr>
            </w:pPr>
          </w:p>
        </w:tc>
      </w:tr>
      <w:tr w14:paraId="0A2F190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5F6D55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277</w:t>
            </w:r>
          </w:p>
        </w:tc>
        <w:tc>
          <w:tcPr>
            <w:tcW w:w="1843" w:type="dxa"/>
            <w:tcBorders>
              <w:top w:val="single" w:color="000000" w:sz="4" w:space="0"/>
              <w:left w:val="single" w:color="000000" w:sz="4" w:space="0"/>
              <w:bottom w:val="single" w:color="000000" w:sz="4" w:space="0"/>
              <w:right w:val="single" w:color="000000" w:sz="4" w:space="0"/>
            </w:tcBorders>
            <w:vAlign w:val="center"/>
          </w:tcPr>
          <w:p w14:paraId="3785F9A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钢手锯</w:t>
            </w:r>
          </w:p>
        </w:tc>
        <w:tc>
          <w:tcPr>
            <w:tcW w:w="1180" w:type="dxa"/>
            <w:tcBorders>
              <w:top w:val="single" w:color="000000" w:sz="4" w:space="0"/>
              <w:left w:val="single" w:color="000000" w:sz="4" w:space="0"/>
              <w:bottom w:val="single" w:color="000000" w:sz="4" w:space="0"/>
              <w:right w:val="single" w:color="000000" w:sz="4" w:space="0"/>
            </w:tcBorders>
            <w:vAlign w:val="center"/>
          </w:tcPr>
          <w:p w14:paraId="26B017A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F51D8D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565604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14A102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DC999F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C81E274">
            <w:pPr>
              <w:jc w:val="center"/>
              <w:textAlignment w:val="center"/>
              <w:rPr>
                <w:rFonts w:ascii="仿宋" w:hAnsi="仿宋" w:eastAsia="仿宋" w:cs="仿宋"/>
                <w:color w:val="auto"/>
                <w:highlight w:val="none"/>
              </w:rPr>
            </w:pPr>
          </w:p>
        </w:tc>
      </w:tr>
      <w:tr w14:paraId="01D9B263">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66CBD2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278</w:t>
            </w:r>
          </w:p>
        </w:tc>
        <w:tc>
          <w:tcPr>
            <w:tcW w:w="1843" w:type="dxa"/>
            <w:tcBorders>
              <w:top w:val="single" w:color="000000" w:sz="4" w:space="0"/>
              <w:left w:val="single" w:color="000000" w:sz="4" w:space="0"/>
              <w:bottom w:val="single" w:color="000000" w:sz="4" w:space="0"/>
              <w:right w:val="single" w:color="000000" w:sz="4" w:space="0"/>
            </w:tcBorders>
            <w:vAlign w:val="center"/>
          </w:tcPr>
          <w:p w14:paraId="2EF1518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剥线钳</w:t>
            </w:r>
          </w:p>
        </w:tc>
        <w:tc>
          <w:tcPr>
            <w:tcW w:w="1180" w:type="dxa"/>
            <w:tcBorders>
              <w:top w:val="single" w:color="000000" w:sz="4" w:space="0"/>
              <w:left w:val="single" w:color="000000" w:sz="4" w:space="0"/>
              <w:bottom w:val="single" w:color="000000" w:sz="4" w:space="0"/>
              <w:right w:val="single" w:color="000000" w:sz="4" w:space="0"/>
            </w:tcBorders>
            <w:vAlign w:val="center"/>
          </w:tcPr>
          <w:p w14:paraId="1F4161E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8BC89C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5E270F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1BFBAF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F992F3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D8E2D7A">
            <w:pPr>
              <w:jc w:val="center"/>
              <w:textAlignment w:val="center"/>
              <w:rPr>
                <w:rFonts w:ascii="仿宋" w:hAnsi="仿宋" w:eastAsia="仿宋" w:cs="仿宋"/>
                <w:color w:val="auto"/>
                <w:highlight w:val="none"/>
              </w:rPr>
            </w:pPr>
          </w:p>
        </w:tc>
      </w:tr>
      <w:tr w14:paraId="52727E0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22B231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279</w:t>
            </w:r>
          </w:p>
        </w:tc>
        <w:tc>
          <w:tcPr>
            <w:tcW w:w="1843" w:type="dxa"/>
            <w:tcBorders>
              <w:top w:val="single" w:color="000000" w:sz="4" w:space="0"/>
              <w:left w:val="single" w:color="000000" w:sz="4" w:space="0"/>
              <w:bottom w:val="single" w:color="000000" w:sz="4" w:space="0"/>
              <w:right w:val="single" w:color="000000" w:sz="4" w:space="0"/>
            </w:tcBorders>
            <w:vAlign w:val="center"/>
          </w:tcPr>
          <w:p w14:paraId="0640280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钢丝钳</w:t>
            </w:r>
          </w:p>
        </w:tc>
        <w:tc>
          <w:tcPr>
            <w:tcW w:w="1180" w:type="dxa"/>
            <w:tcBorders>
              <w:top w:val="single" w:color="000000" w:sz="4" w:space="0"/>
              <w:left w:val="single" w:color="000000" w:sz="4" w:space="0"/>
              <w:bottom w:val="single" w:color="000000" w:sz="4" w:space="0"/>
              <w:right w:val="single" w:color="000000" w:sz="4" w:space="0"/>
            </w:tcBorders>
            <w:vAlign w:val="center"/>
          </w:tcPr>
          <w:p w14:paraId="575CC25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DD349E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4E7808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715CC3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9E5C4D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AB72F87">
            <w:pPr>
              <w:jc w:val="center"/>
              <w:textAlignment w:val="center"/>
              <w:rPr>
                <w:rFonts w:ascii="仿宋" w:hAnsi="仿宋" w:eastAsia="仿宋" w:cs="仿宋"/>
                <w:color w:val="auto"/>
                <w:highlight w:val="none"/>
              </w:rPr>
            </w:pPr>
          </w:p>
        </w:tc>
      </w:tr>
      <w:tr w14:paraId="5320524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1B43C5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280</w:t>
            </w:r>
          </w:p>
        </w:tc>
        <w:tc>
          <w:tcPr>
            <w:tcW w:w="1843" w:type="dxa"/>
            <w:tcBorders>
              <w:top w:val="single" w:color="000000" w:sz="4" w:space="0"/>
              <w:left w:val="single" w:color="000000" w:sz="4" w:space="0"/>
              <w:bottom w:val="single" w:color="000000" w:sz="4" w:space="0"/>
              <w:right w:val="single" w:color="000000" w:sz="4" w:space="0"/>
            </w:tcBorders>
            <w:vAlign w:val="center"/>
          </w:tcPr>
          <w:p w14:paraId="0A6E396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手锤</w:t>
            </w:r>
          </w:p>
        </w:tc>
        <w:tc>
          <w:tcPr>
            <w:tcW w:w="1180" w:type="dxa"/>
            <w:tcBorders>
              <w:top w:val="single" w:color="000000" w:sz="4" w:space="0"/>
              <w:left w:val="single" w:color="000000" w:sz="4" w:space="0"/>
              <w:bottom w:val="single" w:color="000000" w:sz="4" w:space="0"/>
              <w:right w:val="single" w:color="000000" w:sz="4" w:space="0"/>
            </w:tcBorders>
            <w:vAlign w:val="center"/>
          </w:tcPr>
          <w:p w14:paraId="1A21D85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383CC6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96E063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12F970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B02AEE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63ABEF5">
            <w:pPr>
              <w:jc w:val="center"/>
              <w:textAlignment w:val="center"/>
              <w:rPr>
                <w:rFonts w:ascii="仿宋" w:hAnsi="仿宋" w:eastAsia="仿宋" w:cs="仿宋"/>
                <w:color w:val="auto"/>
                <w:highlight w:val="none"/>
              </w:rPr>
            </w:pPr>
          </w:p>
        </w:tc>
      </w:tr>
      <w:tr w14:paraId="40BE4B1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58E1B84">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281</w:t>
            </w:r>
          </w:p>
        </w:tc>
        <w:tc>
          <w:tcPr>
            <w:tcW w:w="1843" w:type="dxa"/>
            <w:tcBorders>
              <w:top w:val="single" w:color="000000" w:sz="4" w:space="0"/>
              <w:left w:val="single" w:color="000000" w:sz="4" w:space="0"/>
              <w:bottom w:val="single" w:color="000000" w:sz="4" w:space="0"/>
              <w:right w:val="single" w:color="000000" w:sz="4" w:space="0"/>
            </w:tcBorders>
            <w:vAlign w:val="center"/>
          </w:tcPr>
          <w:p w14:paraId="4669CFB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錾子</w:t>
            </w:r>
          </w:p>
        </w:tc>
        <w:tc>
          <w:tcPr>
            <w:tcW w:w="1180" w:type="dxa"/>
            <w:tcBorders>
              <w:top w:val="single" w:color="000000" w:sz="4" w:space="0"/>
              <w:left w:val="single" w:color="000000" w:sz="4" w:space="0"/>
              <w:bottom w:val="single" w:color="000000" w:sz="4" w:space="0"/>
              <w:right w:val="single" w:color="000000" w:sz="4" w:space="0"/>
            </w:tcBorders>
            <w:vAlign w:val="center"/>
          </w:tcPr>
          <w:p w14:paraId="03508D7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E95A93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6CF0D4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2A5B05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9C6E0E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0ABFCB6">
            <w:pPr>
              <w:jc w:val="center"/>
              <w:textAlignment w:val="center"/>
              <w:rPr>
                <w:rFonts w:ascii="仿宋" w:hAnsi="仿宋" w:eastAsia="仿宋" w:cs="仿宋"/>
                <w:color w:val="auto"/>
                <w:highlight w:val="none"/>
              </w:rPr>
            </w:pPr>
          </w:p>
        </w:tc>
      </w:tr>
      <w:tr w14:paraId="522E2CF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0D760A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282</w:t>
            </w:r>
          </w:p>
        </w:tc>
        <w:tc>
          <w:tcPr>
            <w:tcW w:w="1843" w:type="dxa"/>
            <w:tcBorders>
              <w:top w:val="single" w:color="000000" w:sz="4" w:space="0"/>
              <w:left w:val="single" w:color="000000" w:sz="4" w:space="0"/>
              <w:bottom w:val="single" w:color="000000" w:sz="4" w:space="0"/>
              <w:right w:val="single" w:color="000000" w:sz="4" w:space="0"/>
            </w:tcBorders>
            <w:vAlign w:val="center"/>
          </w:tcPr>
          <w:p w14:paraId="2BCB4D2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锉刀(平板)</w:t>
            </w:r>
          </w:p>
        </w:tc>
        <w:tc>
          <w:tcPr>
            <w:tcW w:w="1180" w:type="dxa"/>
            <w:tcBorders>
              <w:top w:val="single" w:color="000000" w:sz="4" w:space="0"/>
              <w:left w:val="single" w:color="000000" w:sz="4" w:space="0"/>
              <w:bottom w:val="single" w:color="000000" w:sz="4" w:space="0"/>
              <w:right w:val="single" w:color="000000" w:sz="4" w:space="0"/>
            </w:tcBorders>
            <w:vAlign w:val="center"/>
          </w:tcPr>
          <w:p w14:paraId="490B746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B08AA8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432350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8516B4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9767A8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A85EDB5">
            <w:pPr>
              <w:jc w:val="center"/>
              <w:textAlignment w:val="center"/>
              <w:rPr>
                <w:rFonts w:ascii="仿宋" w:hAnsi="仿宋" w:eastAsia="仿宋" w:cs="仿宋"/>
                <w:color w:val="auto"/>
                <w:highlight w:val="none"/>
              </w:rPr>
            </w:pPr>
          </w:p>
        </w:tc>
      </w:tr>
      <w:tr w14:paraId="1876C54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C7957B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283</w:t>
            </w:r>
          </w:p>
        </w:tc>
        <w:tc>
          <w:tcPr>
            <w:tcW w:w="1843" w:type="dxa"/>
            <w:tcBorders>
              <w:top w:val="single" w:color="000000" w:sz="4" w:space="0"/>
              <w:left w:val="single" w:color="000000" w:sz="4" w:space="0"/>
              <w:bottom w:val="single" w:color="000000" w:sz="4" w:space="0"/>
              <w:right w:val="single" w:color="000000" w:sz="4" w:space="0"/>
            </w:tcBorders>
            <w:vAlign w:val="center"/>
          </w:tcPr>
          <w:p w14:paraId="5735249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三角锉刀</w:t>
            </w:r>
          </w:p>
        </w:tc>
        <w:tc>
          <w:tcPr>
            <w:tcW w:w="1180" w:type="dxa"/>
            <w:tcBorders>
              <w:top w:val="single" w:color="000000" w:sz="4" w:space="0"/>
              <w:left w:val="single" w:color="000000" w:sz="4" w:space="0"/>
              <w:bottom w:val="single" w:color="000000" w:sz="4" w:space="0"/>
              <w:right w:val="single" w:color="000000" w:sz="4" w:space="0"/>
            </w:tcBorders>
            <w:vAlign w:val="center"/>
          </w:tcPr>
          <w:p w14:paraId="1163270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291BA0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5DD848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7E5587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E95753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320BD8E">
            <w:pPr>
              <w:jc w:val="center"/>
              <w:textAlignment w:val="center"/>
              <w:rPr>
                <w:rFonts w:ascii="仿宋" w:hAnsi="仿宋" w:eastAsia="仿宋" w:cs="仿宋"/>
                <w:color w:val="auto"/>
                <w:highlight w:val="none"/>
              </w:rPr>
            </w:pPr>
          </w:p>
        </w:tc>
      </w:tr>
      <w:tr w14:paraId="00B7497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BA3710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284</w:t>
            </w:r>
          </w:p>
        </w:tc>
        <w:tc>
          <w:tcPr>
            <w:tcW w:w="1843" w:type="dxa"/>
            <w:tcBorders>
              <w:top w:val="single" w:color="000000" w:sz="4" w:space="0"/>
              <w:left w:val="single" w:color="000000" w:sz="4" w:space="0"/>
              <w:bottom w:val="single" w:color="000000" w:sz="4" w:space="0"/>
              <w:right w:val="single" w:color="000000" w:sz="4" w:space="0"/>
            </w:tcBorders>
            <w:vAlign w:val="center"/>
          </w:tcPr>
          <w:p w14:paraId="4BB934B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什锦锉</w:t>
            </w:r>
          </w:p>
        </w:tc>
        <w:tc>
          <w:tcPr>
            <w:tcW w:w="1180" w:type="dxa"/>
            <w:tcBorders>
              <w:top w:val="single" w:color="000000" w:sz="4" w:space="0"/>
              <w:left w:val="single" w:color="000000" w:sz="4" w:space="0"/>
              <w:bottom w:val="single" w:color="000000" w:sz="4" w:space="0"/>
              <w:right w:val="single" w:color="000000" w:sz="4" w:space="0"/>
            </w:tcBorders>
            <w:vAlign w:val="center"/>
          </w:tcPr>
          <w:p w14:paraId="712E227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2F9726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2779F4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C82113E">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90070C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9C74412">
            <w:pPr>
              <w:jc w:val="center"/>
              <w:textAlignment w:val="center"/>
              <w:rPr>
                <w:rFonts w:ascii="仿宋" w:hAnsi="仿宋" w:eastAsia="仿宋" w:cs="仿宋"/>
                <w:color w:val="auto"/>
                <w:highlight w:val="none"/>
              </w:rPr>
            </w:pPr>
          </w:p>
        </w:tc>
      </w:tr>
      <w:tr w14:paraId="69784EC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0DBDAE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285</w:t>
            </w:r>
          </w:p>
        </w:tc>
        <w:tc>
          <w:tcPr>
            <w:tcW w:w="1843" w:type="dxa"/>
            <w:tcBorders>
              <w:top w:val="single" w:color="000000" w:sz="4" w:space="0"/>
              <w:left w:val="single" w:color="000000" w:sz="4" w:space="0"/>
              <w:bottom w:val="single" w:color="000000" w:sz="4" w:space="0"/>
              <w:right w:val="single" w:color="000000" w:sz="4" w:space="0"/>
            </w:tcBorders>
            <w:vAlign w:val="center"/>
          </w:tcPr>
          <w:p w14:paraId="26F50F4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活扳手</w:t>
            </w:r>
          </w:p>
        </w:tc>
        <w:tc>
          <w:tcPr>
            <w:tcW w:w="1180" w:type="dxa"/>
            <w:tcBorders>
              <w:top w:val="single" w:color="000000" w:sz="4" w:space="0"/>
              <w:left w:val="single" w:color="000000" w:sz="4" w:space="0"/>
              <w:bottom w:val="single" w:color="000000" w:sz="4" w:space="0"/>
              <w:right w:val="single" w:color="000000" w:sz="4" w:space="0"/>
            </w:tcBorders>
            <w:vAlign w:val="center"/>
          </w:tcPr>
          <w:p w14:paraId="0C581B6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A5D058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F958A4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B5318F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01C1F2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8B75B4F">
            <w:pPr>
              <w:jc w:val="center"/>
              <w:textAlignment w:val="center"/>
              <w:rPr>
                <w:rFonts w:ascii="仿宋" w:hAnsi="仿宋" w:eastAsia="仿宋" w:cs="仿宋"/>
                <w:color w:val="auto"/>
                <w:highlight w:val="none"/>
              </w:rPr>
            </w:pPr>
          </w:p>
        </w:tc>
      </w:tr>
      <w:tr w14:paraId="7A0A660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68FD61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286</w:t>
            </w:r>
          </w:p>
        </w:tc>
        <w:tc>
          <w:tcPr>
            <w:tcW w:w="1843" w:type="dxa"/>
            <w:tcBorders>
              <w:top w:val="single" w:color="000000" w:sz="4" w:space="0"/>
              <w:left w:val="single" w:color="000000" w:sz="4" w:space="0"/>
              <w:bottom w:val="single" w:color="000000" w:sz="4" w:space="0"/>
              <w:right w:val="single" w:color="000000" w:sz="4" w:space="0"/>
            </w:tcBorders>
            <w:vAlign w:val="center"/>
          </w:tcPr>
          <w:p w14:paraId="0C20FFC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手剪</w:t>
            </w:r>
          </w:p>
        </w:tc>
        <w:tc>
          <w:tcPr>
            <w:tcW w:w="1180" w:type="dxa"/>
            <w:tcBorders>
              <w:top w:val="single" w:color="000000" w:sz="4" w:space="0"/>
              <w:left w:val="single" w:color="000000" w:sz="4" w:space="0"/>
              <w:bottom w:val="single" w:color="000000" w:sz="4" w:space="0"/>
              <w:right w:val="single" w:color="000000" w:sz="4" w:space="0"/>
            </w:tcBorders>
            <w:vAlign w:val="center"/>
          </w:tcPr>
          <w:p w14:paraId="7FFDE86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9E14B8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56960D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F6B10B3">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7A640F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F034023">
            <w:pPr>
              <w:jc w:val="center"/>
              <w:textAlignment w:val="center"/>
              <w:rPr>
                <w:rFonts w:ascii="仿宋" w:hAnsi="仿宋" w:eastAsia="仿宋" w:cs="仿宋"/>
                <w:color w:val="auto"/>
                <w:highlight w:val="none"/>
              </w:rPr>
            </w:pPr>
          </w:p>
        </w:tc>
      </w:tr>
      <w:tr w14:paraId="5E7531D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2D818F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287</w:t>
            </w:r>
          </w:p>
        </w:tc>
        <w:tc>
          <w:tcPr>
            <w:tcW w:w="1843" w:type="dxa"/>
            <w:tcBorders>
              <w:top w:val="single" w:color="000000" w:sz="4" w:space="0"/>
              <w:left w:val="single" w:color="000000" w:sz="4" w:space="0"/>
              <w:bottom w:val="single" w:color="000000" w:sz="4" w:space="0"/>
              <w:right w:val="single" w:color="000000" w:sz="4" w:space="0"/>
            </w:tcBorders>
            <w:vAlign w:val="center"/>
          </w:tcPr>
          <w:p w14:paraId="34DBD3B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直角尺</w:t>
            </w:r>
          </w:p>
        </w:tc>
        <w:tc>
          <w:tcPr>
            <w:tcW w:w="1180" w:type="dxa"/>
            <w:tcBorders>
              <w:top w:val="single" w:color="000000" w:sz="4" w:space="0"/>
              <w:left w:val="single" w:color="000000" w:sz="4" w:space="0"/>
              <w:bottom w:val="single" w:color="000000" w:sz="4" w:space="0"/>
              <w:right w:val="single" w:color="000000" w:sz="4" w:space="0"/>
            </w:tcBorders>
            <w:vAlign w:val="center"/>
          </w:tcPr>
          <w:p w14:paraId="669E830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2C7A51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6D674B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B40A0B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ECC90A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E3E1ADC">
            <w:pPr>
              <w:jc w:val="center"/>
              <w:textAlignment w:val="center"/>
              <w:rPr>
                <w:rFonts w:ascii="仿宋" w:hAnsi="仿宋" w:eastAsia="仿宋" w:cs="仿宋"/>
                <w:color w:val="auto"/>
                <w:highlight w:val="none"/>
              </w:rPr>
            </w:pPr>
          </w:p>
        </w:tc>
      </w:tr>
      <w:tr w14:paraId="2554E50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3E1EF2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288</w:t>
            </w:r>
          </w:p>
        </w:tc>
        <w:tc>
          <w:tcPr>
            <w:tcW w:w="1843" w:type="dxa"/>
            <w:tcBorders>
              <w:top w:val="single" w:color="000000" w:sz="4" w:space="0"/>
              <w:left w:val="single" w:color="000000" w:sz="4" w:space="0"/>
              <w:bottom w:val="single" w:color="000000" w:sz="4" w:space="0"/>
              <w:right w:val="single" w:color="000000" w:sz="4" w:space="0"/>
            </w:tcBorders>
            <w:vAlign w:val="center"/>
          </w:tcPr>
          <w:p w14:paraId="19BFC8B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电烙铁</w:t>
            </w:r>
          </w:p>
        </w:tc>
        <w:tc>
          <w:tcPr>
            <w:tcW w:w="1180" w:type="dxa"/>
            <w:tcBorders>
              <w:top w:val="single" w:color="000000" w:sz="4" w:space="0"/>
              <w:left w:val="single" w:color="000000" w:sz="4" w:space="0"/>
              <w:bottom w:val="single" w:color="000000" w:sz="4" w:space="0"/>
              <w:right w:val="single" w:color="000000" w:sz="4" w:space="0"/>
            </w:tcBorders>
            <w:vAlign w:val="center"/>
          </w:tcPr>
          <w:p w14:paraId="4861E67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683D51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A5F92A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EE1CF36">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03FF88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2E1862E">
            <w:pPr>
              <w:jc w:val="center"/>
              <w:textAlignment w:val="center"/>
              <w:rPr>
                <w:rFonts w:ascii="仿宋" w:hAnsi="仿宋" w:eastAsia="仿宋" w:cs="仿宋"/>
                <w:color w:val="auto"/>
                <w:highlight w:val="none"/>
              </w:rPr>
            </w:pPr>
          </w:p>
        </w:tc>
      </w:tr>
      <w:tr w14:paraId="171A33B7">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780C9A8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289</w:t>
            </w:r>
          </w:p>
        </w:tc>
        <w:tc>
          <w:tcPr>
            <w:tcW w:w="1843" w:type="dxa"/>
            <w:tcBorders>
              <w:top w:val="single" w:color="000000" w:sz="4" w:space="0"/>
              <w:left w:val="single" w:color="000000" w:sz="4" w:space="0"/>
              <w:bottom w:val="single" w:color="000000" w:sz="4" w:space="0"/>
              <w:right w:val="single" w:color="000000" w:sz="4" w:space="0"/>
            </w:tcBorders>
            <w:vAlign w:val="center"/>
          </w:tcPr>
          <w:p w14:paraId="1CC1570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平口钳</w:t>
            </w:r>
          </w:p>
        </w:tc>
        <w:tc>
          <w:tcPr>
            <w:tcW w:w="1180" w:type="dxa"/>
            <w:tcBorders>
              <w:top w:val="single" w:color="000000" w:sz="4" w:space="0"/>
              <w:left w:val="single" w:color="000000" w:sz="4" w:space="0"/>
              <w:bottom w:val="single" w:color="000000" w:sz="4" w:space="0"/>
              <w:right w:val="single" w:color="000000" w:sz="4" w:space="0"/>
            </w:tcBorders>
            <w:vAlign w:val="center"/>
          </w:tcPr>
          <w:p w14:paraId="706A290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269320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855B65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8AEB27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A4F699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17CE6E3">
            <w:pPr>
              <w:jc w:val="center"/>
              <w:textAlignment w:val="center"/>
              <w:rPr>
                <w:rFonts w:ascii="仿宋" w:hAnsi="仿宋" w:eastAsia="仿宋" w:cs="仿宋"/>
                <w:color w:val="auto"/>
                <w:highlight w:val="none"/>
              </w:rPr>
            </w:pPr>
          </w:p>
        </w:tc>
      </w:tr>
      <w:tr w14:paraId="059D08C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BA152A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290</w:t>
            </w:r>
          </w:p>
        </w:tc>
        <w:tc>
          <w:tcPr>
            <w:tcW w:w="1843" w:type="dxa"/>
            <w:tcBorders>
              <w:top w:val="single" w:color="000000" w:sz="4" w:space="0"/>
              <w:left w:val="single" w:color="000000" w:sz="4" w:space="0"/>
              <w:bottom w:val="single" w:color="000000" w:sz="4" w:space="0"/>
              <w:right w:val="single" w:color="000000" w:sz="4" w:space="0"/>
            </w:tcBorders>
            <w:vAlign w:val="center"/>
          </w:tcPr>
          <w:p w14:paraId="4D9977C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台钻</w:t>
            </w:r>
          </w:p>
        </w:tc>
        <w:tc>
          <w:tcPr>
            <w:tcW w:w="1180" w:type="dxa"/>
            <w:tcBorders>
              <w:top w:val="single" w:color="000000" w:sz="4" w:space="0"/>
              <w:left w:val="single" w:color="000000" w:sz="4" w:space="0"/>
              <w:bottom w:val="single" w:color="000000" w:sz="4" w:space="0"/>
              <w:right w:val="single" w:color="000000" w:sz="4" w:space="0"/>
            </w:tcBorders>
            <w:vAlign w:val="center"/>
          </w:tcPr>
          <w:p w14:paraId="1E3C8A1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26CE22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C2D845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BD2368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2FFFD2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4057ACC">
            <w:pPr>
              <w:jc w:val="center"/>
              <w:textAlignment w:val="center"/>
              <w:rPr>
                <w:rFonts w:ascii="仿宋" w:hAnsi="仿宋" w:eastAsia="仿宋" w:cs="仿宋"/>
                <w:color w:val="auto"/>
                <w:highlight w:val="none"/>
              </w:rPr>
            </w:pPr>
          </w:p>
        </w:tc>
      </w:tr>
      <w:tr w14:paraId="1C1331F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1BCBE7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291</w:t>
            </w:r>
          </w:p>
        </w:tc>
        <w:tc>
          <w:tcPr>
            <w:tcW w:w="1843" w:type="dxa"/>
            <w:tcBorders>
              <w:top w:val="single" w:color="000000" w:sz="4" w:space="0"/>
              <w:left w:val="single" w:color="000000" w:sz="4" w:space="0"/>
              <w:bottom w:val="single" w:color="000000" w:sz="4" w:space="0"/>
              <w:right w:val="single" w:color="000000" w:sz="4" w:space="0"/>
            </w:tcBorders>
            <w:vAlign w:val="center"/>
          </w:tcPr>
          <w:p w14:paraId="303D8CB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手电钻</w:t>
            </w:r>
          </w:p>
        </w:tc>
        <w:tc>
          <w:tcPr>
            <w:tcW w:w="1180" w:type="dxa"/>
            <w:tcBorders>
              <w:top w:val="single" w:color="000000" w:sz="4" w:space="0"/>
              <w:left w:val="single" w:color="000000" w:sz="4" w:space="0"/>
              <w:bottom w:val="single" w:color="000000" w:sz="4" w:space="0"/>
              <w:right w:val="single" w:color="000000" w:sz="4" w:space="0"/>
            </w:tcBorders>
            <w:vAlign w:val="center"/>
          </w:tcPr>
          <w:p w14:paraId="26FEBF7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BAA67A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5B5926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106719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10B09DF">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6C0570B">
            <w:pPr>
              <w:jc w:val="center"/>
              <w:textAlignment w:val="center"/>
              <w:rPr>
                <w:rFonts w:ascii="仿宋" w:hAnsi="仿宋" w:eastAsia="仿宋" w:cs="仿宋"/>
                <w:color w:val="auto"/>
                <w:highlight w:val="none"/>
              </w:rPr>
            </w:pPr>
          </w:p>
        </w:tc>
      </w:tr>
      <w:tr w14:paraId="6709CC6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6977D3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292</w:t>
            </w:r>
          </w:p>
        </w:tc>
        <w:tc>
          <w:tcPr>
            <w:tcW w:w="1843" w:type="dxa"/>
            <w:tcBorders>
              <w:top w:val="single" w:color="000000" w:sz="4" w:space="0"/>
              <w:left w:val="single" w:color="000000" w:sz="4" w:space="0"/>
              <w:bottom w:val="single" w:color="000000" w:sz="4" w:space="0"/>
              <w:right w:val="single" w:color="000000" w:sz="4" w:space="0"/>
            </w:tcBorders>
            <w:vAlign w:val="center"/>
          </w:tcPr>
          <w:p w14:paraId="1C60E41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钻头</w:t>
            </w:r>
          </w:p>
        </w:tc>
        <w:tc>
          <w:tcPr>
            <w:tcW w:w="1180" w:type="dxa"/>
            <w:tcBorders>
              <w:top w:val="single" w:color="000000" w:sz="4" w:space="0"/>
              <w:left w:val="single" w:color="000000" w:sz="4" w:space="0"/>
              <w:bottom w:val="single" w:color="000000" w:sz="4" w:space="0"/>
              <w:right w:val="single" w:color="000000" w:sz="4" w:space="0"/>
            </w:tcBorders>
            <w:vAlign w:val="center"/>
          </w:tcPr>
          <w:p w14:paraId="5526D5B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BD4513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2CF016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2A9EF0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D8CD5F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46CE7B4">
            <w:pPr>
              <w:jc w:val="center"/>
              <w:textAlignment w:val="center"/>
              <w:rPr>
                <w:rFonts w:ascii="仿宋" w:hAnsi="仿宋" w:eastAsia="仿宋" w:cs="仿宋"/>
                <w:color w:val="auto"/>
                <w:highlight w:val="none"/>
              </w:rPr>
            </w:pPr>
          </w:p>
        </w:tc>
      </w:tr>
      <w:tr w14:paraId="0445F3C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BF97C1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293</w:t>
            </w:r>
          </w:p>
        </w:tc>
        <w:tc>
          <w:tcPr>
            <w:tcW w:w="1843" w:type="dxa"/>
            <w:tcBorders>
              <w:top w:val="single" w:color="000000" w:sz="4" w:space="0"/>
              <w:left w:val="single" w:color="000000" w:sz="4" w:space="0"/>
              <w:bottom w:val="single" w:color="000000" w:sz="4" w:space="0"/>
              <w:right w:val="single" w:color="000000" w:sz="4" w:space="0"/>
            </w:tcBorders>
            <w:vAlign w:val="center"/>
          </w:tcPr>
          <w:p w14:paraId="0CC1B3C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砂轮机</w:t>
            </w:r>
          </w:p>
        </w:tc>
        <w:tc>
          <w:tcPr>
            <w:tcW w:w="1180" w:type="dxa"/>
            <w:tcBorders>
              <w:top w:val="single" w:color="000000" w:sz="4" w:space="0"/>
              <w:left w:val="single" w:color="000000" w:sz="4" w:space="0"/>
              <w:bottom w:val="single" w:color="000000" w:sz="4" w:space="0"/>
              <w:right w:val="single" w:color="000000" w:sz="4" w:space="0"/>
            </w:tcBorders>
            <w:vAlign w:val="center"/>
          </w:tcPr>
          <w:p w14:paraId="3C8F09C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D57DD8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D2C2AD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995A33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FB9129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94095B2">
            <w:pPr>
              <w:jc w:val="center"/>
              <w:textAlignment w:val="center"/>
              <w:rPr>
                <w:rFonts w:ascii="仿宋" w:hAnsi="仿宋" w:eastAsia="仿宋" w:cs="仿宋"/>
                <w:color w:val="auto"/>
                <w:highlight w:val="none"/>
              </w:rPr>
            </w:pPr>
          </w:p>
        </w:tc>
      </w:tr>
      <w:tr w14:paraId="2DFEB7D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1D8A77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294</w:t>
            </w:r>
          </w:p>
        </w:tc>
        <w:tc>
          <w:tcPr>
            <w:tcW w:w="1843" w:type="dxa"/>
            <w:tcBorders>
              <w:top w:val="single" w:color="000000" w:sz="4" w:space="0"/>
              <w:left w:val="single" w:color="000000" w:sz="4" w:space="0"/>
              <w:bottom w:val="single" w:color="000000" w:sz="4" w:space="0"/>
              <w:right w:val="single" w:color="000000" w:sz="4" w:space="0"/>
            </w:tcBorders>
            <w:vAlign w:val="center"/>
          </w:tcPr>
          <w:p w14:paraId="05EDE6F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烙铁架</w:t>
            </w:r>
          </w:p>
        </w:tc>
        <w:tc>
          <w:tcPr>
            <w:tcW w:w="1180" w:type="dxa"/>
            <w:tcBorders>
              <w:top w:val="single" w:color="000000" w:sz="4" w:space="0"/>
              <w:left w:val="single" w:color="000000" w:sz="4" w:space="0"/>
              <w:bottom w:val="single" w:color="000000" w:sz="4" w:space="0"/>
              <w:right w:val="single" w:color="000000" w:sz="4" w:space="0"/>
            </w:tcBorders>
            <w:vAlign w:val="center"/>
          </w:tcPr>
          <w:p w14:paraId="15745D0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68F99F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0813E0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1DBAF8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E05E15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A672A53">
            <w:pPr>
              <w:jc w:val="center"/>
              <w:textAlignment w:val="center"/>
              <w:rPr>
                <w:rFonts w:ascii="仿宋" w:hAnsi="仿宋" w:eastAsia="仿宋" w:cs="仿宋"/>
                <w:color w:val="auto"/>
                <w:highlight w:val="none"/>
              </w:rPr>
            </w:pPr>
          </w:p>
        </w:tc>
      </w:tr>
      <w:tr w14:paraId="3173F34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D488B9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295</w:t>
            </w:r>
          </w:p>
        </w:tc>
        <w:tc>
          <w:tcPr>
            <w:tcW w:w="1843" w:type="dxa"/>
            <w:tcBorders>
              <w:top w:val="single" w:color="000000" w:sz="4" w:space="0"/>
              <w:left w:val="single" w:color="000000" w:sz="4" w:space="0"/>
              <w:bottom w:val="single" w:color="000000" w:sz="4" w:space="0"/>
              <w:right w:val="single" w:color="000000" w:sz="4" w:space="0"/>
            </w:tcBorders>
            <w:vAlign w:val="center"/>
          </w:tcPr>
          <w:p w14:paraId="5E9A363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油石</w:t>
            </w:r>
          </w:p>
        </w:tc>
        <w:tc>
          <w:tcPr>
            <w:tcW w:w="1180" w:type="dxa"/>
            <w:tcBorders>
              <w:top w:val="single" w:color="000000" w:sz="4" w:space="0"/>
              <w:left w:val="single" w:color="000000" w:sz="4" w:space="0"/>
              <w:bottom w:val="single" w:color="000000" w:sz="4" w:space="0"/>
              <w:right w:val="single" w:color="000000" w:sz="4" w:space="0"/>
            </w:tcBorders>
            <w:vAlign w:val="center"/>
          </w:tcPr>
          <w:p w14:paraId="1CA2A3A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6497B3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BAB631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2402BB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0B1459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DEFF3CF">
            <w:pPr>
              <w:jc w:val="center"/>
              <w:textAlignment w:val="center"/>
              <w:rPr>
                <w:rFonts w:ascii="仿宋" w:hAnsi="仿宋" w:eastAsia="仿宋" w:cs="仿宋"/>
                <w:color w:val="auto"/>
                <w:highlight w:val="none"/>
              </w:rPr>
            </w:pPr>
          </w:p>
        </w:tc>
      </w:tr>
      <w:tr w14:paraId="768799D5">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2687A7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296</w:t>
            </w:r>
          </w:p>
        </w:tc>
        <w:tc>
          <w:tcPr>
            <w:tcW w:w="1843" w:type="dxa"/>
            <w:tcBorders>
              <w:top w:val="single" w:color="000000" w:sz="4" w:space="0"/>
              <w:left w:val="single" w:color="000000" w:sz="4" w:space="0"/>
              <w:bottom w:val="single" w:color="000000" w:sz="4" w:space="0"/>
              <w:right w:val="single" w:color="000000" w:sz="4" w:space="0"/>
            </w:tcBorders>
            <w:vAlign w:val="center"/>
          </w:tcPr>
          <w:p w14:paraId="23AEBD7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冲子</w:t>
            </w:r>
          </w:p>
        </w:tc>
        <w:tc>
          <w:tcPr>
            <w:tcW w:w="1180" w:type="dxa"/>
            <w:tcBorders>
              <w:top w:val="single" w:color="000000" w:sz="4" w:space="0"/>
              <w:left w:val="single" w:color="000000" w:sz="4" w:space="0"/>
              <w:bottom w:val="single" w:color="000000" w:sz="4" w:space="0"/>
              <w:right w:val="single" w:color="000000" w:sz="4" w:space="0"/>
            </w:tcBorders>
            <w:vAlign w:val="center"/>
          </w:tcPr>
          <w:p w14:paraId="7BEE08E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95390F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452EA9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1CE15D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630020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FB1A179">
            <w:pPr>
              <w:jc w:val="center"/>
              <w:textAlignment w:val="center"/>
              <w:rPr>
                <w:rFonts w:ascii="仿宋" w:hAnsi="仿宋" w:eastAsia="仿宋" w:cs="仿宋"/>
                <w:color w:val="auto"/>
                <w:highlight w:val="none"/>
              </w:rPr>
            </w:pPr>
          </w:p>
        </w:tc>
      </w:tr>
      <w:tr w14:paraId="0A8C3C8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26357250">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297</w:t>
            </w:r>
          </w:p>
        </w:tc>
        <w:tc>
          <w:tcPr>
            <w:tcW w:w="1843" w:type="dxa"/>
            <w:tcBorders>
              <w:top w:val="single" w:color="000000" w:sz="4" w:space="0"/>
              <w:left w:val="single" w:color="000000" w:sz="4" w:space="0"/>
              <w:bottom w:val="single" w:color="000000" w:sz="4" w:space="0"/>
              <w:right w:val="single" w:color="000000" w:sz="4" w:space="0"/>
            </w:tcBorders>
            <w:vAlign w:val="center"/>
          </w:tcPr>
          <w:p w14:paraId="3FEC61A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水平尺</w:t>
            </w:r>
          </w:p>
        </w:tc>
        <w:tc>
          <w:tcPr>
            <w:tcW w:w="1180" w:type="dxa"/>
            <w:tcBorders>
              <w:top w:val="single" w:color="000000" w:sz="4" w:space="0"/>
              <w:left w:val="single" w:color="000000" w:sz="4" w:space="0"/>
              <w:bottom w:val="single" w:color="000000" w:sz="4" w:space="0"/>
              <w:right w:val="single" w:color="000000" w:sz="4" w:space="0"/>
            </w:tcBorders>
            <w:vAlign w:val="center"/>
          </w:tcPr>
          <w:p w14:paraId="5D806D4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5E5BA2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927F18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D44BD6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CEFBA6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BFD5151">
            <w:pPr>
              <w:jc w:val="center"/>
              <w:textAlignment w:val="center"/>
              <w:rPr>
                <w:rFonts w:ascii="仿宋" w:hAnsi="仿宋" w:eastAsia="仿宋" w:cs="仿宋"/>
                <w:color w:val="auto"/>
                <w:highlight w:val="none"/>
              </w:rPr>
            </w:pPr>
          </w:p>
        </w:tc>
      </w:tr>
      <w:tr w14:paraId="5C75CDB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B5448D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298</w:t>
            </w:r>
          </w:p>
        </w:tc>
        <w:tc>
          <w:tcPr>
            <w:tcW w:w="1843" w:type="dxa"/>
            <w:tcBorders>
              <w:top w:val="single" w:color="000000" w:sz="4" w:space="0"/>
              <w:left w:val="single" w:color="000000" w:sz="4" w:space="0"/>
              <w:bottom w:val="single" w:color="000000" w:sz="4" w:space="0"/>
              <w:right w:val="single" w:color="000000" w:sz="4" w:space="0"/>
            </w:tcBorders>
            <w:vAlign w:val="center"/>
          </w:tcPr>
          <w:p w14:paraId="11C46BD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工作服</w:t>
            </w:r>
          </w:p>
        </w:tc>
        <w:tc>
          <w:tcPr>
            <w:tcW w:w="1180" w:type="dxa"/>
            <w:tcBorders>
              <w:top w:val="single" w:color="000000" w:sz="4" w:space="0"/>
              <w:left w:val="single" w:color="000000" w:sz="4" w:space="0"/>
              <w:bottom w:val="single" w:color="000000" w:sz="4" w:space="0"/>
              <w:right w:val="single" w:color="000000" w:sz="4" w:space="0"/>
            </w:tcBorders>
            <w:vAlign w:val="center"/>
          </w:tcPr>
          <w:p w14:paraId="17279F6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701C27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D1E223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0ABEF8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77876E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50C3257">
            <w:pPr>
              <w:jc w:val="center"/>
              <w:textAlignment w:val="center"/>
              <w:rPr>
                <w:rFonts w:ascii="仿宋" w:hAnsi="仿宋" w:eastAsia="仿宋" w:cs="仿宋"/>
                <w:color w:val="auto"/>
                <w:highlight w:val="none"/>
              </w:rPr>
            </w:pPr>
          </w:p>
        </w:tc>
      </w:tr>
      <w:tr w14:paraId="2010BE9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DB37ED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299</w:t>
            </w:r>
          </w:p>
        </w:tc>
        <w:tc>
          <w:tcPr>
            <w:tcW w:w="1843" w:type="dxa"/>
            <w:tcBorders>
              <w:top w:val="single" w:color="000000" w:sz="4" w:space="0"/>
              <w:left w:val="single" w:color="000000" w:sz="4" w:space="0"/>
              <w:bottom w:val="single" w:color="000000" w:sz="4" w:space="0"/>
              <w:right w:val="single" w:color="000000" w:sz="4" w:space="0"/>
            </w:tcBorders>
            <w:vAlign w:val="center"/>
          </w:tcPr>
          <w:p w14:paraId="4A82AB0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护目镜</w:t>
            </w:r>
          </w:p>
        </w:tc>
        <w:tc>
          <w:tcPr>
            <w:tcW w:w="1180" w:type="dxa"/>
            <w:tcBorders>
              <w:top w:val="single" w:color="000000" w:sz="4" w:space="0"/>
              <w:left w:val="single" w:color="000000" w:sz="4" w:space="0"/>
              <w:bottom w:val="single" w:color="000000" w:sz="4" w:space="0"/>
              <w:right w:val="single" w:color="000000" w:sz="4" w:space="0"/>
            </w:tcBorders>
            <w:vAlign w:val="center"/>
          </w:tcPr>
          <w:p w14:paraId="76385FF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EBC0C0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EDA737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92D473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CDFE47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C95A5C2">
            <w:pPr>
              <w:jc w:val="center"/>
              <w:textAlignment w:val="center"/>
              <w:rPr>
                <w:rFonts w:ascii="仿宋" w:hAnsi="仿宋" w:eastAsia="仿宋" w:cs="仿宋"/>
                <w:color w:val="auto"/>
                <w:highlight w:val="none"/>
              </w:rPr>
            </w:pPr>
          </w:p>
        </w:tc>
      </w:tr>
      <w:tr w14:paraId="369C562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9B675B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300</w:t>
            </w:r>
          </w:p>
        </w:tc>
        <w:tc>
          <w:tcPr>
            <w:tcW w:w="1843" w:type="dxa"/>
            <w:tcBorders>
              <w:top w:val="single" w:color="000000" w:sz="4" w:space="0"/>
              <w:left w:val="single" w:color="000000" w:sz="4" w:space="0"/>
              <w:bottom w:val="single" w:color="000000" w:sz="4" w:space="0"/>
              <w:right w:val="single" w:color="000000" w:sz="4" w:space="0"/>
            </w:tcBorders>
            <w:vAlign w:val="center"/>
          </w:tcPr>
          <w:p w14:paraId="31232D7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护目镜</w:t>
            </w:r>
          </w:p>
        </w:tc>
        <w:tc>
          <w:tcPr>
            <w:tcW w:w="1180" w:type="dxa"/>
            <w:tcBorders>
              <w:top w:val="single" w:color="000000" w:sz="4" w:space="0"/>
              <w:left w:val="single" w:color="000000" w:sz="4" w:space="0"/>
              <w:bottom w:val="single" w:color="000000" w:sz="4" w:space="0"/>
              <w:right w:val="single" w:color="000000" w:sz="4" w:space="0"/>
            </w:tcBorders>
            <w:vAlign w:val="center"/>
          </w:tcPr>
          <w:p w14:paraId="7C288BE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819C9D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B1DC13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4839CF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B763C5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EC95645">
            <w:pPr>
              <w:jc w:val="center"/>
              <w:textAlignment w:val="center"/>
              <w:rPr>
                <w:rFonts w:ascii="仿宋" w:hAnsi="仿宋" w:eastAsia="仿宋" w:cs="仿宋"/>
                <w:color w:val="auto"/>
                <w:highlight w:val="none"/>
              </w:rPr>
            </w:pPr>
          </w:p>
        </w:tc>
      </w:tr>
      <w:tr w14:paraId="4B1FE49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85753C6">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301</w:t>
            </w:r>
          </w:p>
        </w:tc>
        <w:tc>
          <w:tcPr>
            <w:tcW w:w="1843" w:type="dxa"/>
            <w:tcBorders>
              <w:top w:val="single" w:color="000000" w:sz="4" w:space="0"/>
              <w:left w:val="single" w:color="000000" w:sz="4" w:space="0"/>
              <w:bottom w:val="single" w:color="000000" w:sz="4" w:space="0"/>
              <w:right w:val="single" w:color="000000" w:sz="4" w:space="0"/>
            </w:tcBorders>
            <w:vAlign w:val="center"/>
          </w:tcPr>
          <w:p w14:paraId="6E1EB54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手套</w:t>
            </w:r>
          </w:p>
        </w:tc>
        <w:tc>
          <w:tcPr>
            <w:tcW w:w="1180" w:type="dxa"/>
            <w:tcBorders>
              <w:top w:val="single" w:color="000000" w:sz="4" w:space="0"/>
              <w:left w:val="single" w:color="000000" w:sz="4" w:space="0"/>
              <w:bottom w:val="single" w:color="000000" w:sz="4" w:space="0"/>
              <w:right w:val="single" w:color="000000" w:sz="4" w:space="0"/>
            </w:tcBorders>
            <w:vAlign w:val="center"/>
          </w:tcPr>
          <w:p w14:paraId="20B2ACF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459C01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2B2400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15D3E0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EBBEAAD">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85D9847">
            <w:pPr>
              <w:jc w:val="center"/>
              <w:textAlignment w:val="center"/>
              <w:rPr>
                <w:rFonts w:ascii="仿宋" w:hAnsi="仿宋" w:eastAsia="仿宋" w:cs="仿宋"/>
                <w:color w:val="auto"/>
                <w:highlight w:val="none"/>
              </w:rPr>
            </w:pPr>
          </w:p>
        </w:tc>
      </w:tr>
      <w:tr w14:paraId="21BD9E48">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FA34BAB">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302</w:t>
            </w:r>
          </w:p>
        </w:tc>
        <w:tc>
          <w:tcPr>
            <w:tcW w:w="1843" w:type="dxa"/>
            <w:tcBorders>
              <w:top w:val="single" w:color="000000" w:sz="4" w:space="0"/>
              <w:left w:val="single" w:color="000000" w:sz="4" w:space="0"/>
              <w:bottom w:val="single" w:color="000000" w:sz="4" w:space="0"/>
              <w:right w:val="single" w:color="000000" w:sz="4" w:space="0"/>
            </w:tcBorders>
            <w:vAlign w:val="center"/>
          </w:tcPr>
          <w:p w14:paraId="05F418F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高压绝缘凳</w:t>
            </w:r>
          </w:p>
        </w:tc>
        <w:tc>
          <w:tcPr>
            <w:tcW w:w="1180" w:type="dxa"/>
            <w:tcBorders>
              <w:top w:val="single" w:color="000000" w:sz="4" w:space="0"/>
              <w:left w:val="single" w:color="000000" w:sz="4" w:space="0"/>
              <w:bottom w:val="single" w:color="000000" w:sz="4" w:space="0"/>
              <w:right w:val="single" w:color="000000" w:sz="4" w:space="0"/>
            </w:tcBorders>
            <w:vAlign w:val="center"/>
          </w:tcPr>
          <w:p w14:paraId="1D633E1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D73EDB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5559D4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718EFD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1D925A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713367B">
            <w:pPr>
              <w:jc w:val="center"/>
              <w:textAlignment w:val="center"/>
              <w:rPr>
                <w:rFonts w:ascii="仿宋" w:hAnsi="仿宋" w:eastAsia="仿宋" w:cs="仿宋"/>
                <w:color w:val="auto"/>
                <w:highlight w:val="none"/>
              </w:rPr>
            </w:pPr>
          </w:p>
        </w:tc>
      </w:tr>
      <w:tr w14:paraId="4F64ABD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744D49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303</w:t>
            </w:r>
          </w:p>
        </w:tc>
        <w:tc>
          <w:tcPr>
            <w:tcW w:w="1843" w:type="dxa"/>
            <w:tcBorders>
              <w:top w:val="single" w:color="000000" w:sz="4" w:space="0"/>
              <w:left w:val="single" w:color="000000" w:sz="4" w:space="0"/>
              <w:bottom w:val="single" w:color="000000" w:sz="4" w:space="0"/>
              <w:right w:val="single" w:color="000000" w:sz="4" w:space="0"/>
            </w:tcBorders>
            <w:vAlign w:val="center"/>
          </w:tcPr>
          <w:p w14:paraId="10F7A6C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重心板</w:t>
            </w:r>
          </w:p>
        </w:tc>
        <w:tc>
          <w:tcPr>
            <w:tcW w:w="1180" w:type="dxa"/>
            <w:tcBorders>
              <w:top w:val="single" w:color="000000" w:sz="4" w:space="0"/>
              <w:left w:val="single" w:color="000000" w:sz="4" w:space="0"/>
              <w:bottom w:val="single" w:color="000000" w:sz="4" w:space="0"/>
              <w:right w:val="single" w:color="000000" w:sz="4" w:space="0"/>
            </w:tcBorders>
            <w:vAlign w:val="center"/>
          </w:tcPr>
          <w:p w14:paraId="04CBF9E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C25611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8B87B8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9354F44">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B13778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77FA15F">
            <w:pPr>
              <w:jc w:val="center"/>
              <w:textAlignment w:val="center"/>
              <w:rPr>
                <w:rFonts w:ascii="仿宋" w:hAnsi="仿宋" w:eastAsia="仿宋" w:cs="仿宋"/>
                <w:color w:val="auto"/>
                <w:highlight w:val="none"/>
              </w:rPr>
            </w:pPr>
          </w:p>
        </w:tc>
      </w:tr>
      <w:tr w14:paraId="4ADE88A2">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7DF8EC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304</w:t>
            </w:r>
          </w:p>
        </w:tc>
        <w:tc>
          <w:tcPr>
            <w:tcW w:w="1843" w:type="dxa"/>
            <w:tcBorders>
              <w:top w:val="single" w:color="000000" w:sz="4" w:space="0"/>
              <w:left w:val="single" w:color="000000" w:sz="4" w:space="0"/>
              <w:bottom w:val="single" w:color="000000" w:sz="4" w:space="0"/>
              <w:right w:val="single" w:color="000000" w:sz="4" w:space="0"/>
            </w:tcBorders>
            <w:vAlign w:val="center"/>
          </w:tcPr>
          <w:p w14:paraId="46F98BD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重锤</w:t>
            </w:r>
          </w:p>
        </w:tc>
        <w:tc>
          <w:tcPr>
            <w:tcW w:w="1180" w:type="dxa"/>
            <w:tcBorders>
              <w:top w:val="single" w:color="000000" w:sz="4" w:space="0"/>
              <w:left w:val="single" w:color="000000" w:sz="4" w:space="0"/>
              <w:bottom w:val="single" w:color="000000" w:sz="4" w:space="0"/>
              <w:right w:val="single" w:color="000000" w:sz="4" w:space="0"/>
            </w:tcBorders>
            <w:vAlign w:val="center"/>
          </w:tcPr>
          <w:p w14:paraId="7FA7A52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617433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955B58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F3236A9">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05954345">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BC50679">
            <w:pPr>
              <w:jc w:val="center"/>
              <w:textAlignment w:val="center"/>
              <w:rPr>
                <w:rFonts w:ascii="仿宋" w:hAnsi="仿宋" w:eastAsia="仿宋" w:cs="仿宋"/>
                <w:color w:val="auto"/>
                <w:highlight w:val="none"/>
              </w:rPr>
            </w:pPr>
          </w:p>
        </w:tc>
      </w:tr>
      <w:tr w14:paraId="0F2C53CC">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770469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305</w:t>
            </w:r>
          </w:p>
        </w:tc>
        <w:tc>
          <w:tcPr>
            <w:tcW w:w="1843" w:type="dxa"/>
            <w:tcBorders>
              <w:top w:val="single" w:color="000000" w:sz="4" w:space="0"/>
              <w:left w:val="single" w:color="000000" w:sz="4" w:space="0"/>
              <w:bottom w:val="single" w:color="000000" w:sz="4" w:space="0"/>
              <w:right w:val="single" w:color="000000" w:sz="4" w:space="0"/>
            </w:tcBorders>
            <w:vAlign w:val="center"/>
          </w:tcPr>
          <w:p w14:paraId="23EAC16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木板</w:t>
            </w:r>
          </w:p>
        </w:tc>
        <w:tc>
          <w:tcPr>
            <w:tcW w:w="1180" w:type="dxa"/>
            <w:tcBorders>
              <w:top w:val="single" w:color="000000" w:sz="4" w:space="0"/>
              <w:left w:val="single" w:color="000000" w:sz="4" w:space="0"/>
              <w:bottom w:val="single" w:color="000000" w:sz="4" w:space="0"/>
              <w:right w:val="single" w:color="000000" w:sz="4" w:space="0"/>
            </w:tcBorders>
            <w:vAlign w:val="center"/>
          </w:tcPr>
          <w:p w14:paraId="3024F23A">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D931AA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1A83F2F">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81458C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AC23F4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2DDE4D4">
            <w:pPr>
              <w:jc w:val="center"/>
              <w:textAlignment w:val="center"/>
              <w:rPr>
                <w:rFonts w:ascii="仿宋" w:hAnsi="仿宋" w:eastAsia="仿宋" w:cs="仿宋"/>
                <w:color w:val="auto"/>
                <w:highlight w:val="none"/>
              </w:rPr>
            </w:pPr>
          </w:p>
        </w:tc>
      </w:tr>
      <w:tr w14:paraId="0F810B4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6E5BAE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306</w:t>
            </w:r>
          </w:p>
        </w:tc>
        <w:tc>
          <w:tcPr>
            <w:tcW w:w="1843" w:type="dxa"/>
            <w:tcBorders>
              <w:top w:val="single" w:color="000000" w:sz="4" w:space="0"/>
              <w:left w:val="single" w:color="000000" w:sz="4" w:space="0"/>
              <w:bottom w:val="single" w:color="000000" w:sz="4" w:space="0"/>
              <w:right w:val="single" w:color="000000" w:sz="4" w:space="0"/>
            </w:tcBorders>
            <w:vAlign w:val="center"/>
          </w:tcPr>
          <w:p w14:paraId="2C7CF17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磁吸式电学演示箱</w:t>
            </w:r>
          </w:p>
        </w:tc>
        <w:tc>
          <w:tcPr>
            <w:tcW w:w="1180" w:type="dxa"/>
            <w:tcBorders>
              <w:top w:val="single" w:color="000000" w:sz="4" w:space="0"/>
              <w:left w:val="single" w:color="000000" w:sz="4" w:space="0"/>
              <w:bottom w:val="single" w:color="000000" w:sz="4" w:space="0"/>
              <w:right w:val="single" w:color="000000" w:sz="4" w:space="0"/>
            </w:tcBorders>
            <w:vAlign w:val="center"/>
          </w:tcPr>
          <w:p w14:paraId="38685B6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E55C9E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A56FC9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48ED49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5AE2665">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27949B5">
            <w:pPr>
              <w:jc w:val="center"/>
              <w:textAlignment w:val="center"/>
              <w:rPr>
                <w:rFonts w:ascii="仿宋" w:hAnsi="仿宋" w:eastAsia="仿宋" w:cs="仿宋"/>
                <w:color w:val="auto"/>
                <w:highlight w:val="none"/>
              </w:rPr>
            </w:pPr>
          </w:p>
        </w:tc>
      </w:tr>
      <w:tr w14:paraId="582E5DF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AFFE15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307</w:t>
            </w:r>
          </w:p>
        </w:tc>
        <w:tc>
          <w:tcPr>
            <w:tcW w:w="1843" w:type="dxa"/>
            <w:tcBorders>
              <w:top w:val="single" w:color="000000" w:sz="4" w:space="0"/>
              <w:left w:val="single" w:color="000000" w:sz="4" w:space="0"/>
              <w:bottom w:val="single" w:color="000000" w:sz="4" w:space="0"/>
              <w:right w:val="single" w:color="000000" w:sz="4" w:space="0"/>
            </w:tcBorders>
            <w:vAlign w:val="center"/>
          </w:tcPr>
          <w:p w14:paraId="5D6931A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三脚架</w:t>
            </w:r>
          </w:p>
        </w:tc>
        <w:tc>
          <w:tcPr>
            <w:tcW w:w="1180" w:type="dxa"/>
            <w:tcBorders>
              <w:top w:val="single" w:color="000000" w:sz="4" w:space="0"/>
              <w:left w:val="single" w:color="000000" w:sz="4" w:space="0"/>
              <w:bottom w:val="single" w:color="000000" w:sz="4" w:space="0"/>
              <w:right w:val="single" w:color="000000" w:sz="4" w:space="0"/>
            </w:tcBorders>
            <w:vAlign w:val="center"/>
          </w:tcPr>
          <w:p w14:paraId="0D18916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232A56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BE2BFA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B116C1A">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6BCE6D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1339674">
            <w:pPr>
              <w:jc w:val="center"/>
              <w:textAlignment w:val="center"/>
              <w:rPr>
                <w:rFonts w:ascii="仿宋" w:hAnsi="仿宋" w:eastAsia="仿宋" w:cs="仿宋"/>
                <w:color w:val="auto"/>
                <w:highlight w:val="none"/>
              </w:rPr>
            </w:pPr>
          </w:p>
        </w:tc>
      </w:tr>
      <w:tr w14:paraId="5A477B6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4EC8F1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308</w:t>
            </w:r>
          </w:p>
        </w:tc>
        <w:tc>
          <w:tcPr>
            <w:tcW w:w="1843" w:type="dxa"/>
            <w:tcBorders>
              <w:top w:val="single" w:color="000000" w:sz="4" w:space="0"/>
              <w:left w:val="single" w:color="000000" w:sz="4" w:space="0"/>
              <w:bottom w:val="single" w:color="000000" w:sz="4" w:space="0"/>
              <w:right w:val="single" w:color="000000" w:sz="4" w:space="0"/>
            </w:tcBorders>
            <w:vAlign w:val="center"/>
          </w:tcPr>
          <w:p w14:paraId="1483E87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单摆架</w:t>
            </w:r>
          </w:p>
        </w:tc>
        <w:tc>
          <w:tcPr>
            <w:tcW w:w="1180" w:type="dxa"/>
            <w:tcBorders>
              <w:top w:val="single" w:color="000000" w:sz="4" w:space="0"/>
              <w:left w:val="single" w:color="000000" w:sz="4" w:space="0"/>
              <w:bottom w:val="single" w:color="000000" w:sz="4" w:space="0"/>
              <w:right w:val="single" w:color="000000" w:sz="4" w:space="0"/>
            </w:tcBorders>
            <w:vAlign w:val="center"/>
          </w:tcPr>
          <w:p w14:paraId="624F7142">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CC79DF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9C8DD4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82864A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627AAD8B">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D061299">
            <w:pPr>
              <w:jc w:val="center"/>
              <w:textAlignment w:val="center"/>
              <w:rPr>
                <w:rFonts w:ascii="仿宋" w:hAnsi="仿宋" w:eastAsia="仿宋" w:cs="仿宋"/>
                <w:color w:val="auto"/>
                <w:highlight w:val="none"/>
              </w:rPr>
            </w:pPr>
          </w:p>
        </w:tc>
      </w:tr>
      <w:tr w14:paraId="17DE204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984651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309</w:t>
            </w:r>
          </w:p>
        </w:tc>
        <w:tc>
          <w:tcPr>
            <w:tcW w:w="1843" w:type="dxa"/>
            <w:tcBorders>
              <w:top w:val="single" w:color="000000" w:sz="4" w:space="0"/>
              <w:left w:val="single" w:color="000000" w:sz="4" w:space="0"/>
              <w:bottom w:val="single" w:color="000000" w:sz="4" w:space="0"/>
              <w:right w:val="single" w:color="000000" w:sz="4" w:space="0"/>
            </w:tcBorders>
            <w:vAlign w:val="center"/>
          </w:tcPr>
          <w:p w14:paraId="1E57CC80">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交直流电机解析说明器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5F1234B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08EE9C9">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19BF83D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63679BF">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C4FF9D2">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657B961">
            <w:pPr>
              <w:jc w:val="center"/>
              <w:textAlignment w:val="center"/>
              <w:rPr>
                <w:rFonts w:ascii="仿宋" w:hAnsi="仿宋" w:eastAsia="仿宋" w:cs="仿宋"/>
                <w:color w:val="auto"/>
                <w:highlight w:val="none"/>
              </w:rPr>
            </w:pPr>
          </w:p>
        </w:tc>
      </w:tr>
      <w:tr w14:paraId="101829E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067E4C6D">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310</w:t>
            </w:r>
          </w:p>
        </w:tc>
        <w:tc>
          <w:tcPr>
            <w:tcW w:w="1843" w:type="dxa"/>
            <w:tcBorders>
              <w:top w:val="single" w:color="000000" w:sz="4" w:space="0"/>
              <w:left w:val="single" w:color="000000" w:sz="4" w:space="0"/>
              <w:bottom w:val="single" w:color="000000" w:sz="4" w:space="0"/>
              <w:right w:val="single" w:color="000000" w:sz="4" w:space="0"/>
            </w:tcBorders>
            <w:vAlign w:val="center"/>
          </w:tcPr>
          <w:p w14:paraId="44DA065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方形线圈</w:t>
            </w:r>
          </w:p>
        </w:tc>
        <w:tc>
          <w:tcPr>
            <w:tcW w:w="1180" w:type="dxa"/>
            <w:tcBorders>
              <w:top w:val="single" w:color="000000" w:sz="4" w:space="0"/>
              <w:left w:val="single" w:color="000000" w:sz="4" w:space="0"/>
              <w:bottom w:val="single" w:color="000000" w:sz="4" w:space="0"/>
              <w:right w:val="single" w:color="000000" w:sz="4" w:space="0"/>
            </w:tcBorders>
            <w:vAlign w:val="center"/>
          </w:tcPr>
          <w:p w14:paraId="661DDF8F">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B84578D">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A25931B">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68F1BDB">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2D05FF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CC03726">
            <w:pPr>
              <w:jc w:val="center"/>
              <w:textAlignment w:val="center"/>
              <w:rPr>
                <w:rFonts w:ascii="仿宋" w:hAnsi="仿宋" w:eastAsia="仿宋" w:cs="仿宋"/>
                <w:color w:val="auto"/>
                <w:highlight w:val="none"/>
              </w:rPr>
            </w:pPr>
          </w:p>
        </w:tc>
      </w:tr>
      <w:tr w14:paraId="75631F5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F5A4F27">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311</w:t>
            </w:r>
          </w:p>
        </w:tc>
        <w:tc>
          <w:tcPr>
            <w:tcW w:w="1843" w:type="dxa"/>
            <w:tcBorders>
              <w:top w:val="single" w:color="000000" w:sz="4" w:space="0"/>
              <w:left w:val="single" w:color="000000" w:sz="4" w:space="0"/>
              <w:bottom w:val="single" w:color="000000" w:sz="4" w:space="0"/>
              <w:right w:val="single" w:color="000000" w:sz="4" w:space="0"/>
            </w:tcBorders>
            <w:vAlign w:val="center"/>
          </w:tcPr>
          <w:p w14:paraId="686D605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F光源</w:t>
            </w:r>
          </w:p>
        </w:tc>
        <w:tc>
          <w:tcPr>
            <w:tcW w:w="1180" w:type="dxa"/>
            <w:tcBorders>
              <w:top w:val="single" w:color="000000" w:sz="4" w:space="0"/>
              <w:left w:val="single" w:color="000000" w:sz="4" w:space="0"/>
              <w:bottom w:val="single" w:color="000000" w:sz="4" w:space="0"/>
              <w:right w:val="single" w:color="000000" w:sz="4" w:space="0"/>
            </w:tcBorders>
            <w:vAlign w:val="center"/>
          </w:tcPr>
          <w:p w14:paraId="6CFDE8F1">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D71255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742EA2C1">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230DCC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F50DFF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228BE90C">
            <w:pPr>
              <w:jc w:val="center"/>
              <w:textAlignment w:val="center"/>
              <w:rPr>
                <w:rFonts w:ascii="仿宋" w:hAnsi="仿宋" w:eastAsia="仿宋" w:cs="仿宋"/>
                <w:color w:val="auto"/>
                <w:highlight w:val="none"/>
              </w:rPr>
            </w:pPr>
          </w:p>
        </w:tc>
      </w:tr>
      <w:tr w14:paraId="2AC30C90">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16628B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312</w:t>
            </w:r>
          </w:p>
        </w:tc>
        <w:tc>
          <w:tcPr>
            <w:tcW w:w="1843" w:type="dxa"/>
            <w:tcBorders>
              <w:top w:val="single" w:color="000000" w:sz="4" w:space="0"/>
              <w:left w:val="single" w:color="000000" w:sz="4" w:space="0"/>
              <w:bottom w:val="single" w:color="000000" w:sz="4" w:space="0"/>
              <w:right w:val="single" w:color="000000" w:sz="4" w:space="0"/>
            </w:tcBorders>
            <w:vAlign w:val="center"/>
          </w:tcPr>
          <w:p w14:paraId="45ED54A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平面镜</w:t>
            </w:r>
          </w:p>
        </w:tc>
        <w:tc>
          <w:tcPr>
            <w:tcW w:w="1180" w:type="dxa"/>
            <w:tcBorders>
              <w:top w:val="single" w:color="000000" w:sz="4" w:space="0"/>
              <w:left w:val="single" w:color="000000" w:sz="4" w:space="0"/>
              <w:bottom w:val="single" w:color="000000" w:sz="4" w:space="0"/>
              <w:right w:val="single" w:color="000000" w:sz="4" w:space="0"/>
            </w:tcBorders>
            <w:vAlign w:val="center"/>
          </w:tcPr>
          <w:p w14:paraId="1363D774">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10EE7FE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223516A">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064B29D">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A0AE26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7A1A3BBA">
            <w:pPr>
              <w:jc w:val="center"/>
              <w:textAlignment w:val="center"/>
              <w:rPr>
                <w:rFonts w:ascii="仿宋" w:hAnsi="仿宋" w:eastAsia="仿宋" w:cs="仿宋"/>
                <w:color w:val="auto"/>
                <w:highlight w:val="none"/>
              </w:rPr>
            </w:pPr>
          </w:p>
        </w:tc>
      </w:tr>
      <w:tr w14:paraId="15A5267E">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5F21FD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313</w:t>
            </w:r>
          </w:p>
        </w:tc>
        <w:tc>
          <w:tcPr>
            <w:tcW w:w="1843" w:type="dxa"/>
            <w:tcBorders>
              <w:top w:val="single" w:color="000000" w:sz="4" w:space="0"/>
              <w:left w:val="single" w:color="000000" w:sz="4" w:space="0"/>
              <w:bottom w:val="single" w:color="000000" w:sz="4" w:space="0"/>
              <w:right w:val="single" w:color="000000" w:sz="4" w:space="0"/>
            </w:tcBorders>
            <w:vAlign w:val="center"/>
          </w:tcPr>
          <w:p w14:paraId="5C39EEA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玻璃板</w:t>
            </w:r>
          </w:p>
        </w:tc>
        <w:tc>
          <w:tcPr>
            <w:tcW w:w="1180" w:type="dxa"/>
            <w:tcBorders>
              <w:top w:val="single" w:color="000000" w:sz="4" w:space="0"/>
              <w:left w:val="single" w:color="000000" w:sz="4" w:space="0"/>
              <w:bottom w:val="single" w:color="000000" w:sz="4" w:space="0"/>
              <w:right w:val="single" w:color="000000" w:sz="4" w:space="0"/>
            </w:tcBorders>
            <w:vAlign w:val="center"/>
          </w:tcPr>
          <w:p w14:paraId="75F3B50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2F8F77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734DF3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FECFD41">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8164563">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D226CDB">
            <w:pPr>
              <w:jc w:val="center"/>
              <w:textAlignment w:val="center"/>
              <w:rPr>
                <w:rFonts w:ascii="仿宋" w:hAnsi="仿宋" w:eastAsia="仿宋" w:cs="仿宋"/>
                <w:color w:val="auto"/>
                <w:highlight w:val="none"/>
              </w:rPr>
            </w:pPr>
          </w:p>
        </w:tc>
      </w:tr>
      <w:tr w14:paraId="1E96B6CA">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036AF13">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314</w:t>
            </w:r>
          </w:p>
        </w:tc>
        <w:tc>
          <w:tcPr>
            <w:tcW w:w="1843" w:type="dxa"/>
            <w:tcBorders>
              <w:top w:val="single" w:color="000000" w:sz="4" w:space="0"/>
              <w:left w:val="single" w:color="000000" w:sz="4" w:space="0"/>
              <w:bottom w:val="single" w:color="000000" w:sz="4" w:space="0"/>
              <w:right w:val="single" w:color="000000" w:sz="4" w:space="0"/>
            </w:tcBorders>
            <w:vAlign w:val="center"/>
          </w:tcPr>
          <w:p w14:paraId="1A1AAE1B">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中学几何光学探究演示仪</w:t>
            </w:r>
          </w:p>
        </w:tc>
        <w:tc>
          <w:tcPr>
            <w:tcW w:w="1180" w:type="dxa"/>
            <w:tcBorders>
              <w:top w:val="single" w:color="000000" w:sz="4" w:space="0"/>
              <w:left w:val="single" w:color="000000" w:sz="4" w:space="0"/>
              <w:bottom w:val="single" w:color="000000" w:sz="4" w:space="0"/>
              <w:right w:val="single" w:color="000000" w:sz="4" w:space="0"/>
            </w:tcBorders>
            <w:vAlign w:val="center"/>
          </w:tcPr>
          <w:p w14:paraId="0558CB86">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0299B3E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2978C0D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7018736">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52BA804">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4EF0880">
            <w:pPr>
              <w:jc w:val="center"/>
              <w:textAlignment w:val="center"/>
              <w:rPr>
                <w:rFonts w:ascii="仿宋" w:hAnsi="仿宋" w:eastAsia="仿宋" w:cs="仿宋"/>
                <w:color w:val="auto"/>
                <w:highlight w:val="none"/>
              </w:rPr>
            </w:pPr>
          </w:p>
        </w:tc>
      </w:tr>
      <w:tr w14:paraId="7A29D49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7A0506C">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315</w:t>
            </w:r>
          </w:p>
        </w:tc>
        <w:tc>
          <w:tcPr>
            <w:tcW w:w="1843" w:type="dxa"/>
            <w:tcBorders>
              <w:top w:val="single" w:color="000000" w:sz="4" w:space="0"/>
              <w:left w:val="single" w:color="000000" w:sz="4" w:space="0"/>
              <w:bottom w:val="single" w:color="000000" w:sz="4" w:space="0"/>
              <w:right w:val="single" w:color="000000" w:sz="4" w:space="0"/>
            </w:tcBorders>
            <w:vAlign w:val="center"/>
          </w:tcPr>
          <w:p w14:paraId="2B0117B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喷壶</w:t>
            </w:r>
          </w:p>
        </w:tc>
        <w:tc>
          <w:tcPr>
            <w:tcW w:w="1180" w:type="dxa"/>
            <w:tcBorders>
              <w:top w:val="single" w:color="000000" w:sz="4" w:space="0"/>
              <w:left w:val="single" w:color="000000" w:sz="4" w:space="0"/>
              <w:bottom w:val="single" w:color="000000" w:sz="4" w:space="0"/>
              <w:right w:val="single" w:color="000000" w:sz="4" w:space="0"/>
            </w:tcBorders>
            <w:vAlign w:val="center"/>
          </w:tcPr>
          <w:p w14:paraId="3090B009">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343A180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2438088">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85EEC10">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47CEB259">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1D99DBE8">
            <w:pPr>
              <w:jc w:val="center"/>
              <w:textAlignment w:val="center"/>
              <w:rPr>
                <w:rFonts w:ascii="仿宋" w:hAnsi="仿宋" w:eastAsia="仿宋" w:cs="仿宋"/>
                <w:color w:val="auto"/>
                <w:highlight w:val="none"/>
              </w:rPr>
            </w:pPr>
          </w:p>
        </w:tc>
      </w:tr>
      <w:tr w14:paraId="3B29DAF9">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F4E2029">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316</w:t>
            </w:r>
          </w:p>
        </w:tc>
        <w:tc>
          <w:tcPr>
            <w:tcW w:w="1843" w:type="dxa"/>
            <w:tcBorders>
              <w:top w:val="single" w:color="000000" w:sz="4" w:space="0"/>
              <w:left w:val="single" w:color="000000" w:sz="4" w:space="0"/>
              <w:bottom w:val="single" w:color="000000" w:sz="4" w:space="0"/>
              <w:right w:val="single" w:color="000000" w:sz="4" w:space="0"/>
            </w:tcBorders>
            <w:vAlign w:val="center"/>
          </w:tcPr>
          <w:p w14:paraId="37111E0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手电筒</w:t>
            </w:r>
          </w:p>
        </w:tc>
        <w:tc>
          <w:tcPr>
            <w:tcW w:w="1180" w:type="dxa"/>
            <w:tcBorders>
              <w:top w:val="single" w:color="000000" w:sz="4" w:space="0"/>
              <w:left w:val="single" w:color="000000" w:sz="4" w:space="0"/>
              <w:bottom w:val="single" w:color="000000" w:sz="4" w:space="0"/>
              <w:right w:val="single" w:color="000000" w:sz="4" w:space="0"/>
            </w:tcBorders>
            <w:vAlign w:val="center"/>
          </w:tcPr>
          <w:p w14:paraId="064B778B">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CF7014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04AEBF0">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8C5603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5851A050">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64092B07">
            <w:pPr>
              <w:jc w:val="center"/>
              <w:textAlignment w:val="center"/>
              <w:rPr>
                <w:rFonts w:ascii="仿宋" w:hAnsi="仿宋" w:eastAsia="仿宋" w:cs="仿宋"/>
                <w:color w:val="auto"/>
                <w:highlight w:val="none"/>
              </w:rPr>
            </w:pPr>
          </w:p>
        </w:tc>
      </w:tr>
      <w:tr w14:paraId="3CC6B43B">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A1372D5">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317</w:t>
            </w:r>
          </w:p>
        </w:tc>
        <w:tc>
          <w:tcPr>
            <w:tcW w:w="1843" w:type="dxa"/>
            <w:tcBorders>
              <w:top w:val="single" w:color="000000" w:sz="4" w:space="0"/>
              <w:left w:val="single" w:color="000000" w:sz="4" w:space="0"/>
              <w:bottom w:val="single" w:color="000000" w:sz="4" w:space="0"/>
              <w:right w:val="single" w:color="000000" w:sz="4" w:space="0"/>
            </w:tcBorders>
            <w:vAlign w:val="center"/>
          </w:tcPr>
          <w:p w14:paraId="61AEBC88">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游标卡尺模型</w:t>
            </w:r>
          </w:p>
        </w:tc>
        <w:tc>
          <w:tcPr>
            <w:tcW w:w="1180" w:type="dxa"/>
            <w:tcBorders>
              <w:top w:val="single" w:color="000000" w:sz="4" w:space="0"/>
              <w:left w:val="single" w:color="000000" w:sz="4" w:space="0"/>
              <w:bottom w:val="single" w:color="000000" w:sz="4" w:space="0"/>
              <w:right w:val="single" w:color="000000" w:sz="4" w:space="0"/>
            </w:tcBorders>
            <w:vAlign w:val="center"/>
          </w:tcPr>
          <w:p w14:paraId="4AECF73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7C4C7D7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FA5BFCC">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88F1568">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182002FE">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0BB3033E">
            <w:pPr>
              <w:jc w:val="center"/>
              <w:textAlignment w:val="center"/>
              <w:rPr>
                <w:rFonts w:ascii="仿宋" w:hAnsi="仿宋" w:eastAsia="仿宋" w:cs="仿宋"/>
                <w:color w:val="auto"/>
                <w:highlight w:val="none"/>
              </w:rPr>
            </w:pPr>
          </w:p>
        </w:tc>
      </w:tr>
      <w:tr w14:paraId="461BC09F">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4243F66E">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318</w:t>
            </w:r>
          </w:p>
        </w:tc>
        <w:tc>
          <w:tcPr>
            <w:tcW w:w="1843" w:type="dxa"/>
            <w:tcBorders>
              <w:top w:val="single" w:color="000000" w:sz="4" w:space="0"/>
              <w:left w:val="single" w:color="000000" w:sz="4" w:space="0"/>
              <w:bottom w:val="single" w:color="000000" w:sz="4" w:space="0"/>
              <w:right w:val="single" w:color="000000" w:sz="4" w:space="0"/>
            </w:tcBorders>
            <w:vAlign w:val="center"/>
          </w:tcPr>
          <w:p w14:paraId="5151B63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螺旋测微器模型</w:t>
            </w:r>
          </w:p>
        </w:tc>
        <w:tc>
          <w:tcPr>
            <w:tcW w:w="1180" w:type="dxa"/>
            <w:tcBorders>
              <w:top w:val="single" w:color="000000" w:sz="4" w:space="0"/>
              <w:left w:val="single" w:color="000000" w:sz="4" w:space="0"/>
              <w:bottom w:val="single" w:color="000000" w:sz="4" w:space="0"/>
              <w:right w:val="single" w:color="000000" w:sz="4" w:space="0"/>
            </w:tcBorders>
            <w:vAlign w:val="center"/>
          </w:tcPr>
          <w:p w14:paraId="7105821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8A54AC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BD6F54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83448C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0CEB64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4BBA6A2">
            <w:pPr>
              <w:jc w:val="center"/>
              <w:textAlignment w:val="center"/>
              <w:rPr>
                <w:rFonts w:ascii="仿宋" w:hAnsi="仿宋" w:eastAsia="仿宋" w:cs="仿宋"/>
                <w:color w:val="auto"/>
                <w:highlight w:val="none"/>
              </w:rPr>
            </w:pPr>
          </w:p>
        </w:tc>
      </w:tr>
      <w:tr w14:paraId="42EE3151">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5744D578">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319</w:t>
            </w:r>
          </w:p>
        </w:tc>
        <w:tc>
          <w:tcPr>
            <w:tcW w:w="1843" w:type="dxa"/>
            <w:tcBorders>
              <w:top w:val="single" w:color="000000" w:sz="4" w:space="0"/>
              <w:left w:val="single" w:color="000000" w:sz="4" w:space="0"/>
              <w:bottom w:val="single" w:color="000000" w:sz="4" w:space="0"/>
              <w:right w:val="single" w:color="000000" w:sz="4" w:space="0"/>
            </w:tcBorders>
            <w:vAlign w:val="center"/>
          </w:tcPr>
          <w:p w14:paraId="20D326F4">
            <w:pPr>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眼睛与眼镜模拟演示器</w:t>
            </w:r>
          </w:p>
        </w:tc>
        <w:tc>
          <w:tcPr>
            <w:tcW w:w="1180" w:type="dxa"/>
            <w:tcBorders>
              <w:top w:val="single" w:color="000000" w:sz="4" w:space="0"/>
              <w:left w:val="single" w:color="000000" w:sz="4" w:space="0"/>
              <w:bottom w:val="single" w:color="000000" w:sz="4" w:space="0"/>
              <w:right w:val="single" w:color="000000" w:sz="4" w:space="0"/>
            </w:tcBorders>
            <w:vAlign w:val="center"/>
          </w:tcPr>
          <w:p w14:paraId="2CA7F3CC">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61D2CF13">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BDC1872">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05947DFC">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FF36CBA">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684C1D6">
            <w:pPr>
              <w:jc w:val="center"/>
              <w:textAlignment w:val="center"/>
              <w:rPr>
                <w:rFonts w:ascii="仿宋" w:hAnsi="仿宋" w:eastAsia="仿宋" w:cs="仿宋"/>
                <w:color w:val="auto"/>
                <w:highlight w:val="none"/>
              </w:rPr>
            </w:pPr>
          </w:p>
        </w:tc>
      </w:tr>
      <w:tr w14:paraId="3EC161C6">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1168138A">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320</w:t>
            </w:r>
          </w:p>
        </w:tc>
        <w:tc>
          <w:tcPr>
            <w:tcW w:w="1843" w:type="dxa"/>
            <w:tcBorders>
              <w:top w:val="single" w:color="000000" w:sz="4" w:space="0"/>
              <w:left w:val="single" w:color="000000" w:sz="4" w:space="0"/>
              <w:bottom w:val="single" w:color="000000" w:sz="4" w:space="0"/>
              <w:right w:val="single" w:color="000000" w:sz="4" w:space="0"/>
            </w:tcBorders>
            <w:vAlign w:val="center"/>
          </w:tcPr>
          <w:p w14:paraId="4F3B3830">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眼睛模型</w:t>
            </w:r>
          </w:p>
        </w:tc>
        <w:tc>
          <w:tcPr>
            <w:tcW w:w="1180" w:type="dxa"/>
            <w:tcBorders>
              <w:top w:val="single" w:color="000000" w:sz="4" w:space="0"/>
              <w:left w:val="single" w:color="000000" w:sz="4" w:space="0"/>
              <w:bottom w:val="single" w:color="000000" w:sz="4" w:space="0"/>
              <w:right w:val="single" w:color="000000" w:sz="4" w:space="0"/>
            </w:tcBorders>
            <w:vAlign w:val="center"/>
          </w:tcPr>
          <w:p w14:paraId="5B8374BD">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4895A6F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6717BF84">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4888605">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7AE1B9A8">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5EA139EA">
            <w:pPr>
              <w:jc w:val="center"/>
              <w:textAlignment w:val="center"/>
              <w:rPr>
                <w:rFonts w:ascii="仿宋" w:hAnsi="仿宋" w:eastAsia="仿宋" w:cs="仿宋"/>
                <w:color w:val="auto"/>
                <w:highlight w:val="none"/>
              </w:rPr>
            </w:pPr>
          </w:p>
        </w:tc>
      </w:tr>
      <w:tr w14:paraId="1D9CDEB4">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3FA16F61">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321</w:t>
            </w:r>
          </w:p>
        </w:tc>
        <w:tc>
          <w:tcPr>
            <w:tcW w:w="1843" w:type="dxa"/>
            <w:tcBorders>
              <w:top w:val="single" w:color="000000" w:sz="4" w:space="0"/>
              <w:left w:val="single" w:color="000000" w:sz="4" w:space="0"/>
              <w:bottom w:val="single" w:color="000000" w:sz="4" w:space="0"/>
              <w:right w:val="single" w:color="000000" w:sz="4" w:space="0"/>
            </w:tcBorders>
            <w:vAlign w:val="center"/>
          </w:tcPr>
          <w:p w14:paraId="7B84A7AE">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交流发电机模型</w:t>
            </w:r>
          </w:p>
        </w:tc>
        <w:tc>
          <w:tcPr>
            <w:tcW w:w="1180" w:type="dxa"/>
            <w:tcBorders>
              <w:top w:val="single" w:color="000000" w:sz="4" w:space="0"/>
              <w:left w:val="single" w:color="000000" w:sz="4" w:space="0"/>
              <w:bottom w:val="single" w:color="000000" w:sz="4" w:space="0"/>
              <w:right w:val="single" w:color="000000" w:sz="4" w:space="0"/>
            </w:tcBorders>
            <w:vAlign w:val="center"/>
          </w:tcPr>
          <w:p w14:paraId="64D45047">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538B5856">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380DC51E">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3920717">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345DB0DC">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4217F639">
            <w:pPr>
              <w:jc w:val="center"/>
              <w:textAlignment w:val="center"/>
              <w:rPr>
                <w:rFonts w:ascii="仿宋" w:hAnsi="仿宋" w:eastAsia="仿宋" w:cs="仿宋"/>
                <w:color w:val="auto"/>
                <w:highlight w:val="none"/>
              </w:rPr>
            </w:pPr>
          </w:p>
        </w:tc>
      </w:tr>
      <w:tr w14:paraId="15CB195D">
        <w:tblPrEx>
          <w:tblCellMar>
            <w:top w:w="0" w:type="dxa"/>
            <w:left w:w="108" w:type="dxa"/>
            <w:bottom w:w="0" w:type="dxa"/>
            <w:right w:w="108" w:type="dxa"/>
          </w:tblCellMar>
        </w:tblPrEx>
        <w:trPr>
          <w:trHeight w:val="340" w:hRule="atLeast"/>
        </w:trPr>
        <w:tc>
          <w:tcPr>
            <w:tcW w:w="563" w:type="dxa"/>
            <w:tcBorders>
              <w:top w:val="single" w:color="000000" w:sz="4" w:space="0"/>
              <w:left w:val="single" w:color="auto" w:sz="4" w:space="0"/>
              <w:bottom w:val="single" w:color="000000" w:sz="4" w:space="0"/>
              <w:right w:val="single" w:color="000000" w:sz="4" w:space="0"/>
            </w:tcBorders>
            <w:vAlign w:val="center"/>
          </w:tcPr>
          <w:p w14:paraId="6C3400C2">
            <w:pPr>
              <w:jc w:val="cente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322</w:t>
            </w:r>
          </w:p>
        </w:tc>
        <w:tc>
          <w:tcPr>
            <w:tcW w:w="1843" w:type="dxa"/>
            <w:tcBorders>
              <w:top w:val="single" w:color="000000" w:sz="4" w:space="0"/>
              <w:left w:val="single" w:color="000000" w:sz="4" w:space="0"/>
              <w:bottom w:val="single" w:color="000000" w:sz="4" w:space="0"/>
              <w:right w:val="single" w:color="000000" w:sz="4" w:space="0"/>
            </w:tcBorders>
            <w:vAlign w:val="center"/>
          </w:tcPr>
          <w:p w14:paraId="55972313">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毛巾</w:t>
            </w:r>
          </w:p>
        </w:tc>
        <w:tc>
          <w:tcPr>
            <w:tcW w:w="1180" w:type="dxa"/>
            <w:tcBorders>
              <w:top w:val="single" w:color="000000" w:sz="4" w:space="0"/>
              <w:left w:val="single" w:color="000000" w:sz="4" w:space="0"/>
              <w:bottom w:val="single" w:color="000000" w:sz="4" w:space="0"/>
              <w:right w:val="single" w:color="000000" w:sz="4" w:space="0"/>
            </w:tcBorders>
            <w:vAlign w:val="center"/>
          </w:tcPr>
          <w:p w14:paraId="2CB5F4E5">
            <w:pPr>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工业</w:t>
            </w:r>
          </w:p>
        </w:tc>
        <w:tc>
          <w:tcPr>
            <w:tcW w:w="4746" w:type="dxa"/>
            <w:tcBorders>
              <w:top w:val="single" w:color="000000" w:sz="4" w:space="0"/>
              <w:left w:val="single" w:color="000000" w:sz="4" w:space="0"/>
              <w:bottom w:val="single" w:color="000000" w:sz="4" w:space="0"/>
              <w:right w:val="single" w:color="000000" w:sz="4" w:space="0"/>
            </w:tcBorders>
            <w:vAlign w:val="center"/>
          </w:tcPr>
          <w:p w14:paraId="23C39875">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48A204E7">
            <w:pPr>
              <w:jc w:val="center"/>
              <w:textAlignment w:val="center"/>
              <w:rPr>
                <w:rFonts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auto" w:sz="4" w:space="0"/>
            </w:tcBorders>
            <w:vAlign w:val="center"/>
          </w:tcPr>
          <w:p w14:paraId="59E00D92">
            <w:pPr>
              <w:jc w:val="center"/>
              <w:textAlignment w:val="center"/>
              <w:rPr>
                <w:rFonts w:ascii="仿宋" w:hAnsi="仿宋" w:eastAsia="仿宋" w:cs="仿宋"/>
                <w:color w:val="auto"/>
                <w:highlight w:val="none"/>
              </w:rPr>
            </w:pPr>
          </w:p>
        </w:tc>
        <w:tc>
          <w:tcPr>
            <w:tcW w:w="1276" w:type="dxa"/>
            <w:tcBorders>
              <w:top w:val="single" w:color="000000" w:sz="4" w:space="0"/>
              <w:left w:val="single" w:color="auto" w:sz="4" w:space="0"/>
              <w:bottom w:val="single" w:color="000000" w:sz="4" w:space="0"/>
              <w:right w:val="single" w:color="auto" w:sz="4" w:space="0"/>
            </w:tcBorders>
            <w:vAlign w:val="center"/>
          </w:tcPr>
          <w:p w14:paraId="2D6A1526">
            <w:pPr>
              <w:jc w:val="center"/>
              <w:textAlignment w:val="center"/>
              <w:rPr>
                <w:rFonts w:ascii="仿宋" w:hAnsi="仿宋" w:eastAsia="仿宋" w:cs="仿宋"/>
                <w:color w:val="auto"/>
                <w:highlight w:val="none"/>
              </w:rPr>
            </w:pPr>
          </w:p>
        </w:tc>
        <w:tc>
          <w:tcPr>
            <w:tcW w:w="2269" w:type="dxa"/>
            <w:tcBorders>
              <w:top w:val="single" w:color="000000" w:sz="4" w:space="0"/>
              <w:left w:val="single" w:color="auto" w:sz="4" w:space="0"/>
              <w:bottom w:val="single" w:color="000000" w:sz="4" w:space="0"/>
              <w:right w:val="single" w:color="000000" w:sz="4" w:space="0"/>
            </w:tcBorders>
            <w:vAlign w:val="center"/>
          </w:tcPr>
          <w:p w14:paraId="3E3DACA6">
            <w:pPr>
              <w:jc w:val="center"/>
              <w:textAlignment w:val="center"/>
              <w:rPr>
                <w:rFonts w:ascii="仿宋" w:hAnsi="仿宋" w:eastAsia="仿宋" w:cs="仿宋"/>
                <w:color w:val="auto"/>
                <w:highlight w:val="none"/>
              </w:rPr>
            </w:pPr>
          </w:p>
        </w:tc>
      </w:tr>
    </w:tbl>
    <w:p w14:paraId="7D2851B9">
      <w:pPr>
        <w:rPr>
          <w:color w:val="auto"/>
          <w:highlight w:val="none"/>
        </w:rPr>
      </w:pPr>
    </w:p>
    <w:p w14:paraId="463041A4">
      <w:pPr>
        <w:spacing w:line="360" w:lineRule="auto"/>
        <w:rPr>
          <w:rFonts w:asciiTheme="minorEastAsia" w:hAnsiTheme="minorEastAsia"/>
          <w:color w:val="auto"/>
          <w:sz w:val="24"/>
          <w:szCs w:val="24"/>
          <w:highlight w:val="none"/>
        </w:rPr>
      </w:pPr>
    </w:p>
    <w:p w14:paraId="1CB628D7">
      <w:pPr>
        <w:rPr>
          <w:color w:val="auto"/>
          <w:highlight w:val="none"/>
        </w:rPr>
      </w:pPr>
    </w:p>
    <w:p w14:paraId="6A7D2B47">
      <w:pPr>
        <w:pStyle w:val="9"/>
        <w:rPr>
          <w:color w:val="auto"/>
          <w:highlight w:val="none"/>
          <w:lang w:eastAsia="zh-CN"/>
        </w:rPr>
      </w:pPr>
    </w:p>
    <w:p w14:paraId="4691CD8F">
      <w:pPr>
        <w:pStyle w:val="9"/>
        <w:rPr>
          <w:color w:val="auto"/>
          <w:highlight w:val="none"/>
          <w:lang w:eastAsia="zh-CN"/>
        </w:rPr>
      </w:pPr>
    </w:p>
    <w:p w14:paraId="25882DBE">
      <w:pPr>
        <w:kinsoku/>
        <w:autoSpaceDE/>
        <w:autoSpaceDN/>
        <w:adjustRightInd/>
        <w:snapToGrid/>
        <w:spacing w:line="360" w:lineRule="auto"/>
        <w:rPr>
          <w:rFonts w:ascii="仿宋" w:hAnsi="仿宋" w:eastAsia="仿宋" w:cs="仿宋"/>
          <w:b/>
          <w:bCs/>
          <w:color w:val="auto"/>
          <w:spacing w:val="-12"/>
          <w:sz w:val="24"/>
          <w:szCs w:val="24"/>
          <w:highlight w:val="none"/>
          <w:lang w:eastAsia="zh-CN"/>
        </w:rPr>
        <w:sectPr>
          <w:pgSz w:w="16839" w:h="11906" w:orient="landscape"/>
          <w:pgMar w:top="1786" w:right="1219" w:bottom="1418" w:left="1389" w:header="868" w:footer="1185" w:gutter="0"/>
          <w:pgNumType w:fmt="numberInDash"/>
          <w:cols w:space="720" w:num="1"/>
        </w:sectPr>
      </w:pPr>
    </w:p>
    <w:p w14:paraId="31411461">
      <w:pPr>
        <w:pageBreakBefore/>
        <w:spacing w:line="360" w:lineRule="auto"/>
        <w:ind w:left="40"/>
        <w:rPr>
          <w:rFonts w:ascii="仿宋" w:hAnsi="仿宋" w:eastAsia="仿宋" w:cs="仿宋"/>
          <w:color w:val="auto"/>
          <w:sz w:val="24"/>
          <w:szCs w:val="24"/>
          <w:highlight w:val="none"/>
          <w:lang w:eastAsia="zh-CN"/>
        </w:rPr>
      </w:pPr>
      <w:r>
        <w:rPr>
          <w:rFonts w:hint="eastAsia" w:ascii="仿宋" w:hAnsi="仿宋" w:eastAsia="仿宋" w:cs="仿宋"/>
          <w:b/>
          <w:bCs/>
          <w:color w:val="auto"/>
          <w:spacing w:val="-12"/>
          <w:sz w:val="24"/>
          <w:szCs w:val="24"/>
          <w:highlight w:val="none"/>
          <w:lang w:eastAsia="zh-CN"/>
        </w:rPr>
        <w:t>附件1</w:t>
      </w:r>
    </w:p>
    <w:p w14:paraId="5277DD98">
      <w:pPr>
        <w:spacing w:line="360" w:lineRule="auto"/>
        <w:ind w:firstLine="467" w:firstLineChars="206"/>
        <w:rPr>
          <w:rFonts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（一）关于“中小企业声明函”的填写要求</w:t>
      </w:r>
    </w:p>
    <w:p w14:paraId="364B1551">
      <w:pPr>
        <w:spacing w:line="360" w:lineRule="auto"/>
        <w:ind w:right="38" w:firstLine="350" w:firstLineChars="155"/>
        <w:rPr>
          <w:rFonts w:ascii="仿宋" w:hAnsi="仿宋" w:eastAsia="仿宋" w:cs="仿宋"/>
          <w:color w:val="auto"/>
          <w:spacing w:val="-7"/>
          <w:sz w:val="24"/>
          <w:szCs w:val="24"/>
          <w:highlight w:val="none"/>
          <w:lang w:eastAsia="zh-CN"/>
        </w:rPr>
      </w:pPr>
      <w:r>
        <w:rPr>
          <w:rFonts w:hint="eastAsia" w:ascii="仿宋" w:hAnsi="仿宋" w:eastAsia="仿宋" w:cs="仿宋"/>
          <w:color w:val="auto"/>
          <w:spacing w:val="-7"/>
          <w:sz w:val="24"/>
          <w:szCs w:val="24"/>
          <w:highlight w:val="none"/>
          <w:lang w:eastAsia="zh-CN"/>
        </w:rPr>
        <w:t>“中小企业声明函”具体填写要求如下：</w:t>
      </w:r>
    </w:p>
    <w:p w14:paraId="7CF34CCE">
      <w:pPr>
        <w:spacing w:line="360" w:lineRule="auto"/>
        <w:ind w:right="38" w:firstLine="359"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1.“单位名称”应填写采购人名称。</w:t>
      </w:r>
    </w:p>
    <w:p w14:paraId="74E17C51">
      <w:pPr>
        <w:spacing w:line="360" w:lineRule="auto"/>
        <w:ind w:right="234" w:firstLine="359" w:firstLineChars="15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2.“项目名称”应按照采购文件中确定的项目名称填写。对于分包方</w:t>
      </w:r>
      <w:r>
        <w:rPr>
          <w:rFonts w:hint="eastAsia" w:ascii="仿宋" w:hAnsi="仿宋" w:eastAsia="仿宋" w:cs="仿宋"/>
          <w:color w:val="auto"/>
          <w:spacing w:val="-5"/>
          <w:sz w:val="24"/>
          <w:szCs w:val="24"/>
          <w:highlight w:val="none"/>
          <w:lang w:eastAsia="zh-CN"/>
        </w:rPr>
        <w:t>式面向</w:t>
      </w:r>
      <w:r>
        <w:rPr>
          <w:rFonts w:hint="eastAsia" w:ascii="仿宋" w:hAnsi="仿宋" w:eastAsia="仿宋" w:cs="仿宋"/>
          <w:color w:val="auto"/>
          <w:spacing w:val="-4"/>
          <w:sz w:val="24"/>
          <w:szCs w:val="24"/>
          <w:highlight w:val="none"/>
          <w:lang w:eastAsia="zh-CN"/>
        </w:rPr>
        <w:t>中小企业采购的项目，应标明中小企业的具体分包内容；对于以联合体方式面向</w:t>
      </w:r>
      <w:r>
        <w:rPr>
          <w:rFonts w:hint="eastAsia" w:ascii="仿宋" w:hAnsi="仿宋" w:eastAsia="仿宋" w:cs="仿宋"/>
          <w:color w:val="auto"/>
          <w:spacing w:val="-1"/>
          <w:sz w:val="24"/>
          <w:szCs w:val="24"/>
          <w:highlight w:val="none"/>
          <w:lang w:eastAsia="zh-CN"/>
        </w:rPr>
        <w:t>中小企业采购的项目，应标明联合体中中小企业所承担的具体</w:t>
      </w:r>
      <w:r>
        <w:rPr>
          <w:rFonts w:hint="eastAsia" w:ascii="仿宋" w:hAnsi="仿宋" w:eastAsia="仿宋" w:cs="仿宋"/>
          <w:color w:val="auto"/>
          <w:spacing w:val="-2"/>
          <w:sz w:val="24"/>
          <w:szCs w:val="24"/>
          <w:highlight w:val="none"/>
          <w:lang w:eastAsia="zh-CN"/>
        </w:rPr>
        <w:t>内容。</w:t>
      </w:r>
    </w:p>
    <w:p w14:paraId="763D3091">
      <w:pPr>
        <w:spacing w:line="360" w:lineRule="auto"/>
        <w:ind w:right="26" w:firstLine="359" w:firstLineChars="15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3.“标的名称”应填写采购文件中细化载明的采购标的名称。对</w:t>
      </w:r>
      <w:r>
        <w:rPr>
          <w:rFonts w:hint="eastAsia" w:ascii="仿宋" w:hAnsi="仿宋" w:eastAsia="仿宋" w:cs="仿宋"/>
          <w:color w:val="auto"/>
          <w:spacing w:val="-5"/>
          <w:sz w:val="24"/>
          <w:szCs w:val="24"/>
          <w:highlight w:val="none"/>
          <w:lang w:eastAsia="zh-CN"/>
        </w:rPr>
        <w:t>于分包方式</w:t>
      </w:r>
      <w:r>
        <w:rPr>
          <w:rFonts w:hint="eastAsia" w:ascii="仿宋" w:hAnsi="仿宋" w:eastAsia="仿宋" w:cs="仿宋"/>
          <w:color w:val="auto"/>
          <w:spacing w:val="-4"/>
          <w:sz w:val="24"/>
          <w:szCs w:val="24"/>
          <w:highlight w:val="none"/>
          <w:lang w:eastAsia="zh-CN"/>
        </w:rPr>
        <w:t>面向中小企业采购的项目，“标的名称”应填写采购文件中注明的分包给中小企</w:t>
      </w:r>
      <w:r>
        <w:rPr>
          <w:rFonts w:hint="eastAsia" w:ascii="仿宋" w:hAnsi="仿宋" w:eastAsia="仿宋" w:cs="仿宋"/>
          <w:color w:val="auto"/>
          <w:spacing w:val="2"/>
          <w:sz w:val="24"/>
          <w:szCs w:val="24"/>
          <w:highlight w:val="none"/>
          <w:lang w:eastAsia="zh-CN"/>
        </w:rPr>
        <w:t>业的采购标的名称；对于以联合体方式面向中小企业采购的项目，“标的名称”</w:t>
      </w:r>
      <w:r>
        <w:rPr>
          <w:rFonts w:hint="eastAsia" w:ascii="仿宋" w:hAnsi="仿宋" w:eastAsia="仿宋" w:cs="仿宋"/>
          <w:color w:val="auto"/>
          <w:sz w:val="24"/>
          <w:szCs w:val="24"/>
          <w:highlight w:val="none"/>
          <w:lang w:eastAsia="zh-CN"/>
        </w:rPr>
        <w:t>应填写采购文件中注明的联合体中中小企业</w:t>
      </w:r>
      <w:r>
        <w:rPr>
          <w:rFonts w:hint="eastAsia" w:ascii="仿宋" w:hAnsi="仿宋" w:eastAsia="仿宋" w:cs="仿宋"/>
          <w:color w:val="auto"/>
          <w:spacing w:val="-1"/>
          <w:sz w:val="24"/>
          <w:szCs w:val="24"/>
          <w:highlight w:val="none"/>
          <w:lang w:eastAsia="zh-CN"/>
        </w:rPr>
        <w:t>承担的采购标的名称。</w:t>
      </w:r>
    </w:p>
    <w:p w14:paraId="6BF67731">
      <w:pPr>
        <w:spacing w:line="360" w:lineRule="auto"/>
        <w:ind w:right="234" w:firstLine="359" w:firstLineChars="15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4.“采购文件中明确的所属行业”应填写采购文件中明确的采购标的所属行</w:t>
      </w:r>
      <w:r>
        <w:rPr>
          <w:rFonts w:hint="eastAsia" w:ascii="仿宋" w:hAnsi="仿宋" w:eastAsia="仿宋" w:cs="仿宋"/>
          <w:color w:val="auto"/>
          <w:spacing w:val="-3"/>
          <w:sz w:val="24"/>
          <w:szCs w:val="24"/>
          <w:highlight w:val="none"/>
          <w:lang w:eastAsia="zh-CN"/>
        </w:rPr>
        <w:t>业，并应确保与采购标的涉及的货物制造商/服务承接商/工程承建商（根据项目</w:t>
      </w:r>
      <w:r>
        <w:rPr>
          <w:rFonts w:hint="eastAsia" w:ascii="仿宋" w:hAnsi="仿宋" w:eastAsia="仿宋" w:cs="仿宋"/>
          <w:color w:val="auto"/>
          <w:spacing w:val="-1"/>
          <w:sz w:val="24"/>
          <w:szCs w:val="24"/>
          <w:highlight w:val="none"/>
          <w:lang w:eastAsia="zh-CN"/>
        </w:rPr>
        <w:t>属性确定）本身的所属行业保持一致。</w:t>
      </w:r>
    </w:p>
    <w:p w14:paraId="74185D46">
      <w:pPr>
        <w:spacing w:line="360" w:lineRule="auto"/>
        <w:ind w:right="234" w:firstLine="359" w:firstLineChars="15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对于分包方式面向中小企业采购的项目，“采购文件中明确的所属行</w:t>
      </w:r>
      <w:r>
        <w:rPr>
          <w:rFonts w:hint="eastAsia" w:ascii="仿宋" w:hAnsi="仿宋" w:eastAsia="仿宋" w:cs="仿宋"/>
          <w:color w:val="auto"/>
          <w:spacing w:val="-5"/>
          <w:sz w:val="24"/>
          <w:szCs w:val="24"/>
          <w:highlight w:val="none"/>
          <w:lang w:eastAsia="zh-CN"/>
        </w:rPr>
        <w:t>业”应</w:t>
      </w:r>
      <w:r>
        <w:rPr>
          <w:rFonts w:hint="eastAsia" w:ascii="仿宋" w:hAnsi="仿宋" w:eastAsia="仿宋" w:cs="仿宋"/>
          <w:color w:val="auto"/>
          <w:spacing w:val="-3"/>
          <w:sz w:val="24"/>
          <w:szCs w:val="24"/>
          <w:highlight w:val="none"/>
          <w:lang w:eastAsia="zh-CN"/>
        </w:rPr>
        <w:t>按照采购文件中注明的分包给中小企业的采购标的所属行业填写，并应确保与该分包部分采购标的涉及的货物制造商/服务承接商/工程承建商（根据项目属性确</w:t>
      </w:r>
      <w:r>
        <w:rPr>
          <w:rFonts w:hint="eastAsia" w:ascii="仿宋" w:hAnsi="仿宋" w:eastAsia="仿宋" w:cs="仿宋"/>
          <w:color w:val="auto"/>
          <w:spacing w:val="-1"/>
          <w:sz w:val="24"/>
          <w:szCs w:val="24"/>
          <w:highlight w:val="none"/>
          <w:lang w:eastAsia="zh-CN"/>
        </w:rPr>
        <w:t>定）本身的所属行业保持一致。</w:t>
      </w:r>
    </w:p>
    <w:p w14:paraId="3A68E3CE">
      <w:pPr>
        <w:spacing w:line="360" w:lineRule="auto"/>
        <w:ind w:firstLine="359"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对于以联合体方式面向中小企业采购的项目，“采购文件中明确的所</w:t>
      </w:r>
      <w:r>
        <w:rPr>
          <w:rFonts w:hint="eastAsia" w:ascii="仿宋" w:hAnsi="仿宋" w:eastAsia="仿宋" w:cs="仿宋"/>
          <w:color w:val="auto"/>
          <w:spacing w:val="-5"/>
          <w:sz w:val="24"/>
          <w:szCs w:val="24"/>
          <w:highlight w:val="none"/>
          <w:lang w:eastAsia="zh-CN"/>
        </w:rPr>
        <w:t>属行业”</w:t>
      </w:r>
      <w:r>
        <w:rPr>
          <w:rFonts w:hint="eastAsia" w:ascii="仿宋" w:hAnsi="仿宋" w:eastAsia="仿宋" w:cs="仿宋"/>
          <w:color w:val="auto"/>
          <w:spacing w:val="-3"/>
          <w:sz w:val="24"/>
          <w:szCs w:val="24"/>
          <w:highlight w:val="none"/>
          <w:lang w:eastAsia="zh-CN"/>
        </w:rPr>
        <w:t>应按照采购文件中注明的联合体中中小企业承担的采购标的所属行业填写，并应确保与该承担部分采购标的涉及的货物制造商/服务承接商/工程承建商（根据项</w:t>
      </w:r>
      <w:r>
        <w:rPr>
          <w:rFonts w:hint="eastAsia" w:ascii="仿宋" w:hAnsi="仿宋" w:eastAsia="仿宋" w:cs="仿宋"/>
          <w:color w:val="auto"/>
          <w:spacing w:val="-1"/>
          <w:sz w:val="24"/>
          <w:szCs w:val="24"/>
          <w:highlight w:val="none"/>
          <w:lang w:eastAsia="zh-CN"/>
        </w:rPr>
        <w:t>目属性确定）本身的所属行业保持一致。</w:t>
      </w:r>
    </w:p>
    <w:p w14:paraId="5757C826">
      <w:pPr>
        <w:spacing w:line="360" w:lineRule="auto"/>
        <w:ind w:right="234" w:firstLine="359"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5.“企业名称”应填写投标（响应）的货物制造商/服务承接商/工程承建商</w:t>
      </w:r>
      <w:r>
        <w:rPr>
          <w:rFonts w:hint="eastAsia" w:ascii="仿宋" w:hAnsi="仿宋" w:eastAsia="仿宋" w:cs="仿宋"/>
          <w:color w:val="auto"/>
          <w:spacing w:val="-2"/>
          <w:sz w:val="24"/>
          <w:szCs w:val="24"/>
          <w:highlight w:val="none"/>
          <w:lang w:eastAsia="zh-CN"/>
        </w:rPr>
        <w:t>（根据项目属性确定）。</w:t>
      </w:r>
    </w:p>
    <w:p w14:paraId="3FA08221">
      <w:pPr>
        <w:spacing w:line="360" w:lineRule="auto"/>
        <w:ind w:right="237" w:firstLine="359"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对于分包方式面向中小企业采购的项目，“企业名称”应填写</w:t>
      </w:r>
      <w:r>
        <w:rPr>
          <w:rFonts w:hint="eastAsia" w:ascii="仿宋" w:hAnsi="仿宋" w:eastAsia="仿宋" w:cs="仿宋"/>
          <w:color w:val="auto"/>
          <w:spacing w:val="-5"/>
          <w:sz w:val="24"/>
          <w:szCs w:val="24"/>
          <w:highlight w:val="none"/>
          <w:lang w:eastAsia="zh-CN"/>
        </w:rPr>
        <w:t>分包部分采购</w:t>
      </w:r>
      <w:r>
        <w:rPr>
          <w:rFonts w:hint="eastAsia" w:ascii="仿宋" w:hAnsi="仿宋" w:eastAsia="仿宋" w:cs="仿宋"/>
          <w:color w:val="auto"/>
          <w:sz w:val="24"/>
          <w:szCs w:val="24"/>
          <w:highlight w:val="none"/>
          <w:lang w:eastAsia="zh-CN"/>
        </w:rPr>
        <w:t>标的对应的货物制造商/服务承接商/工程承建</w:t>
      </w:r>
      <w:r>
        <w:rPr>
          <w:rFonts w:hint="eastAsia" w:ascii="仿宋" w:hAnsi="仿宋" w:eastAsia="仿宋" w:cs="仿宋"/>
          <w:color w:val="auto"/>
          <w:spacing w:val="-1"/>
          <w:sz w:val="24"/>
          <w:szCs w:val="24"/>
          <w:highlight w:val="none"/>
          <w:lang w:eastAsia="zh-CN"/>
        </w:rPr>
        <w:t>商（根据项目属性确定）。</w:t>
      </w:r>
    </w:p>
    <w:p w14:paraId="4D639BA3">
      <w:pPr>
        <w:spacing w:line="360" w:lineRule="auto"/>
        <w:ind w:right="80" w:firstLine="359" w:firstLineChars="15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对于以联合体方式面向中小企业采购的项目，“企业名称”应填写联</w:t>
      </w:r>
      <w:r>
        <w:rPr>
          <w:rFonts w:hint="eastAsia" w:ascii="仿宋" w:hAnsi="仿宋" w:eastAsia="仿宋" w:cs="仿宋"/>
          <w:color w:val="auto"/>
          <w:spacing w:val="-5"/>
          <w:sz w:val="24"/>
          <w:szCs w:val="24"/>
          <w:highlight w:val="none"/>
          <w:lang w:eastAsia="zh-CN"/>
        </w:rPr>
        <w:t>合体中</w:t>
      </w:r>
      <w:r>
        <w:rPr>
          <w:rFonts w:hint="eastAsia" w:ascii="仿宋" w:hAnsi="仿宋" w:eastAsia="仿宋" w:cs="仿宋"/>
          <w:color w:val="auto"/>
          <w:spacing w:val="-3"/>
          <w:sz w:val="24"/>
          <w:szCs w:val="24"/>
          <w:highlight w:val="none"/>
          <w:lang w:eastAsia="zh-CN"/>
        </w:rPr>
        <w:t>中小企业承担采购标的对应的货物制造商/服务承接商/工程承建商（根据项目属性确定）。</w:t>
      </w:r>
    </w:p>
    <w:p w14:paraId="30503240">
      <w:pPr>
        <w:widowControl w:val="0"/>
        <w:spacing w:line="360" w:lineRule="auto"/>
        <w:ind w:right="79" w:firstLine="362"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6.从业人员、资产总额指标以上年度末数据为依据，营业收入指标</w:t>
      </w:r>
      <w:r>
        <w:rPr>
          <w:rFonts w:hint="eastAsia" w:ascii="仿宋" w:hAnsi="仿宋" w:eastAsia="仿宋" w:cs="仿宋"/>
          <w:color w:val="auto"/>
          <w:spacing w:val="-4"/>
          <w:sz w:val="24"/>
          <w:szCs w:val="24"/>
          <w:highlight w:val="none"/>
          <w:lang w:eastAsia="zh-CN"/>
        </w:rPr>
        <w:t>以上年度</w:t>
      </w:r>
      <w:r>
        <w:rPr>
          <w:rFonts w:hint="eastAsia" w:ascii="仿宋" w:hAnsi="仿宋" w:eastAsia="仿宋" w:cs="仿宋"/>
          <w:color w:val="auto"/>
          <w:spacing w:val="-1"/>
          <w:sz w:val="24"/>
          <w:szCs w:val="24"/>
          <w:highlight w:val="none"/>
          <w:lang w:eastAsia="zh-CN"/>
        </w:rPr>
        <w:t>累计数据为依据。无上年度数据的新成立企业可不填报。</w:t>
      </w:r>
    </w:p>
    <w:p w14:paraId="27E7AA1E">
      <w:pPr>
        <w:spacing w:line="360" w:lineRule="auto"/>
        <w:ind w:right="80" w:firstLine="356"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7.“中型企业/小型企业/微型企业”部分，供应商应依据企业上年度从业人</w:t>
      </w:r>
      <w:r>
        <w:rPr>
          <w:rFonts w:hint="eastAsia" w:ascii="仿宋" w:hAnsi="仿宋" w:eastAsia="仿宋" w:cs="仿宋"/>
          <w:color w:val="auto"/>
          <w:spacing w:val="-3"/>
          <w:sz w:val="24"/>
          <w:szCs w:val="24"/>
          <w:highlight w:val="none"/>
          <w:lang w:eastAsia="zh-CN"/>
        </w:rPr>
        <w:t>员、营业收入、资产总额等指标，按照《中小企业划型标准规定》（工信部联企</w:t>
      </w:r>
      <w:r>
        <w:rPr>
          <w:rFonts w:hint="eastAsia" w:ascii="仿宋" w:hAnsi="仿宋" w:eastAsia="仿宋" w:cs="仿宋"/>
          <w:color w:val="auto"/>
          <w:spacing w:val="-1"/>
          <w:sz w:val="24"/>
          <w:szCs w:val="24"/>
          <w:highlight w:val="none"/>
          <w:lang w:eastAsia="zh-CN"/>
        </w:rPr>
        <w:t>业〔2011〕300号）、《金融业企业划型标准规定》（银发〔2015〕309号</w:t>
      </w:r>
      <w:r>
        <w:rPr>
          <w:rFonts w:hint="eastAsia" w:ascii="仿宋" w:hAnsi="仿宋" w:eastAsia="仿宋" w:cs="仿宋"/>
          <w:color w:val="auto"/>
          <w:spacing w:val="13"/>
          <w:sz w:val="24"/>
          <w:szCs w:val="24"/>
          <w:highlight w:val="none"/>
          <w:lang w:eastAsia="zh-CN"/>
        </w:rPr>
        <w:t>），</w:t>
      </w:r>
      <w:r>
        <w:rPr>
          <w:rFonts w:hint="eastAsia" w:ascii="仿宋" w:hAnsi="仿宋" w:eastAsia="仿宋" w:cs="仿宋"/>
          <w:color w:val="auto"/>
          <w:spacing w:val="-5"/>
          <w:sz w:val="24"/>
          <w:szCs w:val="24"/>
          <w:highlight w:val="none"/>
          <w:lang w:eastAsia="zh-CN"/>
        </w:rPr>
        <w:t>判断“中小企业声明函”载明的货物制造商/服务承接商/工程承建商（根据项目</w:t>
      </w:r>
      <w:r>
        <w:rPr>
          <w:rFonts w:hint="eastAsia" w:ascii="仿宋" w:hAnsi="仿宋" w:eastAsia="仿宋" w:cs="仿宋"/>
          <w:color w:val="auto"/>
          <w:sz w:val="24"/>
          <w:szCs w:val="24"/>
          <w:highlight w:val="none"/>
          <w:lang w:eastAsia="zh-CN"/>
        </w:rPr>
        <w:t>属性确定）是否属于采购文件所属行业的中型企业/</w:t>
      </w:r>
      <w:r>
        <w:rPr>
          <w:rFonts w:hint="eastAsia" w:ascii="仿宋" w:hAnsi="仿宋" w:eastAsia="仿宋" w:cs="仿宋"/>
          <w:color w:val="auto"/>
          <w:spacing w:val="-1"/>
          <w:sz w:val="24"/>
          <w:szCs w:val="24"/>
          <w:highlight w:val="none"/>
          <w:lang w:eastAsia="zh-CN"/>
        </w:rPr>
        <w:t>小型企业/微型企业。</w:t>
      </w:r>
    </w:p>
    <w:p w14:paraId="0988ED94">
      <w:pPr>
        <w:spacing w:line="360" w:lineRule="auto"/>
        <w:ind w:right="26" w:firstLine="365"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8.对于已纳入统计部门统计范围的企业，所属行业、从业人员、营业收入、</w:t>
      </w:r>
      <w:r>
        <w:rPr>
          <w:rFonts w:hint="eastAsia" w:ascii="仿宋" w:hAnsi="仿宋" w:eastAsia="仿宋" w:cs="仿宋"/>
          <w:color w:val="auto"/>
          <w:spacing w:val="-3"/>
          <w:sz w:val="24"/>
          <w:szCs w:val="24"/>
          <w:highlight w:val="none"/>
          <w:lang w:eastAsia="zh-CN"/>
        </w:rPr>
        <w:t>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w:t>
      </w:r>
      <w:r>
        <w:rPr>
          <w:rFonts w:hint="eastAsia" w:ascii="仿宋" w:hAnsi="仿宋" w:eastAsia="仿宋" w:cs="仿宋"/>
          <w:color w:val="auto"/>
          <w:spacing w:val="-2"/>
          <w:sz w:val="24"/>
          <w:szCs w:val="24"/>
          <w:highlight w:val="none"/>
          <w:lang w:eastAsia="zh-CN"/>
        </w:rPr>
        <w:t>据的来源依据。</w:t>
      </w:r>
    </w:p>
    <w:p w14:paraId="1082EAA0">
      <w:pPr>
        <w:spacing w:line="360" w:lineRule="auto"/>
        <w:ind w:left="592"/>
        <w:rPr>
          <w:rFonts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（二）关于“中小企业声明函”的提交要求</w:t>
      </w:r>
    </w:p>
    <w:p w14:paraId="1E3C698A">
      <w:pPr>
        <w:spacing w:line="360" w:lineRule="auto"/>
        <w:ind w:left="23" w:firstLine="497"/>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1.投标（响应）供应商对“中小企业声明函”的真实性负责。</w:t>
      </w:r>
      <w:r>
        <w:rPr>
          <w:rFonts w:hint="eastAsia" w:ascii="仿宋" w:hAnsi="仿宋" w:eastAsia="仿宋" w:cs="仿宋"/>
          <w:color w:val="auto"/>
          <w:spacing w:val="-4"/>
          <w:sz w:val="24"/>
          <w:szCs w:val="24"/>
          <w:highlight w:val="none"/>
          <w:lang w:eastAsia="zh-CN"/>
        </w:rPr>
        <w:t>投标（响应）</w:t>
      </w:r>
      <w:r>
        <w:rPr>
          <w:rFonts w:hint="eastAsia" w:ascii="仿宋" w:hAnsi="仿宋" w:eastAsia="仿宋" w:cs="仿宋"/>
          <w:color w:val="auto"/>
          <w:spacing w:val="-3"/>
          <w:sz w:val="24"/>
          <w:szCs w:val="24"/>
          <w:highlight w:val="none"/>
          <w:lang w:eastAsia="zh-CN"/>
        </w:rPr>
        <w:t>供应商应当核实投标（响应）的货物制造商/服务承接商/工程承建商（根据项目</w:t>
      </w:r>
      <w:r>
        <w:rPr>
          <w:rFonts w:hint="eastAsia" w:ascii="仿宋" w:hAnsi="仿宋" w:eastAsia="仿宋" w:cs="仿宋"/>
          <w:color w:val="auto"/>
          <w:spacing w:val="-7"/>
          <w:sz w:val="24"/>
          <w:szCs w:val="24"/>
          <w:highlight w:val="none"/>
          <w:lang w:eastAsia="zh-CN"/>
        </w:rPr>
        <w:t>属性确定）的相关信息，如对相关信息了解不充分，或</w:t>
      </w:r>
      <w:r>
        <w:rPr>
          <w:rFonts w:hint="eastAsia" w:ascii="仿宋" w:hAnsi="仿宋" w:eastAsia="仿宋" w:cs="仿宋"/>
          <w:color w:val="auto"/>
          <w:spacing w:val="-8"/>
          <w:sz w:val="24"/>
          <w:szCs w:val="24"/>
          <w:highlight w:val="none"/>
          <w:lang w:eastAsia="zh-CN"/>
        </w:rPr>
        <w:t>者不能确定相关信息真实、</w:t>
      </w:r>
      <w:r>
        <w:rPr>
          <w:rFonts w:hint="eastAsia" w:ascii="仿宋" w:hAnsi="仿宋" w:eastAsia="仿宋" w:cs="仿宋"/>
          <w:color w:val="auto"/>
          <w:spacing w:val="-3"/>
          <w:sz w:val="24"/>
          <w:szCs w:val="24"/>
          <w:highlight w:val="none"/>
          <w:lang w:eastAsia="zh-CN"/>
        </w:rPr>
        <w:t>准确的，不建议出具“中小企业声明函”。</w:t>
      </w:r>
    </w:p>
    <w:p w14:paraId="091874A8">
      <w:pPr>
        <w:spacing w:line="360" w:lineRule="auto"/>
        <w:ind w:left="23" w:right="80" w:firstLine="482"/>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2.鼓励供应商在投标（响应）时一并提供对货物制造商、服务承</w:t>
      </w:r>
      <w:r>
        <w:rPr>
          <w:rFonts w:hint="eastAsia" w:ascii="仿宋" w:hAnsi="仿宋" w:eastAsia="仿宋" w:cs="仿宋"/>
          <w:color w:val="auto"/>
          <w:spacing w:val="-4"/>
          <w:sz w:val="24"/>
          <w:szCs w:val="24"/>
          <w:highlight w:val="none"/>
          <w:lang w:eastAsia="zh-CN"/>
        </w:rPr>
        <w:t>接商、工程</w:t>
      </w:r>
      <w:r>
        <w:rPr>
          <w:rFonts w:hint="eastAsia" w:ascii="仿宋" w:hAnsi="仿宋" w:eastAsia="仿宋" w:cs="仿宋"/>
          <w:color w:val="auto"/>
          <w:spacing w:val="-1"/>
          <w:sz w:val="24"/>
          <w:szCs w:val="24"/>
          <w:highlight w:val="none"/>
          <w:lang w:eastAsia="zh-CN"/>
        </w:rPr>
        <w:t>承建商相关信息的核实核验情况以及其他佐证材料。</w:t>
      </w:r>
    </w:p>
    <w:p w14:paraId="1A6AABB5">
      <w:pPr>
        <w:spacing w:line="360" w:lineRule="auto"/>
        <w:ind w:left="22" w:right="18" w:firstLine="485"/>
        <w:rPr>
          <w:rFonts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lang w:eastAsia="zh-CN"/>
        </w:rPr>
        <w:t>3.如供应商提供的“中小企业声明函”存在按采购文件所属行业划</w:t>
      </w:r>
      <w:r>
        <w:rPr>
          <w:rFonts w:hint="eastAsia" w:ascii="仿宋" w:hAnsi="仿宋" w:eastAsia="仿宋" w:cs="仿宋"/>
          <w:color w:val="auto"/>
          <w:spacing w:val="-10"/>
          <w:sz w:val="24"/>
          <w:szCs w:val="24"/>
          <w:highlight w:val="none"/>
          <w:lang w:eastAsia="zh-CN"/>
        </w:rPr>
        <w:t>型不实的，</w:t>
      </w:r>
      <w:r>
        <w:rPr>
          <w:rFonts w:hint="eastAsia" w:ascii="仿宋" w:hAnsi="仿宋" w:eastAsia="仿宋" w:cs="仿宋"/>
          <w:color w:val="auto"/>
          <w:spacing w:val="-3"/>
          <w:sz w:val="24"/>
          <w:szCs w:val="24"/>
          <w:highlight w:val="none"/>
          <w:lang w:eastAsia="zh-CN"/>
        </w:rPr>
        <w:t>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w:t>
      </w:r>
      <w:r>
        <w:rPr>
          <w:rFonts w:hint="eastAsia" w:ascii="仿宋" w:hAnsi="仿宋" w:eastAsia="仿宋" w:cs="仿宋"/>
          <w:color w:val="auto"/>
          <w:spacing w:val="-2"/>
          <w:sz w:val="24"/>
          <w:szCs w:val="24"/>
          <w:highlight w:val="none"/>
          <w:lang w:eastAsia="zh-CN"/>
        </w:rPr>
        <w:t>刑事责任。</w:t>
      </w:r>
    </w:p>
    <w:p w14:paraId="79F7FB72">
      <w:pPr>
        <w:spacing w:line="355" w:lineRule="auto"/>
        <w:rPr>
          <w:rFonts w:ascii="仿宋" w:hAnsi="仿宋" w:eastAsia="仿宋" w:cs="仿宋"/>
          <w:color w:val="auto"/>
          <w:sz w:val="24"/>
          <w:szCs w:val="24"/>
          <w:highlight w:val="none"/>
          <w:lang w:eastAsia="zh-CN"/>
        </w:rPr>
      </w:pPr>
    </w:p>
    <w:p w14:paraId="284AE429">
      <w:pPr>
        <w:pageBreakBefore/>
        <w:spacing w:before="78" w:line="216" w:lineRule="auto"/>
        <w:ind w:left="40"/>
        <w:rPr>
          <w:rFonts w:ascii="仿宋" w:hAnsi="仿宋" w:eastAsia="仿宋" w:cs="仿宋"/>
          <w:color w:val="auto"/>
          <w:sz w:val="24"/>
          <w:szCs w:val="24"/>
          <w:highlight w:val="none"/>
          <w:lang w:eastAsia="zh-CN"/>
        </w:rPr>
      </w:pPr>
      <w:r>
        <w:rPr>
          <w:rFonts w:hint="eastAsia" w:ascii="仿宋" w:hAnsi="仿宋" w:eastAsia="仿宋" w:cs="仿宋"/>
          <w:b/>
          <w:bCs/>
          <w:color w:val="auto"/>
          <w:spacing w:val="-13"/>
          <w:sz w:val="24"/>
          <w:szCs w:val="24"/>
          <w:highlight w:val="none"/>
          <w:lang w:eastAsia="zh-CN"/>
        </w:rPr>
        <w:t>附件2：</w:t>
      </w:r>
    </w:p>
    <w:p w14:paraId="34B1E665">
      <w:pPr>
        <w:spacing w:before="123" w:line="184" w:lineRule="auto"/>
        <w:ind w:left="1453"/>
        <w:rPr>
          <w:rFonts w:ascii="仿宋" w:hAnsi="仿宋" w:eastAsia="仿宋" w:cs="仿宋"/>
          <w:color w:val="auto"/>
          <w:sz w:val="31"/>
          <w:szCs w:val="31"/>
          <w:highlight w:val="none"/>
          <w:lang w:eastAsia="zh-CN"/>
        </w:rPr>
      </w:pPr>
      <w:r>
        <w:rPr>
          <w:rFonts w:hint="eastAsia" w:ascii="仿宋" w:hAnsi="仿宋" w:eastAsia="仿宋" w:cs="仿宋"/>
          <w:color w:val="auto"/>
          <w:spacing w:val="9"/>
          <w:sz w:val="31"/>
          <w:szCs w:val="31"/>
          <w:highlight w:val="none"/>
          <w:lang w:eastAsia="zh-CN"/>
        </w:rPr>
        <w:t>关于印发中小企业划型标准规定的通知</w:t>
      </w:r>
    </w:p>
    <w:p w14:paraId="62CC06B5">
      <w:pPr>
        <w:spacing w:before="162" w:line="218" w:lineRule="auto"/>
        <w:ind w:left="2649"/>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工信部联企业〔2011〕300号</w:t>
      </w:r>
    </w:p>
    <w:p w14:paraId="01293B89">
      <w:pPr>
        <w:spacing w:before="74" w:line="218" w:lineRule="auto"/>
        <w:ind w:left="2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各省、自治区、直辖市人民政府，国务院各部委、各直属机构及有关单位：</w:t>
      </w:r>
    </w:p>
    <w:p w14:paraId="01750D62">
      <w:pPr>
        <w:spacing w:before="77" w:line="268" w:lineRule="auto"/>
        <w:ind w:left="23" w:right="80" w:firstLine="482"/>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为贯彻落实《中华人民共和国中小企业促进法》和《国务</w:t>
      </w:r>
      <w:r>
        <w:rPr>
          <w:rFonts w:hint="eastAsia" w:ascii="仿宋" w:hAnsi="仿宋" w:eastAsia="仿宋" w:cs="仿宋"/>
          <w:color w:val="auto"/>
          <w:spacing w:val="-4"/>
          <w:sz w:val="24"/>
          <w:szCs w:val="24"/>
          <w:highlight w:val="none"/>
          <w:lang w:eastAsia="zh-CN"/>
        </w:rPr>
        <w:t>院关于进一步促进</w:t>
      </w:r>
      <w:r>
        <w:rPr>
          <w:rFonts w:hint="eastAsia" w:ascii="仿宋" w:hAnsi="仿宋" w:eastAsia="仿宋" w:cs="仿宋"/>
          <w:color w:val="auto"/>
          <w:spacing w:val="-1"/>
          <w:sz w:val="24"/>
          <w:szCs w:val="24"/>
          <w:highlight w:val="none"/>
          <w:lang w:eastAsia="zh-CN"/>
        </w:rPr>
        <w:t>中小企业发展的若干意见》（国发〔2009〕36号</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1"/>
          <w:sz w:val="24"/>
          <w:szCs w:val="24"/>
          <w:highlight w:val="none"/>
          <w:lang w:eastAsia="zh-CN"/>
        </w:rPr>
        <w:t>工业和信息化部、</w:t>
      </w:r>
      <w:r>
        <w:rPr>
          <w:rFonts w:hint="eastAsia" w:ascii="仿宋" w:hAnsi="仿宋" w:eastAsia="仿宋" w:cs="仿宋"/>
          <w:color w:val="auto"/>
          <w:spacing w:val="-2"/>
          <w:sz w:val="24"/>
          <w:szCs w:val="24"/>
          <w:highlight w:val="none"/>
          <w:lang w:eastAsia="zh-CN"/>
        </w:rPr>
        <w:t>国家统</w:t>
      </w:r>
      <w:r>
        <w:rPr>
          <w:rFonts w:hint="eastAsia" w:ascii="仿宋" w:hAnsi="仿宋" w:eastAsia="仿宋" w:cs="仿宋"/>
          <w:color w:val="auto"/>
          <w:spacing w:val="-3"/>
          <w:sz w:val="24"/>
          <w:szCs w:val="24"/>
          <w:highlight w:val="none"/>
          <w:lang w:eastAsia="zh-CN"/>
        </w:rPr>
        <w:t>计局、发展改革委、财政部研究制定了《中小企业划型标准规定》。经国务院同</w:t>
      </w:r>
      <w:r>
        <w:rPr>
          <w:rFonts w:hint="eastAsia" w:ascii="仿宋" w:hAnsi="仿宋" w:eastAsia="仿宋" w:cs="仿宋"/>
          <w:color w:val="auto"/>
          <w:spacing w:val="-1"/>
          <w:sz w:val="24"/>
          <w:szCs w:val="24"/>
          <w:highlight w:val="none"/>
          <w:lang w:eastAsia="zh-CN"/>
        </w:rPr>
        <w:t>意，现印发给你们，请遵照执行。</w:t>
      </w:r>
    </w:p>
    <w:p w14:paraId="4B7FA388">
      <w:pPr>
        <w:spacing w:before="35" w:line="266" w:lineRule="auto"/>
        <w:ind w:left="4993" w:right="80" w:firstLine="219"/>
        <w:jc w:val="right"/>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工业和信息化部国家统计局</w:t>
      </w:r>
      <w:r>
        <w:rPr>
          <w:rFonts w:hint="eastAsia" w:ascii="仿宋" w:hAnsi="仿宋" w:eastAsia="仿宋" w:cs="仿宋"/>
          <w:color w:val="auto"/>
          <w:spacing w:val="-3"/>
          <w:sz w:val="24"/>
          <w:szCs w:val="24"/>
          <w:highlight w:val="none"/>
          <w:lang w:eastAsia="zh-CN"/>
        </w:rPr>
        <w:t>国家发展和改革委员会  财政部</w:t>
      </w:r>
      <w:r>
        <w:rPr>
          <w:rFonts w:hint="eastAsia" w:ascii="仿宋" w:hAnsi="仿宋" w:eastAsia="仿宋" w:cs="仿宋"/>
          <w:color w:val="auto"/>
          <w:spacing w:val="-2"/>
          <w:sz w:val="24"/>
          <w:szCs w:val="24"/>
          <w:highlight w:val="none"/>
          <w:lang w:eastAsia="zh-CN"/>
        </w:rPr>
        <w:t>二○一一年六月十八日</w:t>
      </w:r>
    </w:p>
    <w:p w14:paraId="4B517649">
      <w:pPr>
        <w:spacing w:line="273" w:lineRule="auto"/>
        <w:rPr>
          <w:rFonts w:ascii="仿宋" w:hAnsi="仿宋" w:eastAsia="仿宋" w:cs="仿宋"/>
          <w:color w:val="auto"/>
          <w:highlight w:val="none"/>
          <w:lang w:eastAsia="zh-CN"/>
        </w:rPr>
      </w:pPr>
    </w:p>
    <w:p w14:paraId="466D1249">
      <w:pPr>
        <w:spacing w:before="97" w:line="218" w:lineRule="auto"/>
        <w:ind w:left="2701"/>
        <w:rPr>
          <w:rFonts w:ascii="仿宋" w:hAnsi="仿宋" w:eastAsia="仿宋" w:cs="仿宋"/>
          <w:color w:val="auto"/>
          <w:sz w:val="30"/>
          <w:szCs w:val="30"/>
          <w:highlight w:val="none"/>
          <w:lang w:eastAsia="zh-CN"/>
        </w:rPr>
      </w:pPr>
      <w:r>
        <w:rPr>
          <w:rFonts w:hint="eastAsia" w:ascii="仿宋" w:hAnsi="仿宋" w:eastAsia="仿宋" w:cs="仿宋"/>
          <w:b/>
          <w:bCs/>
          <w:color w:val="auto"/>
          <w:spacing w:val="-7"/>
          <w:sz w:val="30"/>
          <w:szCs w:val="30"/>
          <w:highlight w:val="none"/>
          <w:lang w:eastAsia="zh-CN"/>
        </w:rPr>
        <w:t>中小企业划型标准规定</w:t>
      </w:r>
    </w:p>
    <w:p w14:paraId="0729969B">
      <w:pPr>
        <w:spacing w:before="96" w:line="261" w:lineRule="auto"/>
        <w:ind w:left="29" w:right="80" w:firstLine="477"/>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一、根据《中华人民共和国中小企业促进法》和《国务</w:t>
      </w:r>
      <w:r>
        <w:rPr>
          <w:rFonts w:hint="eastAsia" w:ascii="仿宋" w:hAnsi="仿宋" w:eastAsia="仿宋" w:cs="仿宋"/>
          <w:color w:val="auto"/>
          <w:spacing w:val="-4"/>
          <w:sz w:val="24"/>
          <w:szCs w:val="24"/>
          <w:highlight w:val="none"/>
          <w:lang w:eastAsia="zh-CN"/>
        </w:rPr>
        <w:t>院关于进一步促进中</w:t>
      </w:r>
      <w:r>
        <w:rPr>
          <w:rFonts w:hint="eastAsia" w:ascii="仿宋" w:hAnsi="仿宋" w:eastAsia="仿宋" w:cs="仿宋"/>
          <w:color w:val="auto"/>
          <w:spacing w:val="-3"/>
          <w:sz w:val="24"/>
          <w:szCs w:val="24"/>
          <w:highlight w:val="none"/>
          <w:lang w:eastAsia="zh-CN"/>
        </w:rPr>
        <w:t>小企业发展的若干意见》(国发〔2009〕36号)，制定本规定。</w:t>
      </w:r>
    </w:p>
    <w:p w14:paraId="6393424E">
      <w:pPr>
        <w:spacing w:before="114" w:line="264" w:lineRule="auto"/>
        <w:ind w:left="32" w:right="80" w:firstLine="474"/>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二、中小企业划分为中型、小型、微型三种类型，具体</w:t>
      </w:r>
      <w:r>
        <w:rPr>
          <w:rFonts w:hint="eastAsia" w:ascii="仿宋" w:hAnsi="仿宋" w:eastAsia="仿宋" w:cs="仿宋"/>
          <w:color w:val="auto"/>
          <w:spacing w:val="-4"/>
          <w:sz w:val="24"/>
          <w:szCs w:val="24"/>
          <w:highlight w:val="none"/>
          <w:lang w:eastAsia="zh-CN"/>
        </w:rPr>
        <w:t>标准根据企业从业人</w:t>
      </w:r>
      <w:r>
        <w:rPr>
          <w:rFonts w:hint="eastAsia" w:ascii="仿宋" w:hAnsi="仿宋" w:eastAsia="仿宋" w:cs="仿宋"/>
          <w:color w:val="auto"/>
          <w:spacing w:val="-1"/>
          <w:sz w:val="24"/>
          <w:szCs w:val="24"/>
          <w:highlight w:val="none"/>
          <w:lang w:eastAsia="zh-CN"/>
        </w:rPr>
        <w:t>员、营业收入、资产总额等指标，结合行业特点制定。</w:t>
      </w:r>
    </w:p>
    <w:p w14:paraId="521267CA">
      <w:pPr>
        <w:spacing w:before="116" w:line="292" w:lineRule="auto"/>
        <w:ind w:left="22"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三、本规定适用的行业包括：农、林、牧、渔业，工业（包括采</w:t>
      </w:r>
      <w:r>
        <w:rPr>
          <w:rFonts w:hint="eastAsia" w:ascii="仿宋" w:hAnsi="仿宋" w:eastAsia="仿宋" w:cs="仿宋"/>
          <w:color w:val="auto"/>
          <w:spacing w:val="-4"/>
          <w:sz w:val="24"/>
          <w:szCs w:val="24"/>
          <w:highlight w:val="none"/>
          <w:lang w:eastAsia="zh-CN"/>
        </w:rPr>
        <w:t>矿业，制造</w:t>
      </w:r>
      <w:r>
        <w:rPr>
          <w:rFonts w:hint="eastAsia" w:ascii="仿宋" w:hAnsi="仿宋" w:eastAsia="仿宋" w:cs="仿宋"/>
          <w:color w:val="auto"/>
          <w:spacing w:val="-3"/>
          <w:sz w:val="24"/>
          <w:szCs w:val="24"/>
          <w:highlight w:val="none"/>
          <w:lang w:eastAsia="zh-CN"/>
        </w:rPr>
        <w:t>业，电力、热力、燃气及水生产和供应业），建筑业，批发业，零售业，交通运输业（不含铁路运输业），仓储业，邮政业，住宿业，餐饮业，信息传输业（包</w:t>
      </w:r>
      <w:r>
        <w:rPr>
          <w:rFonts w:hint="eastAsia" w:ascii="仿宋" w:hAnsi="仿宋" w:eastAsia="仿宋" w:cs="仿宋"/>
          <w:color w:val="auto"/>
          <w:spacing w:val="-2"/>
          <w:sz w:val="24"/>
          <w:szCs w:val="24"/>
          <w:highlight w:val="none"/>
          <w:lang w:eastAsia="zh-CN"/>
        </w:rPr>
        <w:t>括电信、互联网和相关服务</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2"/>
          <w:sz w:val="24"/>
          <w:szCs w:val="24"/>
          <w:highlight w:val="none"/>
          <w:lang w:eastAsia="zh-CN"/>
        </w:rPr>
        <w:t>软件和信息技术服务业</w:t>
      </w:r>
      <w:r>
        <w:rPr>
          <w:rFonts w:hint="eastAsia" w:ascii="仿宋" w:hAnsi="仿宋" w:eastAsia="仿宋" w:cs="仿宋"/>
          <w:color w:val="auto"/>
          <w:spacing w:val="-3"/>
          <w:sz w:val="24"/>
          <w:szCs w:val="24"/>
          <w:highlight w:val="none"/>
          <w:lang w:eastAsia="zh-CN"/>
        </w:rPr>
        <w:t>，房地产开发经营，物业</w:t>
      </w:r>
      <w:r>
        <w:rPr>
          <w:rFonts w:hint="eastAsia" w:ascii="仿宋" w:hAnsi="仿宋" w:eastAsia="仿宋" w:cs="仿宋"/>
          <w:color w:val="auto"/>
          <w:spacing w:val="-7"/>
          <w:sz w:val="24"/>
          <w:szCs w:val="24"/>
          <w:highlight w:val="none"/>
          <w:lang w:eastAsia="zh-CN"/>
        </w:rPr>
        <w:t>管理，租赁和商务服务业，其他未列明行业（包括科学研</w:t>
      </w:r>
      <w:r>
        <w:rPr>
          <w:rFonts w:hint="eastAsia" w:ascii="仿宋" w:hAnsi="仿宋" w:eastAsia="仿宋" w:cs="仿宋"/>
          <w:color w:val="auto"/>
          <w:spacing w:val="-8"/>
          <w:sz w:val="24"/>
          <w:szCs w:val="24"/>
          <w:highlight w:val="none"/>
          <w:lang w:eastAsia="zh-CN"/>
        </w:rPr>
        <w:t>究和技术服务业，水利、</w:t>
      </w:r>
      <w:r>
        <w:rPr>
          <w:rFonts w:hint="eastAsia" w:ascii="仿宋" w:hAnsi="仿宋" w:eastAsia="仿宋" w:cs="仿宋"/>
          <w:color w:val="auto"/>
          <w:spacing w:val="-3"/>
          <w:sz w:val="24"/>
          <w:szCs w:val="24"/>
          <w:highlight w:val="none"/>
          <w:lang w:eastAsia="zh-CN"/>
        </w:rPr>
        <w:t>环境和公共设施管理业，居民服务、修理和其他服务业，社会工作，文化、体育</w:t>
      </w:r>
      <w:r>
        <w:rPr>
          <w:rFonts w:hint="eastAsia" w:ascii="仿宋" w:hAnsi="仿宋" w:eastAsia="仿宋" w:cs="仿宋"/>
          <w:color w:val="auto"/>
          <w:spacing w:val="-2"/>
          <w:sz w:val="24"/>
          <w:szCs w:val="24"/>
          <w:highlight w:val="none"/>
          <w:lang w:eastAsia="zh-CN"/>
        </w:rPr>
        <w:t>和娱乐业等）。</w:t>
      </w:r>
    </w:p>
    <w:p w14:paraId="63308C2E">
      <w:pPr>
        <w:spacing w:before="114" w:line="218" w:lineRule="auto"/>
        <w:ind w:left="52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四、各行业划型标准为：</w:t>
      </w:r>
    </w:p>
    <w:p w14:paraId="48763B65">
      <w:pPr>
        <w:spacing w:before="114" w:line="276" w:lineRule="auto"/>
        <w:ind w:left="27" w:right="80" w:firstLine="475"/>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（一）农、林、牧、渔业。营业收入20000万元以下的为中小微型企业。其</w:t>
      </w:r>
      <w:r>
        <w:rPr>
          <w:rFonts w:hint="eastAsia" w:ascii="仿宋" w:hAnsi="仿宋" w:eastAsia="仿宋" w:cs="仿宋"/>
          <w:color w:val="auto"/>
          <w:spacing w:val="-2"/>
          <w:sz w:val="24"/>
          <w:szCs w:val="24"/>
          <w:highlight w:val="none"/>
          <w:lang w:eastAsia="zh-CN"/>
        </w:rPr>
        <w:t>中，营业收入500万元及以上的为中型企业，营业收入50万元及以上的为小型</w:t>
      </w:r>
      <w:r>
        <w:rPr>
          <w:rFonts w:hint="eastAsia" w:ascii="仿宋" w:hAnsi="仿宋" w:eastAsia="仿宋" w:cs="仿宋"/>
          <w:color w:val="auto"/>
          <w:spacing w:val="-3"/>
          <w:sz w:val="24"/>
          <w:szCs w:val="24"/>
          <w:highlight w:val="none"/>
          <w:lang w:eastAsia="zh-CN"/>
        </w:rPr>
        <w:t>企业，营业收入50万元以下的为微型企业。</w:t>
      </w:r>
    </w:p>
    <w:p w14:paraId="3D8F2D4C">
      <w:pPr>
        <w:spacing w:before="114" w:line="285" w:lineRule="auto"/>
        <w:ind w:left="25" w:right="106" w:firstLine="489"/>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（二）工业。从业人员1000人以下或营业收入40</w:t>
      </w:r>
      <w:r>
        <w:rPr>
          <w:rFonts w:hint="eastAsia" w:ascii="仿宋" w:hAnsi="仿宋" w:eastAsia="仿宋" w:cs="仿宋"/>
          <w:color w:val="auto"/>
          <w:spacing w:val="-3"/>
          <w:sz w:val="24"/>
          <w:szCs w:val="24"/>
          <w:highlight w:val="none"/>
          <w:lang w:eastAsia="zh-CN"/>
        </w:rPr>
        <w:t>000万元以下的为中小微</w:t>
      </w:r>
      <w:r>
        <w:rPr>
          <w:rFonts w:hint="eastAsia" w:ascii="仿宋" w:hAnsi="仿宋" w:eastAsia="仿宋" w:cs="仿宋"/>
          <w:color w:val="auto"/>
          <w:spacing w:val="-2"/>
          <w:sz w:val="24"/>
          <w:szCs w:val="24"/>
          <w:highlight w:val="none"/>
          <w:lang w:eastAsia="zh-CN"/>
        </w:rPr>
        <w:t>型企业。其中，从业人员300人及以上，且营业收入2000万元及以上的为中型企业；从业人员20人及以上，且营业收入300万元及以上的为小型企业；从业</w:t>
      </w:r>
      <w:r>
        <w:rPr>
          <w:rFonts w:hint="eastAsia" w:ascii="仿宋" w:hAnsi="仿宋" w:eastAsia="仿宋" w:cs="仿宋"/>
          <w:color w:val="auto"/>
          <w:spacing w:val="-3"/>
          <w:sz w:val="24"/>
          <w:szCs w:val="24"/>
          <w:highlight w:val="none"/>
          <w:lang w:eastAsia="zh-CN"/>
        </w:rPr>
        <w:t>人员20人以下或营业收入300万元以下的为微型企业。</w:t>
      </w:r>
    </w:p>
    <w:p w14:paraId="52776B15">
      <w:pPr>
        <w:spacing w:before="115" w:line="261" w:lineRule="auto"/>
        <w:ind w:left="29" w:right="80" w:firstLine="45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（三）建筑业。营业收入80000万元以下或资产总额80000万元以下的为中小微型企业。其中，营业收入6000万元及以上，</w:t>
      </w:r>
      <w:r>
        <w:rPr>
          <w:rFonts w:hint="eastAsia" w:ascii="仿宋" w:hAnsi="仿宋" w:eastAsia="仿宋" w:cs="仿宋"/>
          <w:color w:val="auto"/>
          <w:spacing w:val="-5"/>
          <w:sz w:val="24"/>
          <w:szCs w:val="24"/>
          <w:highlight w:val="none"/>
          <w:lang w:eastAsia="zh-CN"/>
        </w:rPr>
        <w:t>且资产总额5000万元及以上的</w:t>
      </w:r>
      <w:r>
        <w:rPr>
          <w:rFonts w:hint="eastAsia" w:ascii="仿宋" w:hAnsi="仿宋" w:eastAsia="仿宋" w:cs="仿宋"/>
          <w:color w:val="auto"/>
          <w:spacing w:val="-4"/>
          <w:sz w:val="24"/>
          <w:szCs w:val="24"/>
          <w:highlight w:val="none"/>
          <w:lang w:eastAsia="zh-CN"/>
        </w:rPr>
        <w:t>为中型企业；营业收入300万元及以上，</w:t>
      </w:r>
      <w:r>
        <w:rPr>
          <w:rFonts w:hint="eastAsia" w:ascii="仿宋" w:hAnsi="仿宋" w:eastAsia="仿宋" w:cs="仿宋"/>
          <w:color w:val="auto"/>
          <w:spacing w:val="-5"/>
          <w:sz w:val="24"/>
          <w:szCs w:val="24"/>
          <w:highlight w:val="none"/>
          <w:lang w:eastAsia="zh-CN"/>
        </w:rPr>
        <w:t>且资产总额300万元及以上的为小型企</w:t>
      </w:r>
      <w:r>
        <w:rPr>
          <w:rFonts w:hint="eastAsia" w:ascii="仿宋" w:hAnsi="仿宋" w:eastAsia="仿宋" w:cs="仿宋"/>
          <w:color w:val="auto"/>
          <w:spacing w:val="-2"/>
          <w:sz w:val="24"/>
          <w:szCs w:val="24"/>
          <w:highlight w:val="none"/>
          <w:lang w:eastAsia="zh-CN"/>
        </w:rPr>
        <w:t>业；营业收入300万元以下或资产总额300万元以下的为微</w:t>
      </w:r>
      <w:r>
        <w:rPr>
          <w:rFonts w:hint="eastAsia" w:ascii="仿宋" w:hAnsi="仿宋" w:eastAsia="仿宋" w:cs="仿宋"/>
          <w:color w:val="auto"/>
          <w:spacing w:val="-3"/>
          <w:sz w:val="24"/>
          <w:szCs w:val="24"/>
          <w:highlight w:val="none"/>
          <w:lang w:eastAsia="zh-CN"/>
        </w:rPr>
        <w:t>型企业。</w:t>
      </w:r>
    </w:p>
    <w:p w14:paraId="44D1153C">
      <w:pPr>
        <w:spacing w:before="32" w:line="285" w:lineRule="auto"/>
        <w:ind w:left="22" w:right="58" w:firstLine="461"/>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（四）批发业。从业人员200人以下或营业收入40000万元以下的为中小微型企业。其中，从业人员20人及以上，且营业收入5000万元</w:t>
      </w:r>
      <w:r>
        <w:rPr>
          <w:rFonts w:hint="eastAsia" w:ascii="仿宋" w:hAnsi="仿宋" w:eastAsia="仿宋" w:cs="仿宋"/>
          <w:color w:val="auto"/>
          <w:spacing w:val="-5"/>
          <w:sz w:val="24"/>
          <w:szCs w:val="24"/>
          <w:highlight w:val="none"/>
          <w:lang w:eastAsia="zh-CN"/>
        </w:rPr>
        <w:t>及以上的为中型企</w:t>
      </w:r>
      <w:r>
        <w:rPr>
          <w:rFonts w:hint="eastAsia" w:ascii="仿宋" w:hAnsi="仿宋" w:eastAsia="仿宋" w:cs="仿宋"/>
          <w:color w:val="auto"/>
          <w:spacing w:val="-2"/>
          <w:sz w:val="24"/>
          <w:szCs w:val="24"/>
          <w:highlight w:val="none"/>
          <w:lang w:eastAsia="zh-CN"/>
        </w:rPr>
        <w:t>业；从业人员5人及以上，且营业收入1000万元及以上的为小型</w:t>
      </w:r>
      <w:r>
        <w:rPr>
          <w:rFonts w:hint="eastAsia" w:ascii="仿宋" w:hAnsi="仿宋" w:eastAsia="仿宋" w:cs="仿宋"/>
          <w:color w:val="auto"/>
          <w:spacing w:val="-3"/>
          <w:sz w:val="24"/>
          <w:szCs w:val="24"/>
          <w:highlight w:val="none"/>
          <w:lang w:eastAsia="zh-CN"/>
        </w:rPr>
        <w:t>企业；从业人员5人以下或营业收入1000万元以下的为微型</w:t>
      </w:r>
      <w:r>
        <w:rPr>
          <w:rFonts w:hint="eastAsia" w:ascii="仿宋" w:hAnsi="仿宋" w:eastAsia="仿宋" w:cs="仿宋"/>
          <w:color w:val="auto"/>
          <w:spacing w:val="-4"/>
          <w:sz w:val="24"/>
          <w:szCs w:val="24"/>
          <w:highlight w:val="none"/>
          <w:lang w:eastAsia="zh-CN"/>
        </w:rPr>
        <w:t>企业。</w:t>
      </w:r>
    </w:p>
    <w:p w14:paraId="0706D355">
      <w:pPr>
        <w:spacing w:before="111" w:line="285" w:lineRule="auto"/>
        <w:ind w:left="22" w:right="58" w:firstLine="461"/>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（五）零售业。从业人员300人以下或营业收入20000万元以下的为中小微</w:t>
      </w:r>
      <w:r>
        <w:rPr>
          <w:rFonts w:hint="eastAsia" w:ascii="仿宋" w:hAnsi="仿宋" w:eastAsia="仿宋" w:cs="仿宋"/>
          <w:color w:val="auto"/>
          <w:spacing w:val="-2"/>
          <w:sz w:val="24"/>
          <w:szCs w:val="24"/>
          <w:highlight w:val="none"/>
          <w:lang w:eastAsia="zh-CN"/>
        </w:rPr>
        <w:t>型企业。其中，从业人员50人及以上，且营业收入500万元及以上的为中型企</w:t>
      </w:r>
      <w:r>
        <w:rPr>
          <w:rFonts w:hint="eastAsia" w:ascii="仿宋" w:hAnsi="仿宋" w:eastAsia="仿宋" w:cs="仿宋"/>
          <w:color w:val="auto"/>
          <w:spacing w:val="-3"/>
          <w:sz w:val="24"/>
          <w:szCs w:val="24"/>
          <w:highlight w:val="none"/>
          <w:lang w:eastAsia="zh-CN"/>
        </w:rPr>
        <w:t>业；从业人员10人及以上，且营业收入100万元及以上的为小型企业；从业人</w:t>
      </w:r>
      <w:r>
        <w:rPr>
          <w:rFonts w:hint="eastAsia" w:ascii="仿宋" w:hAnsi="仿宋" w:eastAsia="仿宋" w:cs="仿宋"/>
          <w:color w:val="auto"/>
          <w:spacing w:val="-4"/>
          <w:sz w:val="24"/>
          <w:szCs w:val="24"/>
          <w:highlight w:val="none"/>
          <w:lang w:eastAsia="zh-CN"/>
        </w:rPr>
        <w:t>员10人以下或营业收入100万元以下的为微型企业。</w:t>
      </w:r>
    </w:p>
    <w:p w14:paraId="345E2ACC">
      <w:pPr>
        <w:spacing w:before="113" w:line="285" w:lineRule="auto"/>
        <w:ind w:left="26" w:firstLine="488"/>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（六）交通运输业。从业人员1000人以下或营业收入30000万元以下的为</w:t>
      </w:r>
      <w:r>
        <w:rPr>
          <w:rFonts w:hint="eastAsia" w:ascii="仿宋" w:hAnsi="仿宋" w:eastAsia="仿宋" w:cs="仿宋"/>
          <w:color w:val="auto"/>
          <w:spacing w:val="-2"/>
          <w:sz w:val="24"/>
          <w:szCs w:val="24"/>
          <w:highlight w:val="none"/>
          <w:lang w:eastAsia="zh-CN"/>
        </w:rPr>
        <w:t>中小微型企业。其中，从业人员300人及以上，且营业收入3000万元及以上的</w:t>
      </w:r>
      <w:r>
        <w:rPr>
          <w:rFonts w:hint="eastAsia" w:ascii="仿宋" w:hAnsi="仿宋" w:eastAsia="仿宋" w:cs="仿宋"/>
          <w:color w:val="auto"/>
          <w:spacing w:val="-6"/>
          <w:sz w:val="24"/>
          <w:szCs w:val="24"/>
          <w:highlight w:val="none"/>
          <w:lang w:eastAsia="zh-CN"/>
        </w:rPr>
        <w:t>为中型企业；从业人员20人及以上，且营业收入200万元及以上的为小型企业；</w:t>
      </w:r>
      <w:r>
        <w:rPr>
          <w:rFonts w:hint="eastAsia" w:ascii="仿宋" w:hAnsi="仿宋" w:eastAsia="仿宋" w:cs="仿宋"/>
          <w:color w:val="auto"/>
          <w:spacing w:val="-2"/>
          <w:sz w:val="24"/>
          <w:szCs w:val="24"/>
          <w:highlight w:val="none"/>
          <w:lang w:eastAsia="zh-CN"/>
        </w:rPr>
        <w:t>从业人员20人以下或营业收入200万元</w:t>
      </w:r>
      <w:r>
        <w:rPr>
          <w:rFonts w:hint="eastAsia" w:ascii="仿宋" w:hAnsi="仿宋" w:eastAsia="仿宋" w:cs="仿宋"/>
          <w:color w:val="auto"/>
          <w:spacing w:val="-3"/>
          <w:sz w:val="24"/>
          <w:szCs w:val="24"/>
          <w:highlight w:val="none"/>
          <w:lang w:eastAsia="zh-CN"/>
        </w:rPr>
        <w:t>以下的为微型企业。</w:t>
      </w:r>
    </w:p>
    <w:p w14:paraId="05487D7F">
      <w:pPr>
        <w:spacing w:before="113" w:line="285" w:lineRule="auto"/>
        <w:ind w:left="25" w:right="58" w:firstLine="458"/>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（七）仓储业。从业人员200人以下或营业收入30000万元以下的为中小微</w:t>
      </w:r>
      <w:r>
        <w:rPr>
          <w:rFonts w:hint="eastAsia" w:ascii="仿宋" w:hAnsi="仿宋" w:eastAsia="仿宋" w:cs="仿宋"/>
          <w:color w:val="auto"/>
          <w:spacing w:val="-3"/>
          <w:sz w:val="24"/>
          <w:szCs w:val="24"/>
          <w:highlight w:val="none"/>
          <w:lang w:eastAsia="zh-CN"/>
        </w:rPr>
        <w:t>型企业。其中，从业人员100人及以上，且营业收入1000万元及以上的为中型</w:t>
      </w:r>
      <w:r>
        <w:rPr>
          <w:rFonts w:hint="eastAsia" w:ascii="仿宋" w:hAnsi="仿宋" w:eastAsia="仿宋" w:cs="仿宋"/>
          <w:color w:val="auto"/>
          <w:spacing w:val="-2"/>
          <w:sz w:val="24"/>
          <w:szCs w:val="24"/>
          <w:highlight w:val="none"/>
          <w:lang w:eastAsia="zh-CN"/>
        </w:rPr>
        <w:t>企业；从业人员20人及以上，且营业收入100万元及以上的为</w:t>
      </w:r>
      <w:r>
        <w:rPr>
          <w:rFonts w:hint="eastAsia" w:ascii="仿宋" w:hAnsi="仿宋" w:eastAsia="仿宋" w:cs="仿宋"/>
          <w:color w:val="auto"/>
          <w:spacing w:val="-3"/>
          <w:sz w:val="24"/>
          <w:szCs w:val="24"/>
          <w:highlight w:val="none"/>
          <w:lang w:eastAsia="zh-CN"/>
        </w:rPr>
        <w:t>小型企业；从业人员20人以下或营业收入100万元以下的为微型企业。</w:t>
      </w:r>
    </w:p>
    <w:p w14:paraId="03A35A2C">
      <w:pPr>
        <w:spacing w:before="111" w:line="285" w:lineRule="auto"/>
        <w:ind w:left="22" w:right="85" w:firstLine="492"/>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（八）邮政业。从业人员1000人以下或营业收入30000万元以下的为中小</w:t>
      </w:r>
      <w:r>
        <w:rPr>
          <w:rFonts w:hint="eastAsia" w:ascii="仿宋" w:hAnsi="仿宋" w:eastAsia="仿宋" w:cs="仿宋"/>
          <w:color w:val="auto"/>
          <w:spacing w:val="-2"/>
          <w:sz w:val="24"/>
          <w:szCs w:val="24"/>
          <w:highlight w:val="none"/>
          <w:lang w:eastAsia="zh-CN"/>
        </w:rPr>
        <w:t>微型企业。其中，从业人员300人及以上，且营业收入2000万元及以上的为中型企业；从业人员20人及以上，且营业收入100万元及以上的为小型</w:t>
      </w:r>
      <w:r>
        <w:rPr>
          <w:rFonts w:hint="eastAsia" w:ascii="仿宋" w:hAnsi="仿宋" w:eastAsia="仿宋" w:cs="仿宋"/>
          <w:color w:val="auto"/>
          <w:spacing w:val="-3"/>
          <w:sz w:val="24"/>
          <w:szCs w:val="24"/>
          <w:highlight w:val="none"/>
          <w:lang w:eastAsia="zh-CN"/>
        </w:rPr>
        <w:t>企业；从业人员20人以下或营业收入100万元以下的为微型企业。</w:t>
      </w:r>
    </w:p>
    <w:p w14:paraId="4BF9A8B5">
      <w:pPr>
        <w:spacing w:before="114" w:line="285" w:lineRule="auto"/>
        <w:ind w:left="25" w:right="58" w:firstLine="458"/>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（九）住宿业。从业人员300人以下或营业收入10000万</w:t>
      </w:r>
      <w:r>
        <w:rPr>
          <w:rFonts w:hint="eastAsia" w:ascii="仿宋" w:hAnsi="仿宋" w:eastAsia="仿宋" w:cs="仿宋"/>
          <w:color w:val="auto"/>
          <w:spacing w:val="-5"/>
          <w:sz w:val="24"/>
          <w:szCs w:val="24"/>
          <w:highlight w:val="none"/>
          <w:lang w:eastAsia="zh-CN"/>
        </w:rPr>
        <w:t>元以下的为中小微</w:t>
      </w:r>
      <w:r>
        <w:rPr>
          <w:rFonts w:hint="eastAsia" w:ascii="仿宋" w:hAnsi="仿宋" w:eastAsia="仿宋" w:cs="仿宋"/>
          <w:color w:val="auto"/>
          <w:spacing w:val="-2"/>
          <w:sz w:val="24"/>
          <w:szCs w:val="24"/>
          <w:highlight w:val="none"/>
          <w:lang w:eastAsia="zh-CN"/>
        </w:rPr>
        <w:t>型企业。其中，从业人员100人及以上，且营业收入2000万元及以</w:t>
      </w:r>
      <w:r>
        <w:rPr>
          <w:rFonts w:hint="eastAsia" w:ascii="仿宋" w:hAnsi="仿宋" w:eastAsia="仿宋" w:cs="仿宋"/>
          <w:color w:val="auto"/>
          <w:spacing w:val="-3"/>
          <w:sz w:val="24"/>
          <w:szCs w:val="24"/>
          <w:highlight w:val="none"/>
          <w:lang w:eastAsia="zh-CN"/>
        </w:rPr>
        <w:t>上的为中型企业；从业人员10人及以上，且营业收入100万元及以上的为小型企业；从业</w:t>
      </w:r>
      <w:r>
        <w:rPr>
          <w:rFonts w:hint="eastAsia" w:ascii="仿宋" w:hAnsi="仿宋" w:eastAsia="仿宋" w:cs="仿宋"/>
          <w:color w:val="auto"/>
          <w:spacing w:val="-4"/>
          <w:sz w:val="24"/>
          <w:szCs w:val="24"/>
          <w:highlight w:val="none"/>
          <w:lang w:eastAsia="zh-CN"/>
        </w:rPr>
        <w:t>人员10人以下或营业收入100万元以下的为微型企业。</w:t>
      </w:r>
    </w:p>
    <w:p w14:paraId="52119D83">
      <w:pPr>
        <w:spacing w:before="113" w:line="285" w:lineRule="auto"/>
        <w:ind w:left="25" w:right="58" w:firstLine="458"/>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（十）餐饮业。从业人员300人以下或营业收入10000万</w:t>
      </w:r>
      <w:r>
        <w:rPr>
          <w:rFonts w:hint="eastAsia" w:ascii="仿宋" w:hAnsi="仿宋" w:eastAsia="仿宋" w:cs="仿宋"/>
          <w:color w:val="auto"/>
          <w:spacing w:val="-5"/>
          <w:sz w:val="24"/>
          <w:szCs w:val="24"/>
          <w:highlight w:val="none"/>
          <w:lang w:eastAsia="zh-CN"/>
        </w:rPr>
        <w:t>元以下的为中小微</w:t>
      </w:r>
      <w:r>
        <w:rPr>
          <w:rFonts w:hint="eastAsia" w:ascii="仿宋" w:hAnsi="仿宋" w:eastAsia="仿宋" w:cs="仿宋"/>
          <w:color w:val="auto"/>
          <w:spacing w:val="-2"/>
          <w:sz w:val="24"/>
          <w:szCs w:val="24"/>
          <w:highlight w:val="none"/>
          <w:lang w:eastAsia="zh-CN"/>
        </w:rPr>
        <w:t>型企业。其中，从业人员100人及以上，且营业收入2000万元及以</w:t>
      </w:r>
      <w:r>
        <w:rPr>
          <w:rFonts w:hint="eastAsia" w:ascii="仿宋" w:hAnsi="仿宋" w:eastAsia="仿宋" w:cs="仿宋"/>
          <w:color w:val="auto"/>
          <w:spacing w:val="-3"/>
          <w:sz w:val="24"/>
          <w:szCs w:val="24"/>
          <w:highlight w:val="none"/>
          <w:lang w:eastAsia="zh-CN"/>
        </w:rPr>
        <w:t>上的为中型企业；从业人员10人及以上，且营业收入100万元及以上的为小型企业；从业</w:t>
      </w:r>
      <w:r>
        <w:rPr>
          <w:rFonts w:hint="eastAsia" w:ascii="仿宋" w:hAnsi="仿宋" w:eastAsia="仿宋" w:cs="仿宋"/>
          <w:color w:val="auto"/>
          <w:spacing w:val="-4"/>
          <w:sz w:val="24"/>
          <w:szCs w:val="24"/>
          <w:highlight w:val="none"/>
          <w:lang w:eastAsia="zh-CN"/>
        </w:rPr>
        <w:t>人员10人以下或营业收入100万元以下的为微型企业。</w:t>
      </w:r>
    </w:p>
    <w:p w14:paraId="7AEABA7A">
      <w:pPr>
        <w:spacing w:before="114" w:line="300" w:lineRule="auto"/>
        <w:ind w:left="22" w:right="58" w:firstLine="461"/>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（十一）信息传输业。从业人员2000人以下或营业收入100000万元以</w:t>
      </w:r>
      <w:r>
        <w:rPr>
          <w:rFonts w:hint="eastAsia" w:ascii="仿宋" w:hAnsi="仿宋" w:eastAsia="仿宋" w:cs="仿宋"/>
          <w:color w:val="auto"/>
          <w:spacing w:val="-5"/>
          <w:sz w:val="24"/>
          <w:szCs w:val="24"/>
          <w:highlight w:val="none"/>
          <w:lang w:eastAsia="zh-CN"/>
        </w:rPr>
        <w:t>下的</w:t>
      </w:r>
      <w:r>
        <w:rPr>
          <w:rFonts w:hint="eastAsia" w:ascii="仿宋" w:hAnsi="仿宋" w:eastAsia="仿宋" w:cs="仿宋"/>
          <w:color w:val="auto"/>
          <w:spacing w:val="-2"/>
          <w:sz w:val="24"/>
          <w:szCs w:val="24"/>
          <w:highlight w:val="none"/>
          <w:lang w:eastAsia="zh-CN"/>
        </w:rPr>
        <w:t>为中小微型企业。其中，从业人员100人及</w:t>
      </w:r>
      <w:r>
        <w:rPr>
          <w:rFonts w:hint="eastAsia" w:ascii="仿宋" w:hAnsi="仿宋" w:eastAsia="仿宋" w:cs="仿宋"/>
          <w:color w:val="auto"/>
          <w:spacing w:val="-3"/>
          <w:sz w:val="24"/>
          <w:szCs w:val="24"/>
          <w:highlight w:val="none"/>
          <w:lang w:eastAsia="zh-CN"/>
        </w:rPr>
        <w:t>以上，且营业收入1000万元及以上的为中型企业；从业人员10人及以上，且营业收入100万元及以上的为小型企业；从业人员10人以下或营业收入100万元以下的为微型企业。</w:t>
      </w:r>
    </w:p>
    <w:p w14:paraId="7B9CE22B">
      <w:pPr>
        <w:spacing w:before="78" w:line="300" w:lineRule="auto"/>
        <w:ind w:left="26" w:right="37" w:firstLine="488"/>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（十二）软件和信息技术服务业。从业人员300人以下或营业收入</w:t>
      </w:r>
      <w:r>
        <w:rPr>
          <w:rFonts w:hint="eastAsia" w:ascii="仿宋" w:hAnsi="仿宋" w:eastAsia="仿宋" w:cs="仿宋"/>
          <w:color w:val="auto"/>
          <w:spacing w:val="-3"/>
          <w:sz w:val="24"/>
          <w:szCs w:val="24"/>
          <w:highlight w:val="none"/>
          <w:lang w:eastAsia="zh-CN"/>
        </w:rPr>
        <w:t>10000</w:t>
      </w:r>
      <w:r>
        <w:rPr>
          <w:rFonts w:hint="eastAsia" w:ascii="仿宋" w:hAnsi="仿宋" w:eastAsia="仿宋" w:cs="仿宋"/>
          <w:color w:val="auto"/>
          <w:spacing w:val="-2"/>
          <w:sz w:val="24"/>
          <w:szCs w:val="24"/>
          <w:highlight w:val="none"/>
          <w:lang w:eastAsia="zh-CN"/>
        </w:rPr>
        <w:t>万元以下的为中小微型企业。其中，从业人员100人及以上，且营业收</w:t>
      </w:r>
      <w:r>
        <w:rPr>
          <w:rFonts w:hint="eastAsia" w:ascii="仿宋" w:hAnsi="仿宋" w:eastAsia="仿宋" w:cs="仿宋"/>
          <w:color w:val="auto"/>
          <w:spacing w:val="-3"/>
          <w:sz w:val="24"/>
          <w:szCs w:val="24"/>
          <w:highlight w:val="none"/>
          <w:lang w:eastAsia="zh-CN"/>
        </w:rPr>
        <w:t>入1000</w:t>
      </w:r>
      <w:r>
        <w:rPr>
          <w:rFonts w:hint="eastAsia" w:ascii="仿宋" w:hAnsi="仿宋" w:eastAsia="仿宋" w:cs="仿宋"/>
          <w:color w:val="auto"/>
          <w:spacing w:val="-5"/>
          <w:sz w:val="24"/>
          <w:szCs w:val="24"/>
          <w:highlight w:val="none"/>
          <w:lang w:eastAsia="zh-CN"/>
        </w:rPr>
        <w:t>万元及以上的为中型企业；从业人员10人及以上，且营业收入50万元及以上的</w:t>
      </w:r>
      <w:r>
        <w:rPr>
          <w:rFonts w:hint="eastAsia" w:ascii="仿宋" w:hAnsi="仿宋" w:eastAsia="仿宋" w:cs="仿宋"/>
          <w:color w:val="auto"/>
          <w:spacing w:val="-3"/>
          <w:sz w:val="24"/>
          <w:szCs w:val="24"/>
          <w:highlight w:val="none"/>
          <w:lang w:eastAsia="zh-CN"/>
        </w:rPr>
        <w:t>为小型企业；从业人员10人以下或营业收入50万元以下的为微型企业。</w:t>
      </w:r>
    </w:p>
    <w:p w14:paraId="1DF7CA08">
      <w:pPr>
        <w:spacing w:before="32" w:line="304" w:lineRule="auto"/>
        <w:ind w:left="25" w:right="37" w:firstLine="489"/>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（十三）房地产开发经营。营业收入200</w:t>
      </w:r>
      <w:r>
        <w:rPr>
          <w:rFonts w:hint="eastAsia" w:ascii="仿宋" w:hAnsi="仿宋" w:eastAsia="仿宋" w:cs="仿宋"/>
          <w:color w:val="auto"/>
          <w:spacing w:val="-3"/>
          <w:sz w:val="24"/>
          <w:szCs w:val="24"/>
          <w:highlight w:val="none"/>
          <w:lang w:eastAsia="zh-CN"/>
        </w:rPr>
        <w:t>000万元以下或资产总额10000万元以下的为中小微型企业。其中，营业收入1000万元及以上，且资产总额5000</w:t>
      </w:r>
      <w:r>
        <w:rPr>
          <w:rFonts w:hint="eastAsia" w:ascii="仿宋" w:hAnsi="仿宋" w:eastAsia="仿宋" w:cs="仿宋"/>
          <w:color w:val="auto"/>
          <w:spacing w:val="-2"/>
          <w:sz w:val="24"/>
          <w:szCs w:val="24"/>
          <w:highlight w:val="none"/>
          <w:lang w:eastAsia="zh-CN"/>
        </w:rPr>
        <w:t>万元及以上的为中型企业；营业收入100万元及以上，且资产总</w:t>
      </w:r>
      <w:r>
        <w:rPr>
          <w:rFonts w:hint="eastAsia" w:ascii="仿宋" w:hAnsi="仿宋" w:eastAsia="仿宋" w:cs="仿宋"/>
          <w:color w:val="auto"/>
          <w:spacing w:val="-3"/>
          <w:sz w:val="24"/>
          <w:szCs w:val="24"/>
          <w:highlight w:val="none"/>
          <w:lang w:eastAsia="zh-CN"/>
        </w:rPr>
        <w:t>额2000万元及</w:t>
      </w:r>
      <w:r>
        <w:rPr>
          <w:rFonts w:hint="eastAsia" w:ascii="仿宋" w:hAnsi="仿宋" w:eastAsia="仿宋" w:cs="仿宋"/>
          <w:color w:val="auto"/>
          <w:spacing w:val="-2"/>
          <w:sz w:val="24"/>
          <w:szCs w:val="24"/>
          <w:highlight w:val="none"/>
          <w:lang w:eastAsia="zh-CN"/>
        </w:rPr>
        <w:t>以上的为小型企业；营业收入100万元以下或资产总额2000</w:t>
      </w:r>
      <w:r>
        <w:rPr>
          <w:rFonts w:hint="eastAsia" w:ascii="仿宋" w:hAnsi="仿宋" w:eastAsia="仿宋" w:cs="仿宋"/>
          <w:color w:val="auto"/>
          <w:spacing w:val="-3"/>
          <w:sz w:val="24"/>
          <w:szCs w:val="24"/>
          <w:highlight w:val="none"/>
          <w:lang w:eastAsia="zh-CN"/>
        </w:rPr>
        <w:t>万元以下的为微型</w:t>
      </w:r>
      <w:r>
        <w:rPr>
          <w:rFonts w:hint="eastAsia" w:ascii="仿宋" w:hAnsi="仿宋" w:eastAsia="仿宋" w:cs="仿宋"/>
          <w:color w:val="auto"/>
          <w:spacing w:val="-4"/>
          <w:sz w:val="24"/>
          <w:szCs w:val="24"/>
          <w:highlight w:val="none"/>
          <w:lang w:eastAsia="zh-CN"/>
        </w:rPr>
        <w:t>企业。</w:t>
      </w:r>
    </w:p>
    <w:p w14:paraId="06022C84">
      <w:pPr>
        <w:spacing w:before="19" w:line="300" w:lineRule="auto"/>
        <w:ind w:left="26" w:right="5" w:firstLine="457"/>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（十四）物业管理。从业人员1000人以下或营业收入500</w:t>
      </w:r>
      <w:r>
        <w:rPr>
          <w:rFonts w:hint="eastAsia" w:ascii="仿宋" w:hAnsi="仿宋" w:eastAsia="仿宋" w:cs="仿宋"/>
          <w:color w:val="auto"/>
          <w:spacing w:val="-5"/>
          <w:sz w:val="24"/>
          <w:szCs w:val="24"/>
          <w:highlight w:val="none"/>
          <w:lang w:eastAsia="zh-CN"/>
        </w:rPr>
        <w:t>0万元以下的为中</w:t>
      </w:r>
      <w:r>
        <w:rPr>
          <w:rFonts w:hint="eastAsia" w:ascii="仿宋" w:hAnsi="仿宋" w:eastAsia="仿宋" w:cs="仿宋"/>
          <w:color w:val="auto"/>
          <w:spacing w:val="-2"/>
          <w:sz w:val="24"/>
          <w:szCs w:val="24"/>
          <w:highlight w:val="none"/>
          <w:lang w:eastAsia="zh-CN"/>
        </w:rPr>
        <w:t>小微型企业。其中，从业人员300人及以上，且营业收入1000</w:t>
      </w:r>
      <w:r>
        <w:rPr>
          <w:rFonts w:hint="eastAsia" w:ascii="仿宋" w:hAnsi="仿宋" w:eastAsia="仿宋" w:cs="仿宋"/>
          <w:color w:val="auto"/>
          <w:spacing w:val="-3"/>
          <w:sz w:val="24"/>
          <w:szCs w:val="24"/>
          <w:highlight w:val="none"/>
          <w:lang w:eastAsia="zh-CN"/>
        </w:rPr>
        <w:t>万元及以上的为</w:t>
      </w:r>
      <w:r>
        <w:rPr>
          <w:rFonts w:hint="eastAsia" w:ascii="仿宋" w:hAnsi="仿宋" w:eastAsia="仿宋" w:cs="仿宋"/>
          <w:color w:val="auto"/>
          <w:spacing w:val="-4"/>
          <w:sz w:val="24"/>
          <w:szCs w:val="24"/>
          <w:highlight w:val="none"/>
          <w:lang w:eastAsia="zh-CN"/>
        </w:rPr>
        <w:t>中型企业；从业人员100人及以上，且营业收入500万元及以上的为小型企业；</w:t>
      </w:r>
      <w:r>
        <w:rPr>
          <w:rFonts w:hint="eastAsia" w:ascii="仿宋" w:hAnsi="仿宋" w:eastAsia="仿宋" w:cs="仿宋"/>
          <w:color w:val="auto"/>
          <w:spacing w:val="-3"/>
          <w:sz w:val="24"/>
          <w:szCs w:val="24"/>
          <w:highlight w:val="none"/>
          <w:lang w:eastAsia="zh-CN"/>
        </w:rPr>
        <w:t>从业人员100人以下或营业收入500万元以下的为微型企业。</w:t>
      </w:r>
    </w:p>
    <w:p w14:paraId="57539F88">
      <w:pPr>
        <w:spacing w:before="35" w:line="300" w:lineRule="auto"/>
        <w:ind w:left="22" w:right="63" w:firstLine="492"/>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（十五）租赁和商务服务业。从业人员300人以下或资产总额120000万元</w:t>
      </w:r>
      <w:r>
        <w:rPr>
          <w:rFonts w:hint="eastAsia" w:ascii="仿宋" w:hAnsi="仿宋" w:eastAsia="仿宋" w:cs="仿宋"/>
          <w:color w:val="auto"/>
          <w:spacing w:val="-2"/>
          <w:sz w:val="24"/>
          <w:szCs w:val="24"/>
          <w:highlight w:val="none"/>
          <w:lang w:eastAsia="zh-CN"/>
        </w:rPr>
        <w:t>以下的为中小微型企业。其中，从业人员100人及以上，且资产总额8000万元</w:t>
      </w:r>
      <w:r>
        <w:rPr>
          <w:rFonts w:hint="eastAsia" w:ascii="仿宋" w:hAnsi="仿宋" w:eastAsia="仿宋" w:cs="仿宋"/>
          <w:color w:val="auto"/>
          <w:spacing w:val="-3"/>
          <w:sz w:val="24"/>
          <w:szCs w:val="24"/>
          <w:highlight w:val="none"/>
          <w:lang w:eastAsia="zh-CN"/>
        </w:rPr>
        <w:t>及以上的为中型企业；从业人员10人及以上，且资产总额100万元及以上的为小型企业；从业人员10人以下或资产总额100万元以下的为微型企业。</w:t>
      </w:r>
    </w:p>
    <w:p w14:paraId="1700C780">
      <w:pPr>
        <w:spacing w:before="33" w:line="297" w:lineRule="auto"/>
        <w:ind w:left="22" w:firstLine="494"/>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（十六）其他未列明行业。从业人员300人以下的为中小微型企业</w:t>
      </w:r>
      <w:r>
        <w:rPr>
          <w:rFonts w:hint="eastAsia" w:ascii="仿宋" w:hAnsi="仿宋" w:eastAsia="仿宋" w:cs="仿宋"/>
          <w:color w:val="auto"/>
          <w:spacing w:val="-4"/>
          <w:sz w:val="24"/>
          <w:szCs w:val="24"/>
          <w:highlight w:val="none"/>
          <w:lang w:eastAsia="zh-CN"/>
        </w:rPr>
        <w:t>。其中，</w:t>
      </w:r>
      <w:r>
        <w:rPr>
          <w:rFonts w:hint="eastAsia" w:ascii="仿宋" w:hAnsi="仿宋" w:eastAsia="仿宋" w:cs="仿宋"/>
          <w:color w:val="auto"/>
          <w:spacing w:val="-2"/>
          <w:sz w:val="24"/>
          <w:szCs w:val="24"/>
          <w:highlight w:val="none"/>
          <w:lang w:eastAsia="zh-CN"/>
        </w:rPr>
        <w:t>从业人员100人及以上的为中型企业；从业人</w:t>
      </w:r>
      <w:r>
        <w:rPr>
          <w:rFonts w:hint="eastAsia" w:ascii="仿宋" w:hAnsi="仿宋" w:eastAsia="仿宋" w:cs="仿宋"/>
          <w:color w:val="auto"/>
          <w:spacing w:val="-3"/>
          <w:sz w:val="24"/>
          <w:szCs w:val="24"/>
          <w:highlight w:val="none"/>
          <w:lang w:eastAsia="zh-CN"/>
        </w:rPr>
        <w:t>员10人及以上的为小型企业；从</w:t>
      </w:r>
      <w:r>
        <w:rPr>
          <w:rFonts w:hint="eastAsia" w:ascii="仿宋" w:hAnsi="仿宋" w:eastAsia="仿宋" w:cs="仿宋"/>
          <w:color w:val="auto"/>
          <w:spacing w:val="-4"/>
          <w:sz w:val="24"/>
          <w:szCs w:val="24"/>
          <w:highlight w:val="none"/>
          <w:lang w:eastAsia="zh-CN"/>
        </w:rPr>
        <w:t>业人员10人以下的为微型企业。</w:t>
      </w:r>
    </w:p>
    <w:p w14:paraId="2E12FC31">
      <w:pPr>
        <w:spacing w:before="36" w:line="218" w:lineRule="auto"/>
        <w:ind w:left="509"/>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五、企业类型的划分以统计部门的统计数据为依据。</w:t>
      </w:r>
    </w:p>
    <w:p w14:paraId="1024DE1F">
      <w:pPr>
        <w:spacing w:before="115" w:line="261" w:lineRule="auto"/>
        <w:ind w:left="26" w:right="37" w:firstLine="479"/>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六、本规定适用于在中华人民共和国境内依法设立的各类所</w:t>
      </w:r>
      <w:r>
        <w:rPr>
          <w:rFonts w:hint="eastAsia" w:ascii="仿宋" w:hAnsi="仿宋" w:eastAsia="仿宋" w:cs="仿宋"/>
          <w:color w:val="auto"/>
          <w:spacing w:val="-4"/>
          <w:sz w:val="24"/>
          <w:szCs w:val="24"/>
          <w:highlight w:val="none"/>
          <w:lang w:eastAsia="zh-CN"/>
        </w:rPr>
        <w:t>有制和各种组织</w:t>
      </w:r>
      <w:r>
        <w:rPr>
          <w:rFonts w:hint="eastAsia" w:ascii="仿宋" w:hAnsi="仿宋" w:eastAsia="仿宋" w:cs="仿宋"/>
          <w:color w:val="auto"/>
          <w:spacing w:val="-1"/>
          <w:sz w:val="24"/>
          <w:szCs w:val="24"/>
          <w:highlight w:val="none"/>
          <w:lang w:eastAsia="zh-CN"/>
        </w:rPr>
        <w:t>形式的企业。个体工商户和本规定以外的行业，参照本规定进行划型。</w:t>
      </w:r>
    </w:p>
    <w:p w14:paraId="6C8D2D75">
      <w:pPr>
        <w:spacing w:before="116" w:line="276" w:lineRule="auto"/>
        <w:ind w:left="24" w:right="37" w:firstLine="478"/>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七、本规定的中型企业标准上限即为大型企业标准的下限，国家</w:t>
      </w:r>
      <w:r>
        <w:rPr>
          <w:rFonts w:hint="eastAsia" w:ascii="仿宋" w:hAnsi="仿宋" w:eastAsia="仿宋" w:cs="仿宋"/>
          <w:color w:val="auto"/>
          <w:spacing w:val="-4"/>
          <w:sz w:val="24"/>
          <w:szCs w:val="24"/>
          <w:highlight w:val="none"/>
          <w:lang w:eastAsia="zh-CN"/>
        </w:rPr>
        <w:t>统计部门据</w:t>
      </w:r>
      <w:r>
        <w:rPr>
          <w:rFonts w:hint="eastAsia" w:ascii="仿宋" w:hAnsi="仿宋" w:eastAsia="仿宋" w:cs="仿宋"/>
          <w:color w:val="auto"/>
          <w:spacing w:val="-3"/>
          <w:sz w:val="24"/>
          <w:szCs w:val="24"/>
          <w:highlight w:val="none"/>
          <w:lang w:eastAsia="zh-CN"/>
        </w:rPr>
        <w:t>此制定大中小微型企业的统计分类。国务院有关部门据此进行相关数据分析，不</w:t>
      </w:r>
      <w:r>
        <w:rPr>
          <w:rFonts w:hint="eastAsia" w:ascii="仿宋" w:hAnsi="仿宋" w:eastAsia="仿宋" w:cs="仿宋"/>
          <w:color w:val="auto"/>
          <w:spacing w:val="-1"/>
          <w:sz w:val="24"/>
          <w:szCs w:val="24"/>
          <w:highlight w:val="none"/>
          <w:lang w:eastAsia="zh-CN"/>
        </w:rPr>
        <w:t>得制定与本规定不一致的企业划型标准。</w:t>
      </w:r>
    </w:p>
    <w:p w14:paraId="0495C80B">
      <w:pPr>
        <w:spacing w:before="116" w:line="261" w:lineRule="auto"/>
        <w:ind w:left="22" w:right="37" w:firstLine="484"/>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八、本规定由工业和信息化部、国家统计局会同有关部</w:t>
      </w:r>
      <w:r>
        <w:rPr>
          <w:rFonts w:hint="eastAsia" w:ascii="仿宋" w:hAnsi="仿宋" w:eastAsia="仿宋" w:cs="仿宋"/>
          <w:color w:val="auto"/>
          <w:spacing w:val="-4"/>
          <w:sz w:val="24"/>
          <w:szCs w:val="24"/>
          <w:highlight w:val="none"/>
          <w:lang w:eastAsia="zh-CN"/>
        </w:rPr>
        <w:t>门根据《国民经济行</w:t>
      </w:r>
      <w:r>
        <w:rPr>
          <w:rFonts w:hint="eastAsia" w:ascii="仿宋" w:hAnsi="仿宋" w:eastAsia="仿宋" w:cs="仿宋"/>
          <w:color w:val="auto"/>
          <w:spacing w:val="-1"/>
          <w:sz w:val="24"/>
          <w:szCs w:val="24"/>
          <w:highlight w:val="none"/>
          <w:lang w:eastAsia="zh-CN"/>
        </w:rPr>
        <w:t>业分类》修订情况和企业发展变化情况适时修订。</w:t>
      </w:r>
    </w:p>
    <w:p w14:paraId="6A132578">
      <w:pPr>
        <w:spacing w:before="116" w:line="276" w:lineRule="auto"/>
        <w:ind w:left="24" w:right="37" w:firstLine="478"/>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九、本规定由工业和信息化部、国家统计局会同有关部门负责解释。</w:t>
      </w:r>
    </w:p>
    <w:p w14:paraId="7F73C1C8">
      <w:pPr>
        <w:spacing w:before="116" w:line="276" w:lineRule="auto"/>
        <w:ind w:left="24" w:right="37" w:firstLine="478"/>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十、本规定自发布之日起执行，原国家经贸委、原国家计委、财政部和国家统计局2003年颁布的《中小企业标准暂行规定》同时废止。</w:t>
      </w:r>
    </w:p>
    <w:p w14:paraId="5120710D">
      <w:pPr>
        <w:spacing w:line="285" w:lineRule="auto"/>
        <w:rPr>
          <w:rFonts w:ascii="仿宋" w:hAnsi="仿宋" w:eastAsia="仿宋" w:cs="仿宋"/>
          <w:color w:val="auto"/>
          <w:highlight w:val="none"/>
          <w:lang w:eastAsia="zh-CN"/>
        </w:rPr>
      </w:pPr>
    </w:p>
    <w:p w14:paraId="6A0EED54">
      <w:pPr>
        <w:pageBreakBefore/>
        <w:spacing w:before="97" w:line="216" w:lineRule="auto"/>
        <w:ind w:left="40"/>
        <w:outlineLvl w:val="2"/>
        <w:rPr>
          <w:rFonts w:ascii="仿宋" w:hAnsi="仿宋" w:eastAsia="仿宋" w:cs="仿宋"/>
          <w:color w:val="auto"/>
          <w:sz w:val="30"/>
          <w:szCs w:val="30"/>
          <w:highlight w:val="none"/>
          <w:lang w:eastAsia="zh-CN"/>
        </w:rPr>
      </w:pPr>
      <w:r>
        <w:rPr>
          <w:rFonts w:hint="eastAsia" w:ascii="仿宋" w:hAnsi="仿宋" w:eastAsia="仿宋" w:cs="仿宋"/>
          <w:b/>
          <w:bCs/>
          <w:color w:val="auto"/>
          <w:spacing w:val="-3"/>
          <w:sz w:val="30"/>
          <w:szCs w:val="30"/>
          <w:highlight w:val="none"/>
          <w:lang w:eastAsia="zh-CN"/>
        </w:rPr>
        <w:t>（三）监狱企业证明文件</w:t>
      </w:r>
      <w:r>
        <w:rPr>
          <w:rFonts w:hint="eastAsia" w:ascii="仿宋" w:hAnsi="仿宋" w:eastAsia="仿宋" w:cs="仿宋"/>
          <w:color w:val="auto"/>
          <w:spacing w:val="-3"/>
          <w:sz w:val="30"/>
          <w:szCs w:val="30"/>
          <w:highlight w:val="none"/>
          <w:lang w:eastAsia="zh-CN"/>
        </w:rPr>
        <w:t>【如适用】</w:t>
      </w:r>
    </w:p>
    <w:p w14:paraId="3252AF3F">
      <w:pPr>
        <w:spacing w:line="252" w:lineRule="auto"/>
        <w:rPr>
          <w:rFonts w:ascii="仿宋" w:hAnsi="仿宋" w:eastAsia="仿宋" w:cs="仿宋"/>
          <w:color w:val="auto"/>
          <w:highlight w:val="none"/>
          <w:lang w:eastAsia="zh-CN"/>
        </w:rPr>
      </w:pPr>
    </w:p>
    <w:p w14:paraId="52E184E9">
      <w:pPr>
        <w:spacing w:line="252" w:lineRule="auto"/>
        <w:rPr>
          <w:rFonts w:ascii="仿宋" w:hAnsi="仿宋" w:eastAsia="仿宋" w:cs="仿宋"/>
          <w:color w:val="auto"/>
          <w:highlight w:val="none"/>
          <w:lang w:eastAsia="zh-CN"/>
        </w:rPr>
      </w:pPr>
    </w:p>
    <w:p w14:paraId="039F7CFA">
      <w:pPr>
        <w:spacing w:line="252" w:lineRule="auto"/>
        <w:rPr>
          <w:rFonts w:ascii="仿宋" w:hAnsi="仿宋" w:eastAsia="仿宋" w:cs="仿宋"/>
          <w:color w:val="auto"/>
          <w:highlight w:val="none"/>
          <w:lang w:eastAsia="zh-CN"/>
        </w:rPr>
      </w:pPr>
    </w:p>
    <w:p w14:paraId="7EA5D167">
      <w:pPr>
        <w:spacing w:before="78" w:line="345" w:lineRule="auto"/>
        <w:ind w:left="27" w:right="13" w:firstLine="469"/>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【监狱企业应当提供由省级及以上监狱管理局、戒毒管理局（含新疆生产建</w:t>
      </w:r>
      <w:r>
        <w:rPr>
          <w:rFonts w:hint="eastAsia" w:ascii="仿宋" w:hAnsi="仿宋" w:eastAsia="仿宋" w:cs="仿宋"/>
          <w:color w:val="auto"/>
          <w:spacing w:val="-1"/>
          <w:sz w:val="24"/>
          <w:szCs w:val="24"/>
          <w:highlight w:val="none"/>
          <w:lang w:eastAsia="zh-CN"/>
        </w:rPr>
        <w:t>设兵团）出具的监狱企业的证明文件，格式如下】。</w:t>
      </w:r>
    </w:p>
    <w:p w14:paraId="54DC8C73">
      <w:pPr>
        <w:spacing w:line="333" w:lineRule="auto"/>
        <w:rPr>
          <w:rFonts w:ascii="仿宋" w:hAnsi="仿宋" w:eastAsia="仿宋" w:cs="仿宋"/>
          <w:color w:val="auto"/>
          <w:highlight w:val="none"/>
          <w:lang w:eastAsia="zh-CN"/>
        </w:rPr>
      </w:pPr>
    </w:p>
    <w:p w14:paraId="0CAE5B02">
      <w:pPr>
        <w:spacing w:line="333" w:lineRule="auto"/>
        <w:rPr>
          <w:rFonts w:ascii="仿宋" w:hAnsi="仿宋" w:eastAsia="仿宋" w:cs="仿宋"/>
          <w:color w:val="auto"/>
          <w:highlight w:val="none"/>
          <w:lang w:eastAsia="zh-CN"/>
        </w:rPr>
      </w:pPr>
    </w:p>
    <w:p w14:paraId="67BB50BC">
      <w:pPr>
        <w:spacing w:before="100" w:line="223" w:lineRule="auto"/>
        <w:ind w:left="3056"/>
        <w:rPr>
          <w:rFonts w:ascii="仿宋" w:hAnsi="仿宋" w:eastAsia="仿宋" w:cs="仿宋"/>
          <w:color w:val="auto"/>
          <w:sz w:val="31"/>
          <w:szCs w:val="31"/>
          <w:highlight w:val="none"/>
          <w:lang w:eastAsia="zh-CN"/>
        </w:rPr>
      </w:pPr>
      <w:r>
        <w:rPr>
          <w:rFonts w:hint="eastAsia" w:ascii="仿宋" w:hAnsi="仿宋" w:eastAsia="仿宋" w:cs="仿宋"/>
          <w:b/>
          <w:bCs/>
          <w:color w:val="auto"/>
          <w:spacing w:val="5"/>
          <w:sz w:val="31"/>
          <w:szCs w:val="31"/>
          <w:highlight w:val="none"/>
          <w:lang w:eastAsia="zh-CN"/>
        </w:rPr>
        <w:t>监狱企业证明函</w:t>
      </w:r>
    </w:p>
    <w:p w14:paraId="19DF698F">
      <w:pPr>
        <w:spacing w:line="247" w:lineRule="auto"/>
        <w:rPr>
          <w:rFonts w:ascii="仿宋" w:hAnsi="仿宋" w:eastAsia="仿宋" w:cs="仿宋"/>
          <w:color w:val="auto"/>
          <w:highlight w:val="none"/>
          <w:lang w:eastAsia="zh-CN"/>
        </w:rPr>
      </w:pPr>
    </w:p>
    <w:p w14:paraId="48A51A21">
      <w:pPr>
        <w:spacing w:line="247" w:lineRule="auto"/>
        <w:rPr>
          <w:rFonts w:ascii="仿宋" w:hAnsi="仿宋" w:eastAsia="仿宋" w:cs="仿宋"/>
          <w:color w:val="auto"/>
          <w:highlight w:val="none"/>
          <w:lang w:eastAsia="zh-CN"/>
        </w:rPr>
      </w:pPr>
    </w:p>
    <w:p w14:paraId="0010410A">
      <w:pPr>
        <w:spacing w:line="249" w:lineRule="auto"/>
        <w:rPr>
          <w:rFonts w:ascii="仿宋" w:hAnsi="仿宋" w:eastAsia="仿宋" w:cs="仿宋"/>
          <w:color w:val="auto"/>
          <w:highlight w:val="none"/>
          <w:lang w:eastAsia="zh-CN"/>
        </w:rPr>
      </w:pPr>
    </w:p>
    <w:p w14:paraId="1C2BF7D1">
      <w:pPr>
        <w:spacing w:before="78" w:line="374" w:lineRule="auto"/>
        <w:ind w:left="25" w:right="28" w:firstLine="503"/>
        <w:rPr>
          <w:rFonts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本公司郑重声明，根据财政部、司法部《关于政府采购支持</w:t>
      </w:r>
      <w:r>
        <w:rPr>
          <w:rFonts w:hint="eastAsia" w:ascii="仿宋" w:hAnsi="仿宋" w:eastAsia="仿宋" w:cs="仿宋"/>
          <w:color w:val="auto"/>
          <w:spacing w:val="10"/>
          <w:sz w:val="24"/>
          <w:szCs w:val="24"/>
          <w:highlight w:val="none"/>
          <w:lang w:eastAsia="zh-CN"/>
        </w:rPr>
        <w:t>监狱企业发</w:t>
      </w:r>
      <w:r>
        <w:rPr>
          <w:rFonts w:hint="eastAsia" w:ascii="仿宋" w:hAnsi="仿宋" w:eastAsia="仿宋" w:cs="仿宋"/>
          <w:color w:val="auto"/>
          <w:spacing w:val="5"/>
          <w:sz w:val="24"/>
          <w:szCs w:val="24"/>
          <w:highlight w:val="none"/>
          <w:lang w:eastAsia="zh-CN"/>
        </w:rPr>
        <w:t>展有关问题的通知》（财库〔2014〕68号）的规定</w:t>
      </w:r>
      <w:r>
        <w:rPr>
          <w:rFonts w:hint="eastAsia" w:ascii="仿宋" w:hAnsi="仿宋" w:eastAsia="仿宋" w:cs="仿宋"/>
          <w:color w:val="auto"/>
          <w:spacing w:val="4"/>
          <w:sz w:val="24"/>
          <w:szCs w:val="24"/>
          <w:highlight w:val="none"/>
          <w:lang w:eastAsia="zh-CN"/>
        </w:rPr>
        <w:t>，本公司为监狱企业。</w:t>
      </w:r>
    </w:p>
    <w:p w14:paraId="6C948426">
      <w:pPr>
        <w:spacing w:line="254" w:lineRule="auto"/>
        <w:rPr>
          <w:rFonts w:ascii="仿宋" w:hAnsi="仿宋" w:eastAsia="仿宋" w:cs="仿宋"/>
          <w:color w:val="auto"/>
          <w:highlight w:val="none"/>
          <w:lang w:eastAsia="zh-CN"/>
        </w:rPr>
      </w:pPr>
    </w:p>
    <w:p w14:paraId="40997967">
      <w:pPr>
        <w:spacing w:line="254" w:lineRule="auto"/>
        <w:rPr>
          <w:rFonts w:ascii="仿宋" w:hAnsi="仿宋" w:eastAsia="仿宋" w:cs="仿宋"/>
          <w:color w:val="auto"/>
          <w:highlight w:val="none"/>
          <w:lang w:eastAsia="zh-CN"/>
        </w:rPr>
      </w:pPr>
    </w:p>
    <w:p w14:paraId="6107525C">
      <w:pPr>
        <w:spacing w:line="254" w:lineRule="auto"/>
        <w:rPr>
          <w:rFonts w:ascii="仿宋" w:hAnsi="仿宋" w:eastAsia="仿宋" w:cs="仿宋"/>
          <w:color w:val="auto"/>
          <w:highlight w:val="none"/>
          <w:lang w:eastAsia="zh-CN"/>
        </w:rPr>
      </w:pPr>
    </w:p>
    <w:p w14:paraId="6523164F">
      <w:pPr>
        <w:spacing w:line="254" w:lineRule="auto"/>
        <w:rPr>
          <w:rFonts w:ascii="仿宋" w:hAnsi="仿宋" w:eastAsia="仿宋" w:cs="仿宋"/>
          <w:color w:val="auto"/>
          <w:highlight w:val="none"/>
          <w:lang w:eastAsia="zh-CN"/>
        </w:rPr>
      </w:pPr>
    </w:p>
    <w:p w14:paraId="0141F8CF">
      <w:pPr>
        <w:spacing w:line="254" w:lineRule="auto"/>
        <w:rPr>
          <w:rFonts w:ascii="仿宋" w:hAnsi="仿宋" w:eastAsia="仿宋" w:cs="仿宋"/>
          <w:color w:val="auto"/>
          <w:highlight w:val="none"/>
          <w:lang w:eastAsia="zh-CN"/>
        </w:rPr>
      </w:pPr>
    </w:p>
    <w:p w14:paraId="58621C43">
      <w:pPr>
        <w:spacing w:before="78" w:line="218" w:lineRule="auto"/>
        <w:ind w:left="4310"/>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投标人名称（公章)：</w:t>
      </w:r>
    </w:p>
    <w:p w14:paraId="62756E16">
      <w:pPr>
        <w:spacing w:before="184" w:line="218" w:lineRule="auto"/>
        <w:ind w:left="4348"/>
        <w:rPr>
          <w:rFonts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日期：年月日</w:t>
      </w:r>
    </w:p>
    <w:p w14:paraId="19FC263D">
      <w:pPr>
        <w:spacing w:line="256" w:lineRule="auto"/>
        <w:rPr>
          <w:rFonts w:ascii="仿宋" w:hAnsi="仿宋" w:eastAsia="仿宋" w:cs="仿宋"/>
          <w:color w:val="auto"/>
          <w:highlight w:val="none"/>
          <w:lang w:eastAsia="zh-CN"/>
        </w:rPr>
      </w:pPr>
    </w:p>
    <w:p w14:paraId="666B42BD">
      <w:pPr>
        <w:spacing w:line="256" w:lineRule="auto"/>
        <w:rPr>
          <w:rFonts w:ascii="仿宋" w:hAnsi="仿宋" w:eastAsia="仿宋" w:cs="仿宋"/>
          <w:color w:val="auto"/>
          <w:highlight w:val="none"/>
          <w:lang w:eastAsia="zh-CN"/>
        </w:rPr>
      </w:pPr>
    </w:p>
    <w:p w14:paraId="4420F785">
      <w:pPr>
        <w:spacing w:line="256" w:lineRule="auto"/>
        <w:rPr>
          <w:rFonts w:ascii="仿宋" w:hAnsi="仿宋" w:eastAsia="仿宋" w:cs="仿宋"/>
          <w:color w:val="auto"/>
          <w:highlight w:val="none"/>
          <w:lang w:eastAsia="zh-CN"/>
        </w:rPr>
      </w:pPr>
    </w:p>
    <w:p w14:paraId="67C9F511">
      <w:pPr>
        <w:spacing w:line="256" w:lineRule="auto"/>
        <w:rPr>
          <w:rFonts w:ascii="仿宋" w:hAnsi="仿宋" w:eastAsia="仿宋" w:cs="仿宋"/>
          <w:color w:val="auto"/>
          <w:highlight w:val="none"/>
          <w:lang w:eastAsia="zh-CN"/>
        </w:rPr>
      </w:pPr>
    </w:p>
    <w:p w14:paraId="79FC69F2">
      <w:pPr>
        <w:spacing w:before="79" w:line="345" w:lineRule="auto"/>
        <w:ind w:left="3394" w:right="1360" w:hanging="7"/>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省级以上监狱管理局、戒毒管理局</w:t>
      </w:r>
      <w:r>
        <w:rPr>
          <w:rFonts w:hint="eastAsia" w:ascii="仿宋" w:hAnsi="仿宋" w:eastAsia="仿宋" w:cs="仿宋"/>
          <w:color w:val="auto"/>
          <w:spacing w:val="-5"/>
          <w:sz w:val="24"/>
          <w:szCs w:val="24"/>
          <w:highlight w:val="none"/>
          <w:lang w:eastAsia="zh-CN"/>
        </w:rPr>
        <w:t>（含新疆生产建设兵团）(盖章)：</w:t>
      </w:r>
    </w:p>
    <w:p w14:paraId="64491AA8">
      <w:pPr>
        <w:spacing w:before="36" w:line="218" w:lineRule="auto"/>
        <w:ind w:left="4384"/>
        <w:rPr>
          <w:rFonts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日期：年月日</w:t>
      </w:r>
    </w:p>
    <w:p w14:paraId="3CAACEDE">
      <w:pPr>
        <w:spacing w:line="256" w:lineRule="auto"/>
        <w:rPr>
          <w:rFonts w:ascii="仿宋" w:hAnsi="仿宋" w:eastAsia="仿宋" w:cs="仿宋"/>
          <w:color w:val="auto"/>
          <w:highlight w:val="none"/>
          <w:lang w:eastAsia="zh-CN"/>
        </w:rPr>
      </w:pPr>
    </w:p>
    <w:p w14:paraId="20C9E587">
      <w:pPr>
        <w:pageBreakBefore/>
        <w:spacing w:before="97" w:line="216" w:lineRule="auto"/>
        <w:ind w:left="40"/>
        <w:outlineLvl w:val="2"/>
        <w:rPr>
          <w:rFonts w:ascii="仿宋" w:hAnsi="仿宋" w:eastAsia="仿宋" w:cs="仿宋"/>
          <w:color w:val="auto"/>
          <w:sz w:val="30"/>
          <w:szCs w:val="30"/>
          <w:highlight w:val="none"/>
          <w:lang w:eastAsia="zh-CN"/>
        </w:rPr>
      </w:pPr>
      <w:r>
        <w:rPr>
          <w:rFonts w:hint="eastAsia" w:ascii="仿宋" w:hAnsi="仿宋" w:eastAsia="仿宋" w:cs="仿宋"/>
          <w:b/>
          <w:bCs/>
          <w:color w:val="auto"/>
          <w:spacing w:val="-3"/>
          <w:sz w:val="30"/>
          <w:szCs w:val="30"/>
          <w:highlight w:val="none"/>
          <w:lang w:eastAsia="zh-CN"/>
        </w:rPr>
        <w:t>（四）残疾人福利性单位声明函</w:t>
      </w:r>
      <w:r>
        <w:rPr>
          <w:rFonts w:hint="eastAsia" w:ascii="仿宋" w:hAnsi="仿宋" w:eastAsia="仿宋" w:cs="仿宋"/>
          <w:color w:val="auto"/>
          <w:spacing w:val="-3"/>
          <w:sz w:val="30"/>
          <w:szCs w:val="30"/>
          <w:highlight w:val="none"/>
          <w:lang w:eastAsia="zh-CN"/>
        </w:rPr>
        <w:t>【如适用】</w:t>
      </w:r>
    </w:p>
    <w:p w14:paraId="7D1550EF">
      <w:pPr>
        <w:spacing w:line="283" w:lineRule="auto"/>
        <w:rPr>
          <w:rFonts w:ascii="仿宋" w:hAnsi="仿宋" w:eastAsia="仿宋" w:cs="仿宋"/>
          <w:color w:val="auto"/>
          <w:highlight w:val="none"/>
          <w:lang w:eastAsia="zh-CN"/>
        </w:rPr>
      </w:pPr>
    </w:p>
    <w:p w14:paraId="787A3C1F">
      <w:pPr>
        <w:spacing w:before="101" w:line="223" w:lineRule="auto"/>
        <w:ind w:left="2412"/>
        <w:rPr>
          <w:rFonts w:ascii="仿宋" w:hAnsi="仿宋" w:eastAsia="仿宋" w:cs="仿宋"/>
          <w:color w:val="auto"/>
          <w:sz w:val="31"/>
          <w:szCs w:val="31"/>
          <w:highlight w:val="none"/>
          <w:lang w:eastAsia="zh-CN"/>
        </w:rPr>
      </w:pPr>
      <w:r>
        <w:rPr>
          <w:rFonts w:hint="eastAsia" w:ascii="仿宋" w:hAnsi="仿宋" w:eastAsia="仿宋" w:cs="仿宋"/>
          <w:b/>
          <w:bCs/>
          <w:color w:val="auto"/>
          <w:spacing w:val="6"/>
          <w:sz w:val="31"/>
          <w:szCs w:val="31"/>
          <w:highlight w:val="none"/>
          <w:lang w:eastAsia="zh-CN"/>
        </w:rPr>
        <w:t>残疾人福利性单位声明函</w:t>
      </w:r>
    </w:p>
    <w:p w14:paraId="41ADF1FD">
      <w:pPr>
        <w:spacing w:line="292" w:lineRule="auto"/>
        <w:rPr>
          <w:rFonts w:ascii="仿宋" w:hAnsi="仿宋" w:eastAsia="仿宋" w:cs="仿宋"/>
          <w:color w:val="auto"/>
          <w:highlight w:val="none"/>
          <w:lang w:eastAsia="zh-CN"/>
        </w:rPr>
      </w:pPr>
    </w:p>
    <w:p w14:paraId="5F1F122D">
      <w:pPr>
        <w:spacing w:line="292" w:lineRule="auto"/>
        <w:rPr>
          <w:rFonts w:ascii="仿宋" w:hAnsi="仿宋" w:eastAsia="仿宋" w:cs="仿宋"/>
          <w:color w:val="auto"/>
          <w:highlight w:val="none"/>
          <w:lang w:eastAsia="zh-CN"/>
        </w:rPr>
      </w:pPr>
    </w:p>
    <w:p w14:paraId="2976E489">
      <w:pPr>
        <w:spacing w:before="78" w:line="350" w:lineRule="auto"/>
        <w:ind w:left="24" w:right="32" w:firstLine="480"/>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本公司（联合体）郑重声明，根据《财政部民政部</w:t>
      </w:r>
      <w:r>
        <w:rPr>
          <w:rFonts w:hint="eastAsia" w:ascii="仿宋" w:hAnsi="仿宋" w:eastAsia="仿宋" w:cs="仿宋"/>
          <w:color w:val="auto"/>
          <w:spacing w:val="-6"/>
          <w:sz w:val="24"/>
          <w:szCs w:val="24"/>
          <w:highlight w:val="none"/>
          <w:lang w:eastAsia="zh-CN"/>
        </w:rPr>
        <w:t>中国残疾人联合会关于</w:t>
      </w:r>
      <w:r>
        <w:rPr>
          <w:rFonts w:hint="eastAsia" w:ascii="仿宋" w:hAnsi="仿宋" w:eastAsia="仿宋" w:cs="仿宋"/>
          <w:color w:val="auto"/>
          <w:spacing w:val="-2"/>
          <w:sz w:val="24"/>
          <w:szCs w:val="24"/>
          <w:highlight w:val="none"/>
          <w:lang w:eastAsia="zh-CN"/>
        </w:rPr>
        <w:t>促进残疾人就业政府采购政策的通知》（财库〔2017〕141号）的规定，本公司（联合体）参加</w:t>
      </w:r>
      <w:r>
        <w:rPr>
          <w:rFonts w:hint="eastAsia" w:ascii="仿宋" w:hAnsi="仿宋" w:eastAsia="仿宋" w:cs="仿宋"/>
          <w:i/>
          <w:iCs/>
          <w:color w:val="auto"/>
          <w:spacing w:val="-2"/>
          <w:sz w:val="25"/>
          <w:szCs w:val="25"/>
          <w:highlight w:val="none"/>
          <w:u w:val="single"/>
          <w:lang w:eastAsia="zh-CN"/>
        </w:rPr>
        <w:t>（单位名称）</w:t>
      </w:r>
      <w:r>
        <w:rPr>
          <w:rFonts w:hint="eastAsia" w:ascii="仿宋" w:hAnsi="仿宋" w:eastAsia="仿宋" w:cs="仿宋"/>
          <w:color w:val="auto"/>
          <w:spacing w:val="-2"/>
          <w:sz w:val="24"/>
          <w:szCs w:val="24"/>
          <w:highlight w:val="none"/>
          <w:lang w:eastAsia="zh-CN"/>
        </w:rPr>
        <w:t>的</w:t>
      </w:r>
      <w:r>
        <w:rPr>
          <w:rFonts w:hint="eastAsia" w:ascii="仿宋" w:hAnsi="仿宋" w:eastAsia="仿宋" w:cs="仿宋"/>
          <w:i/>
          <w:iCs/>
          <w:color w:val="auto"/>
          <w:spacing w:val="-2"/>
          <w:sz w:val="25"/>
          <w:szCs w:val="25"/>
          <w:highlight w:val="none"/>
          <w:u w:val="single"/>
          <w:lang w:eastAsia="zh-CN"/>
        </w:rPr>
        <w:t>（项目名称）</w:t>
      </w:r>
      <w:r>
        <w:rPr>
          <w:rFonts w:hint="eastAsia" w:ascii="仿宋" w:hAnsi="仿宋" w:eastAsia="仿宋" w:cs="仿宋"/>
          <w:color w:val="auto"/>
          <w:spacing w:val="-2"/>
          <w:sz w:val="24"/>
          <w:szCs w:val="24"/>
          <w:highlight w:val="none"/>
          <w:lang w:eastAsia="zh-CN"/>
        </w:rPr>
        <w:t>采购活动，提供的货物</w:t>
      </w:r>
      <w:r>
        <w:rPr>
          <w:rFonts w:hint="eastAsia" w:ascii="仿宋" w:hAnsi="仿宋" w:eastAsia="仿宋" w:cs="仿宋"/>
          <w:b/>
          <w:bCs/>
          <w:color w:val="auto"/>
          <w:spacing w:val="-2"/>
          <w:sz w:val="24"/>
          <w:szCs w:val="24"/>
          <w:highlight w:val="none"/>
          <w:lang w:eastAsia="zh-CN"/>
        </w:rPr>
        <w:t>全部由</w:t>
      </w:r>
      <w:r>
        <w:rPr>
          <w:rFonts w:hint="eastAsia" w:ascii="仿宋" w:hAnsi="仿宋" w:eastAsia="仿宋" w:cs="仿宋"/>
          <w:color w:val="auto"/>
          <w:spacing w:val="-4"/>
          <w:sz w:val="24"/>
          <w:szCs w:val="24"/>
          <w:highlight w:val="none"/>
          <w:lang w:eastAsia="zh-CN"/>
        </w:rPr>
        <w:t>符合政策要求的</w:t>
      </w:r>
      <w:r>
        <w:rPr>
          <w:rFonts w:hint="eastAsia" w:ascii="仿宋" w:hAnsi="仿宋" w:eastAsia="仿宋" w:cs="仿宋"/>
          <w:b/>
          <w:bCs/>
          <w:color w:val="auto"/>
          <w:spacing w:val="-4"/>
          <w:sz w:val="24"/>
          <w:szCs w:val="24"/>
          <w:highlight w:val="none"/>
          <w:lang w:eastAsia="zh-CN"/>
        </w:rPr>
        <w:t>残疾人福利性单位制造</w:t>
      </w:r>
      <w:r>
        <w:rPr>
          <w:rFonts w:hint="eastAsia" w:ascii="仿宋" w:hAnsi="仿宋" w:eastAsia="仿宋" w:cs="仿宋"/>
          <w:color w:val="auto"/>
          <w:spacing w:val="-4"/>
          <w:sz w:val="24"/>
          <w:szCs w:val="24"/>
          <w:highlight w:val="none"/>
          <w:lang w:eastAsia="zh-CN"/>
        </w:rPr>
        <w:t>。相关企业（含联合体中的残疾人福利性</w:t>
      </w:r>
      <w:r>
        <w:rPr>
          <w:rFonts w:hint="eastAsia" w:ascii="仿宋" w:hAnsi="仿宋" w:eastAsia="仿宋" w:cs="仿宋"/>
          <w:color w:val="auto"/>
          <w:spacing w:val="-1"/>
          <w:sz w:val="24"/>
          <w:szCs w:val="24"/>
          <w:highlight w:val="none"/>
          <w:lang w:eastAsia="zh-CN"/>
        </w:rPr>
        <w:t>单位、签订分包意向协议书的残疾人福利性单位）的具体情况如下：</w:t>
      </w:r>
    </w:p>
    <w:p w14:paraId="4F691118">
      <w:pPr>
        <w:spacing w:before="36" w:line="348" w:lineRule="auto"/>
        <w:ind w:left="506" w:firstLine="14"/>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w:t>
      </w:r>
      <w:r>
        <w:rPr>
          <w:rFonts w:hint="eastAsia" w:ascii="仿宋" w:hAnsi="仿宋" w:eastAsia="仿宋" w:cs="仿宋"/>
          <w:i/>
          <w:iCs/>
          <w:color w:val="auto"/>
          <w:spacing w:val="-3"/>
          <w:sz w:val="25"/>
          <w:szCs w:val="25"/>
          <w:highlight w:val="none"/>
          <w:u w:val="single"/>
          <w:lang w:eastAsia="zh-CN"/>
        </w:rPr>
        <w:t>（标的名称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 xml:space="preserve">制造商为 </w:t>
      </w:r>
      <w:r>
        <w:rPr>
          <w:rFonts w:hint="eastAsia" w:ascii="仿宋" w:hAnsi="仿宋" w:eastAsia="仿宋" w:cs="仿宋"/>
          <w:i/>
          <w:iCs/>
          <w:color w:val="auto"/>
          <w:spacing w:val="-3"/>
          <w:sz w:val="25"/>
          <w:szCs w:val="25"/>
          <w:highlight w:val="none"/>
          <w:u w:val="single"/>
          <w:lang w:eastAsia="zh-CN"/>
        </w:rPr>
        <w:t>（企业名称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 xml:space="preserve">属于残疾人福利性单位；2. </w:t>
      </w:r>
      <w:r>
        <w:rPr>
          <w:rFonts w:hint="eastAsia" w:ascii="仿宋" w:hAnsi="仿宋" w:eastAsia="仿宋" w:cs="仿宋"/>
          <w:i/>
          <w:iCs/>
          <w:color w:val="auto"/>
          <w:spacing w:val="-3"/>
          <w:sz w:val="25"/>
          <w:szCs w:val="25"/>
          <w:highlight w:val="none"/>
          <w:u w:val="single"/>
          <w:lang w:eastAsia="zh-CN"/>
        </w:rPr>
        <w:t>（标的名称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 xml:space="preserve">制造商为 </w:t>
      </w:r>
      <w:r>
        <w:rPr>
          <w:rFonts w:hint="eastAsia" w:ascii="仿宋" w:hAnsi="仿宋" w:eastAsia="仿宋" w:cs="仿宋"/>
          <w:i/>
          <w:iCs/>
          <w:color w:val="auto"/>
          <w:spacing w:val="-3"/>
          <w:sz w:val="25"/>
          <w:szCs w:val="25"/>
          <w:highlight w:val="none"/>
          <w:u w:val="single"/>
          <w:lang w:eastAsia="zh-CN"/>
        </w:rPr>
        <w:t>（企业名称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属于残疾人福利性</w:t>
      </w:r>
      <w:r>
        <w:rPr>
          <w:rFonts w:hint="eastAsia" w:ascii="仿宋" w:hAnsi="仿宋" w:eastAsia="仿宋" w:cs="仿宋"/>
          <w:color w:val="auto"/>
          <w:spacing w:val="-4"/>
          <w:sz w:val="24"/>
          <w:szCs w:val="24"/>
          <w:highlight w:val="none"/>
          <w:lang w:eastAsia="zh-CN"/>
        </w:rPr>
        <w:t>单位；</w:t>
      </w:r>
      <w:r>
        <w:rPr>
          <w:rFonts w:hint="eastAsia" w:ascii="仿宋" w:hAnsi="仿宋" w:eastAsia="仿宋" w:cs="仿宋"/>
          <w:color w:val="auto"/>
          <w:spacing w:val="-7"/>
          <w:sz w:val="24"/>
          <w:szCs w:val="24"/>
          <w:highlight w:val="none"/>
          <w:lang w:eastAsia="zh-CN"/>
        </w:rPr>
        <w:t>……</w:t>
      </w:r>
    </w:p>
    <w:p w14:paraId="69479CC7">
      <w:pPr>
        <w:spacing w:before="1" w:line="345" w:lineRule="auto"/>
        <w:ind w:left="27" w:right="32" w:firstLine="50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以上企业，不属于大企业的分支机构，不存在控股股东为大企业的情形，也</w:t>
      </w:r>
      <w:r>
        <w:rPr>
          <w:rFonts w:hint="eastAsia" w:ascii="仿宋" w:hAnsi="仿宋" w:eastAsia="仿宋" w:cs="仿宋"/>
          <w:color w:val="auto"/>
          <w:spacing w:val="-1"/>
          <w:sz w:val="24"/>
          <w:szCs w:val="24"/>
          <w:highlight w:val="none"/>
          <w:lang w:eastAsia="zh-CN"/>
        </w:rPr>
        <w:t>不存在与大企业的负责人为同一人的情形。</w:t>
      </w:r>
    </w:p>
    <w:p w14:paraId="3F435A66">
      <w:pPr>
        <w:spacing w:before="34" w:line="218" w:lineRule="auto"/>
        <w:ind w:left="504"/>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本企业对上述声明内容的真实性负责。如有虚</w:t>
      </w:r>
      <w:r>
        <w:rPr>
          <w:rFonts w:hint="eastAsia" w:ascii="仿宋" w:hAnsi="仿宋" w:eastAsia="仿宋" w:cs="仿宋"/>
          <w:color w:val="auto"/>
          <w:spacing w:val="-1"/>
          <w:sz w:val="24"/>
          <w:szCs w:val="24"/>
          <w:highlight w:val="none"/>
          <w:lang w:eastAsia="zh-CN"/>
        </w:rPr>
        <w:t>假，将依法承担相应责任。</w:t>
      </w:r>
    </w:p>
    <w:p w14:paraId="435E9894">
      <w:pPr>
        <w:spacing w:line="285" w:lineRule="auto"/>
        <w:rPr>
          <w:rFonts w:ascii="仿宋" w:hAnsi="仿宋" w:eastAsia="仿宋" w:cs="仿宋"/>
          <w:color w:val="auto"/>
          <w:highlight w:val="none"/>
          <w:lang w:eastAsia="zh-CN"/>
        </w:rPr>
      </w:pPr>
    </w:p>
    <w:p w14:paraId="74A72D24">
      <w:pPr>
        <w:spacing w:line="285" w:lineRule="auto"/>
        <w:rPr>
          <w:rFonts w:ascii="仿宋" w:hAnsi="仿宋" w:eastAsia="仿宋" w:cs="仿宋"/>
          <w:color w:val="auto"/>
          <w:highlight w:val="none"/>
          <w:lang w:eastAsia="zh-CN"/>
        </w:rPr>
      </w:pPr>
    </w:p>
    <w:p w14:paraId="443B4C9B">
      <w:pPr>
        <w:spacing w:before="78" w:line="352" w:lineRule="auto"/>
        <w:ind w:left="1112" w:right="51" w:hanging="1086"/>
        <w:rPr>
          <w:rFonts w:ascii="仿宋" w:hAnsi="仿宋" w:eastAsia="仿宋" w:cs="仿宋"/>
          <w:color w:val="auto"/>
          <w:sz w:val="24"/>
          <w:szCs w:val="24"/>
          <w:highlight w:val="none"/>
          <w:lang w:eastAsia="zh-CN"/>
        </w:rPr>
      </w:pPr>
      <w:r>
        <w:rPr>
          <w:rFonts w:hint="eastAsia" w:ascii="仿宋" w:hAnsi="仿宋" w:eastAsia="仿宋" w:cs="仿宋"/>
          <w:b/>
          <w:bCs/>
          <w:color w:val="auto"/>
          <w:spacing w:val="-1"/>
          <w:sz w:val="24"/>
          <w:szCs w:val="24"/>
          <w:highlight w:val="none"/>
          <w:lang w:eastAsia="zh-CN"/>
        </w:rPr>
        <w:t>说明：</w:t>
      </w:r>
      <w:r>
        <w:rPr>
          <w:rFonts w:hint="eastAsia" w:ascii="仿宋" w:hAnsi="仿宋" w:eastAsia="仿宋" w:cs="仿宋"/>
          <w:color w:val="auto"/>
          <w:spacing w:val="-1"/>
          <w:sz w:val="24"/>
          <w:szCs w:val="24"/>
          <w:highlight w:val="none"/>
          <w:lang w:eastAsia="zh-CN"/>
        </w:rPr>
        <w:t>1、货物应当全部由符合政策要求的残疾人福利性单位生产且使用该残疾人福利性单位商号或注册商标（与代理商或投标人无关</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1"/>
          <w:sz w:val="24"/>
          <w:szCs w:val="24"/>
          <w:highlight w:val="none"/>
          <w:lang w:eastAsia="zh-CN"/>
        </w:rPr>
        <w:t>应当严格按上述格式及内容进行填写（应当明确每个标的的生产企业类型及相</w:t>
      </w:r>
      <w:r>
        <w:rPr>
          <w:rFonts w:hint="eastAsia" w:ascii="仿宋" w:hAnsi="仿宋" w:eastAsia="仿宋" w:cs="仿宋"/>
          <w:color w:val="auto"/>
          <w:spacing w:val="-2"/>
          <w:sz w:val="24"/>
          <w:szCs w:val="24"/>
          <w:highlight w:val="none"/>
          <w:lang w:eastAsia="zh-CN"/>
        </w:rPr>
        <w:t>关数据</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2"/>
          <w:sz w:val="24"/>
          <w:szCs w:val="24"/>
          <w:highlight w:val="none"/>
          <w:lang w:eastAsia="zh-CN"/>
        </w:rPr>
        <w:t>否则导致的后果由投标人自行承担；</w:t>
      </w:r>
    </w:p>
    <w:p w14:paraId="4D51A131">
      <w:pPr>
        <w:spacing w:before="35" w:line="218" w:lineRule="auto"/>
        <w:ind w:left="74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2、以联合体形式参加的，应当由联合体各方盖章。</w:t>
      </w:r>
    </w:p>
    <w:p w14:paraId="5F70DF4A">
      <w:pPr>
        <w:spacing w:line="384" w:lineRule="auto"/>
        <w:rPr>
          <w:rFonts w:ascii="仿宋" w:hAnsi="仿宋" w:eastAsia="仿宋" w:cs="仿宋"/>
          <w:color w:val="auto"/>
          <w:highlight w:val="none"/>
          <w:lang w:eastAsia="zh-CN"/>
        </w:rPr>
      </w:pPr>
    </w:p>
    <w:p w14:paraId="0457A0DC">
      <w:pPr>
        <w:pStyle w:val="9"/>
        <w:ind w:firstLine="478"/>
        <w:rPr>
          <w:color w:val="auto"/>
          <w:highlight w:val="none"/>
          <w:lang w:eastAsia="zh-CN"/>
        </w:rPr>
      </w:pPr>
      <w:r>
        <w:rPr>
          <w:rFonts w:hint="eastAsia" w:ascii="仿宋" w:hAnsi="仿宋" w:eastAsia="仿宋" w:cs="仿宋"/>
          <w:color w:val="auto"/>
          <w:spacing w:val="-1"/>
          <w:sz w:val="24"/>
          <w:szCs w:val="24"/>
          <w:highlight w:val="none"/>
          <w:lang w:eastAsia="zh-CN"/>
        </w:rPr>
        <w:t>投标人名称（公章)：</w:t>
      </w:r>
      <w:r>
        <w:rPr>
          <w:rFonts w:hint="eastAsia" w:ascii="仿宋" w:hAnsi="仿宋" w:eastAsia="仿宋" w:cs="仿宋"/>
          <w:color w:val="auto"/>
          <w:spacing w:val="-32"/>
          <w:sz w:val="24"/>
          <w:szCs w:val="24"/>
          <w:highlight w:val="none"/>
          <w:lang w:eastAsia="zh-CN"/>
        </w:rPr>
        <w:t>日期：</w:t>
      </w:r>
    </w:p>
    <w:p w14:paraId="121B9C77">
      <w:pPr>
        <w:spacing w:line="360" w:lineRule="auto"/>
        <w:ind w:left="38"/>
        <w:outlineLvl w:val="2"/>
        <w:rPr>
          <w:rFonts w:ascii="仿宋" w:hAnsi="仿宋" w:eastAsia="仿宋" w:cs="仿宋"/>
          <w:color w:val="auto"/>
          <w:sz w:val="24"/>
          <w:szCs w:val="24"/>
          <w:highlight w:val="none"/>
          <w:lang w:eastAsia="zh-CN"/>
        </w:rPr>
      </w:pPr>
    </w:p>
    <w:p w14:paraId="04A5AC0D">
      <w:pPr>
        <w:pageBreakBefore/>
        <w:spacing w:before="101" w:line="223" w:lineRule="auto"/>
        <w:ind w:left="28"/>
        <w:outlineLvl w:val="1"/>
        <w:rPr>
          <w:rFonts w:ascii="仿宋" w:hAnsi="仿宋" w:eastAsia="仿宋" w:cs="仿宋"/>
          <w:color w:val="auto"/>
          <w:sz w:val="31"/>
          <w:szCs w:val="31"/>
          <w:highlight w:val="none"/>
          <w:lang w:eastAsia="zh-CN"/>
        </w:rPr>
      </w:pPr>
      <w:bookmarkStart w:id="436" w:name="bookmark252"/>
      <w:bookmarkEnd w:id="436"/>
      <w:bookmarkStart w:id="437" w:name="bookmark247"/>
      <w:bookmarkEnd w:id="437"/>
      <w:bookmarkStart w:id="438" w:name="bookmark248"/>
      <w:bookmarkEnd w:id="438"/>
      <w:bookmarkStart w:id="439" w:name="bookmark242"/>
      <w:bookmarkEnd w:id="439"/>
      <w:bookmarkStart w:id="440" w:name="bookmark250"/>
      <w:bookmarkEnd w:id="440"/>
      <w:bookmarkStart w:id="441" w:name="bookmark241"/>
      <w:bookmarkEnd w:id="441"/>
      <w:bookmarkStart w:id="442" w:name="_Toc27981"/>
      <w:bookmarkStart w:id="443" w:name="_Toc186477805"/>
      <w:r>
        <w:rPr>
          <w:rFonts w:hint="eastAsia" w:ascii="仿宋" w:hAnsi="仿宋" w:eastAsia="仿宋" w:cs="仿宋"/>
          <w:b/>
          <w:bCs/>
          <w:color w:val="auto"/>
          <w:spacing w:val="6"/>
          <w:sz w:val="31"/>
          <w:szCs w:val="31"/>
          <w:highlight w:val="none"/>
          <w:lang w:eastAsia="zh-CN"/>
        </w:rPr>
        <w:t>三、不参与围标串标承诺书</w:t>
      </w:r>
      <w:bookmarkEnd w:id="442"/>
      <w:bookmarkEnd w:id="443"/>
    </w:p>
    <w:p w14:paraId="241145AA">
      <w:pPr>
        <w:spacing w:line="241" w:lineRule="auto"/>
        <w:rPr>
          <w:rFonts w:ascii="仿宋" w:hAnsi="仿宋" w:eastAsia="仿宋" w:cs="仿宋"/>
          <w:color w:val="auto"/>
          <w:highlight w:val="none"/>
          <w:lang w:eastAsia="zh-CN"/>
        </w:rPr>
      </w:pPr>
    </w:p>
    <w:p w14:paraId="0DE779E4">
      <w:pPr>
        <w:spacing w:line="241" w:lineRule="auto"/>
        <w:rPr>
          <w:rFonts w:ascii="仿宋" w:hAnsi="仿宋" w:eastAsia="仿宋" w:cs="仿宋"/>
          <w:color w:val="auto"/>
          <w:highlight w:val="none"/>
          <w:lang w:eastAsia="zh-CN"/>
        </w:rPr>
      </w:pPr>
    </w:p>
    <w:p w14:paraId="585BBC3D">
      <w:pPr>
        <w:spacing w:before="101" w:line="224" w:lineRule="auto"/>
        <w:ind w:left="2578"/>
        <w:outlineLvl w:val="1"/>
        <w:rPr>
          <w:rFonts w:ascii="仿宋" w:hAnsi="仿宋" w:eastAsia="仿宋" w:cs="仿宋"/>
          <w:color w:val="auto"/>
          <w:sz w:val="31"/>
          <w:szCs w:val="31"/>
          <w:highlight w:val="none"/>
          <w:lang w:eastAsia="zh-CN"/>
        </w:rPr>
      </w:pPr>
      <w:bookmarkStart w:id="444" w:name="bookmark249"/>
      <w:bookmarkEnd w:id="444"/>
      <w:bookmarkStart w:id="445" w:name="_Toc29898"/>
      <w:bookmarkStart w:id="446" w:name="_Toc186477806"/>
      <w:r>
        <w:rPr>
          <w:rFonts w:hint="eastAsia" w:ascii="仿宋" w:hAnsi="仿宋" w:eastAsia="仿宋" w:cs="仿宋"/>
          <w:b/>
          <w:bCs/>
          <w:color w:val="auto"/>
          <w:spacing w:val="6"/>
          <w:sz w:val="31"/>
          <w:szCs w:val="31"/>
          <w:highlight w:val="none"/>
          <w:lang w:eastAsia="zh-CN"/>
        </w:rPr>
        <w:t>不参与围标串标承诺书</w:t>
      </w:r>
      <w:bookmarkEnd w:id="445"/>
      <w:bookmarkEnd w:id="446"/>
    </w:p>
    <w:p w14:paraId="732D67BC">
      <w:pPr>
        <w:spacing w:line="296" w:lineRule="auto"/>
        <w:rPr>
          <w:rFonts w:ascii="仿宋" w:hAnsi="仿宋" w:eastAsia="仿宋" w:cs="仿宋"/>
          <w:color w:val="auto"/>
          <w:highlight w:val="none"/>
          <w:lang w:eastAsia="zh-CN"/>
        </w:rPr>
      </w:pPr>
    </w:p>
    <w:p w14:paraId="55049859">
      <w:pPr>
        <w:spacing w:before="78" w:line="347" w:lineRule="auto"/>
        <w:ind w:left="27" w:right="160" w:firstLine="477"/>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本人作为经授权的投标人代表,清楚知晓我单位</w:t>
      </w:r>
      <w:r>
        <w:rPr>
          <w:rFonts w:hint="eastAsia" w:ascii="仿宋" w:hAnsi="仿宋" w:eastAsia="仿宋" w:cs="仿宋"/>
          <w:color w:val="auto"/>
          <w:spacing w:val="-1"/>
          <w:sz w:val="24"/>
          <w:szCs w:val="24"/>
          <w:highlight w:val="none"/>
          <w:lang w:eastAsia="zh-CN"/>
        </w:rPr>
        <w:t>本项目投标活动,对以下事</w:t>
      </w:r>
      <w:r>
        <w:rPr>
          <w:rFonts w:hint="eastAsia" w:ascii="仿宋" w:hAnsi="仿宋" w:eastAsia="仿宋" w:cs="仿宋"/>
          <w:color w:val="auto"/>
          <w:spacing w:val="-3"/>
          <w:sz w:val="24"/>
          <w:szCs w:val="24"/>
          <w:highlight w:val="none"/>
          <w:lang w:eastAsia="zh-CN"/>
        </w:rPr>
        <w:t>项作出承诺：</w:t>
      </w:r>
    </w:p>
    <w:p w14:paraId="052FA12F">
      <w:pPr>
        <w:spacing w:before="78" w:line="289" w:lineRule="auto"/>
        <w:ind w:left="24" w:right="40" w:firstLine="482"/>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一、我单位和我本人遵循公开透明、公平竞争、公正和诚实信用的原则,依法依规参与本项目竞标。</w:t>
      </w:r>
    </w:p>
    <w:p w14:paraId="508A80CB">
      <w:pPr>
        <w:spacing w:before="184" w:line="216" w:lineRule="auto"/>
        <w:ind w:left="507"/>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二、我单位和我本人在本项目政府采购投标活动中,未参与围标串标。</w:t>
      </w:r>
    </w:p>
    <w:p w14:paraId="516F5A97">
      <w:pPr>
        <w:spacing w:before="187" w:line="288" w:lineRule="auto"/>
        <w:ind w:left="24" w:right="13" w:firstLine="479"/>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三、我单位如被查实在本项目政府采购投标活动中存在围标串标</w:t>
      </w:r>
      <w:r>
        <w:rPr>
          <w:rFonts w:hint="eastAsia" w:ascii="仿宋" w:hAnsi="仿宋" w:eastAsia="仿宋" w:cs="仿宋"/>
          <w:color w:val="auto"/>
          <w:spacing w:val="-4"/>
          <w:sz w:val="24"/>
          <w:szCs w:val="24"/>
          <w:highlight w:val="none"/>
          <w:lang w:eastAsia="zh-CN"/>
        </w:rPr>
        <w:t>的，递交投</w:t>
      </w:r>
      <w:r>
        <w:rPr>
          <w:rFonts w:hint="eastAsia" w:ascii="仿宋" w:hAnsi="仿宋" w:eastAsia="仿宋" w:cs="仿宋"/>
          <w:color w:val="auto"/>
          <w:sz w:val="24"/>
          <w:szCs w:val="24"/>
          <w:highlight w:val="none"/>
          <w:lang w:eastAsia="zh-CN"/>
        </w:rPr>
        <w:t>标文件行为作为实施串通投标违法行为的关键环节,</w:t>
      </w:r>
      <w:r>
        <w:rPr>
          <w:rFonts w:hint="eastAsia" w:ascii="仿宋" w:hAnsi="仿宋" w:eastAsia="仿宋" w:cs="仿宋"/>
          <w:color w:val="auto"/>
          <w:spacing w:val="-1"/>
          <w:sz w:val="24"/>
          <w:szCs w:val="24"/>
          <w:highlight w:val="none"/>
          <w:lang w:eastAsia="zh-CN"/>
        </w:rPr>
        <w:t>由我单位及法定代表人承担</w:t>
      </w:r>
    </w:p>
    <w:p w14:paraId="0EC991EE">
      <w:pPr>
        <w:spacing w:before="187" w:line="219" w:lineRule="auto"/>
        <w:ind w:left="2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相应的法律责任，接受相应行政处罚和失信惩戒。</w:t>
      </w:r>
    </w:p>
    <w:p w14:paraId="6C648F65">
      <w:pPr>
        <w:spacing w:line="243" w:lineRule="auto"/>
        <w:rPr>
          <w:rFonts w:ascii="仿宋" w:hAnsi="仿宋" w:eastAsia="仿宋" w:cs="仿宋"/>
          <w:color w:val="auto"/>
          <w:highlight w:val="none"/>
          <w:lang w:eastAsia="zh-CN"/>
        </w:rPr>
      </w:pPr>
    </w:p>
    <w:p w14:paraId="27497D76">
      <w:pPr>
        <w:spacing w:line="243" w:lineRule="auto"/>
        <w:rPr>
          <w:rFonts w:ascii="仿宋" w:hAnsi="仿宋" w:eastAsia="仿宋" w:cs="仿宋"/>
          <w:color w:val="auto"/>
          <w:highlight w:val="none"/>
          <w:lang w:eastAsia="zh-CN"/>
        </w:rPr>
      </w:pPr>
    </w:p>
    <w:p w14:paraId="57369A77">
      <w:pPr>
        <w:spacing w:line="243" w:lineRule="auto"/>
        <w:rPr>
          <w:rFonts w:ascii="仿宋" w:hAnsi="仿宋" w:eastAsia="仿宋" w:cs="仿宋"/>
          <w:color w:val="auto"/>
          <w:highlight w:val="none"/>
          <w:lang w:eastAsia="zh-CN"/>
        </w:rPr>
      </w:pPr>
    </w:p>
    <w:p w14:paraId="340FE659">
      <w:pPr>
        <w:spacing w:line="244" w:lineRule="auto"/>
        <w:rPr>
          <w:rFonts w:ascii="仿宋" w:hAnsi="仿宋" w:eastAsia="仿宋" w:cs="仿宋"/>
          <w:color w:val="auto"/>
          <w:highlight w:val="none"/>
          <w:lang w:eastAsia="zh-CN"/>
        </w:rPr>
      </w:pPr>
    </w:p>
    <w:p w14:paraId="2CA95484">
      <w:pPr>
        <w:spacing w:line="244" w:lineRule="auto"/>
        <w:rPr>
          <w:rFonts w:ascii="仿宋" w:hAnsi="仿宋" w:eastAsia="仿宋" w:cs="仿宋"/>
          <w:color w:val="auto"/>
          <w:highlight w:val="none"/>
          <w:lang w:eastAsia="zh-CN"/>
        </w:rPr>
      </w:pPr>
    </w:p>
    <w:p w14:paraId="7024B196">
      <w:pPr>
        <w:spacing w:before="79" w:line="219" w:lineRule="auto"/>
        <w:ind w:left="2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649F5D7B">
      <w:pPr>
        <w:spacing w:before="79" w:line="219" w:lineRule="auto"/>
        <w:ind w:left="26"/>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法定代表人、负责人、本人、或授权代表（签字或盖章）：</w:t>
      </w:r>
    </w:p>
    <w:p w14:paraId="38694919">
      <w:pPr>
        <w:spacing w:before="79" w:line="219" w:lineRule="auto"/>
        <w:ind w:left="26"/>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日期：年月日</w:t>
      </w:r>
    </w:p>
    <w:p w14:paraId="5F53349F">
      <w:pPr>
        <w:spacing w:line="260" w:lineRule="auto"/>
        <w:rPr>
          <w:rFonts w:ascii="仿宋" w:hAnsi="仿宋" w:eastAsia="仿宋" w:cs="仿宋"/>
          <w:color w:val="auto"/>
          <w:highlight w:val="none"/>
          <w:lang w:eastAsia="zh-CN"/>
        </w:rPr>
      </w:pPr>
    </w:p>
    <w:p w14:paraId="31F5D516">
      <w:pPr>
        <w:spacing w:line="260" w:lineRule="auto"/>
        <w:rPr>
          <w:rFonts w:ascii="仿宋" w:hAnsi="仿宋" w:eastAsia="仿宋" w:cs="仿宋"/>
          <w:color w:val="auto"/>
          <w:highlight w:val="none"/>
          <w:lang w:eastAsia="zh-CN"/>
        </w:rPr>
      </w:pPr>
    </w:p>
    <w:p w14:paraId="27E9093A">
      <w:pPr>
        <w:pageBreakBefore/>
        <w:spacing w:before="100" w:line="226" w:lineRule="auto"/>
        <w:ind w:left="28"/>
        <w:outlineLvl w:val="1"/>
        <w:rPr>
          <w:rFonts w:ascii="仿宋" w:hAnsi="仿宋" w:eastAsia="仿宋" w:cs="仿宋"/>
          <w:color w:val="auto"/>
          <w:sz w:val="31"/>
          <w:szCs w:val="31"/>
          <w:highlight w:val="none"/>
          <w:lang w:eastAsia="zh-CN"/>
        </w:rPr>
      </w:pPr>
      <w:bookmarkStart w:id="447" w:name="bookmark287"/>
      <w:bookmarkEnd w:id="447"/>
      <w:bookmarkStart w:id="448" w:name="bookmark253"/>
      <w:bookmarkEnd w:id="448"/>
      <w:bookmarkStart w:id="449" w:name="_Toc4981"/>
      <w:bookmarkStart w:id="450" w:name="_Toc186477807"/>
      <w:r>
        <w:rPr>
          <w:rFonts w:hint="eastAsia" w:ascii="仿宋" w:hAnsi="仿宋" w:eastAsia="仿宋" w:cs="仿宋"/>
          <w:b/>
          <w:bCs/>
          <w:color w:val="auto"/>
          <w:spacing w:val="6"/>
          <w:sz w:val="31"/>
          <w:szCs w:val="31"/>
          <w:highlight w:val="none"/>
          <w:lang w:eastAsia="zh-CN"/>
        </w:rPr>
        <w:t>四、其他资格证明文件</w:t>
      </w:r>
      <w:bookmarkEnd w:id="449"/>
      <w:bookmarkEnd w:id="450"/>
    </w:p>
    <w:p w14:paraId="39351C1F">
      <w:pPr>
        <w:spacing w:before="306" w:line="219" w:lineRule="auto"/>
        <w:ind w:left="506"/>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投标人认为需提供的其它相关资格证明材料</w:t>
      </w:r>
    </w:p>
    <w:p w14:paraId="5C219B17">
      <w:pPr>
        <w:pStyle w:val="6"/>
        <w:rPr>
          <w:rFonts w:ascii="仿宋" w:hAnsi="仿宋" w:eastAsia="仿宋" w:cs="仿宋"/>
          <w:color w:val="auto"/>
          <w:spacing w:val="-1"/>
          <w:sz w:val="24"/>
          <w:szCs w:val="24"/>
          <w:highlight w:val="none"/>
          <w:lang w:eastAsia="zh-CN"/>
        </w:rPr>
      </w:pPr>
    </w:p>
    <w:p w14:paraId="09AAF237">
      <w:pPr>
        <w:pStyle w:val="6"/>
        <w:rPr>
          <w:rFonts w:ascii="仿宋" w:hAnsi="仿宋" w:eastAsia="仿宋" w:cs="仿宋"/>
          <w:color w:val="auto"/>
          <w:spacing w:val="-1"/>
          <w:sz w:val="24"/>
          <w:szCs w:val="24"/>
          <w:highlight w:val="none"/>
          <w:lang w:eastAsia="zh-CN"/>
        </w:rPr>
      </w:pPr>
    </w:p>
    <w:p w14:paraId="74FAFB9D">
      <w:pPr>
        <w:spacing w:line="257" w:lineRule="auto"/>
        <w:rPr>
          <w:rFonts w:ascii="仿宋" w:hAnsi="仿宋" w:eastAsia="仿宋" w:cs="仿宋"/>
          <w:color w:val="auto"/>
          <w:highlight w:val="none"/>
          <w:lang w:eastAsia="zh-CN"/>
        </w:rPr>
      </w:pPr>
    </w:p>
    <w:p w14:paraId="26D4F72D">
      <w:pPr>
        <w:spacing w:line="257" w:lineRule="auto"/>
        <w:rPr>
          <w:rFonts w:ascii="仿宋" w:hAnsi="仿宋" w:eastAsia="仿宋" w:cs="仿宋"/>
          <w:color w:val="auto"/>
          <w:highlight w:val="none"/>
          <w:lang w:eastAsia="zh-CN"/>
        </w:rPr>
      </w:pPr>
    </w:p>
    <w:p w14:paraId="6A4F6B38">
      <w:pPr>
        <w:spacing w:line="257" w:lineRule="auto"/>
        <w:rPr>
          <w:rFonts w:ascii="仿宋" w:hAnsi="仿宋" w:eastAsia="仿宋" w:cs="仿宋"/>
          <w:color w:val="auto"/>
          <w:highlight w:val="none"/>
          <w:lang w:eastAsia="zh-CN"/>
        </w:rPr>
      </w:pPr>
    </w:p>
    <w:p w14:paraId="2D3F7CA8">
      <w:pPr>
        <w:spacing w:line="257" w:lineRule="auto"/>
        <w:rPr>
          <w:rFonts w:ascii="仿宋" w:hAnsi="仿宋" w:eastAsia="仿宋" w:cs="仿宋"/>
          <w:color w:val="auto"/>
          <w:highlight w:val="none"/>
          <w:lang w:eastAsia="zh-CN"/>
        </w:rPr>
      </w:pPr>
    </w:p>
    <w:p w14:paraId="6A01E00C">
      <w:pPr>
        <w:spacing w:line="258" w:lineRule="auto"/>
        <w:rPr>
          <w:rFonts w:ascii="仿宋" w:hAnsi="仿宋" w:eastAsia="仿宋" w:cs="仿宋"/>
          <w:color w:val="auto"/>
          <w:highlight w:val="none"/>
          <w:lang w:eastAsia="zh-CN"/>
        </w:rPr>
      </w:pPr>
    </w:p>
    <w:p w14:paraId="3E01EAC8">
      <w:pPr>
        <w:pageBreakBefore/>
        <w:spacing w:line="259" w:lineRule="auto"/>
        <w:rPr>
          <w:rFonts w:ascii="仿宋" w:hAnsi="仿宋" w:eastAsia="仿宋" w:cs="仿宋"/>
          <w:color w:val="auto"/>
          <w:highlight w:val="none"/>
          <w:lang w:eastAsia="zh-CN"/>
        </w:rPr>
      </w:pPr>
    </w:p>
    <w:p w14:paraId="142D05EC">
      <w:pPr>
        <w:spacing w:before="78" w:line="221" w:lineRule="auto"/>
        <w:ind w:left="502"/>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封面：</w:t>
      </w:r>
    </w:p>
    <w:p w14:paraId="76BD7A09">
      <w:pPr>
        <w:spacing w:line="278" w:lineRule="auto"/>
        <w:rPr>
          <w:rFonts w:ascii="仿宋" w:hAnsi="仿宋" w:eastAsia="仿宋" w:cs="仿宋"/>
          <w:color w:val="auto"/>
          <w:highlight w:val="none"/>
          <w:lang w:eastAsia="zh-CN"/>
        </w:rPr>
      </w:pPr>
    </w:p>
    <w:p w14:paraId="1BBD763D">
      <w:pPr>
        <w:spacing w:line="279" w:lineRule="auto"/>
        <w:rPr>
          <w:rFonts w:ascii="仿宋" w:hAnsi="仿宋" w:eastAsia="仿宋" w:cs="仿宋"/>
          <w:color w:val="auto"/>
          <w:highlight w:val="none"/>
          <w:lang w:eastAsia="zh-CN"/>
        </w:rPr>
      </w:pPr>
    </w:p>
    <w:p w14:paraId="50F17953">
      <w:pPr>
        <w:spacing w:line="279" w:lineRule="auto"/>
        <w:rPr>
          <w:rFonts w:ascii="仿宋" w:hAnsi="仿宋" w:eastAsia="仿宋" w:cs="仿宋"/>
          <w:color w:val="auto"/>
          <w:highlight w:val="none"/>
          <w:lang w:eastAsia="zh-CN"/>
        </w:rPr>
      </w:pPr>
    </w:p>
    <w:p w14:paraId="3F661AF0">
      <w:pPr>
        <w:spacing w:line="279" w:lineRule="auto"/>
        <w:rPr>
          <w:rFonts w:ascii="仿宋" w:hAnsi="仿宋" w:eastAsia="仿宋" w:cs="仿宋"/>
          <w:color w:val="auto"/>
          <w:highlight w:val="none"/>
          <w:lang w:eastAsia="zh-CN"/>
        </w:rPr>
      </w:pPr>
    </w:p>
    <w:p w14:paraId="18EC1540">
      <w:pPr>
        <w:spacing w:line="279" w:lineRule="auto"/>
        <w:rPr>
          <w:rFonts w:ascii="仿宋" w:hAnsi="仿宋" w:eastAsia="仿宋" w:cs="仿宋"/>
          <w:color w:val="auto"/>
          <w:highlight w:val="none"/>
          <w:lang w:eastAsia="zh-CN"/>
        </w:rPr>
      </w:pPr>
    </w:p>
    <w:p w14:paraId="4535A483">
      <w:pPr>
        <w:spacing w:before="269" w:line="222" w:lineRule="auto"/>
        <w:jc w:val="center"/>
        <w:outlineLvl w:val="1"/>
        <w:rPr>
          <w:rFonts w:ascii="仿宋" w:hAnsi="仿宋" w:eastAsia="仿宋" w:cs="仿宋"/>
          <w:color w:val="auto"/>
          <w:sz w:val="83"/>
          <w:szCs w:val="83"/>
          <w:highlight w:val="none"/>
          <w:lang w:eastAsia="zh-CN"/>
        </w:rPr>
      </w:pPr>
      <w:bookmarkStart w:id="451" w:name="bookmark254"/>
      <w:bookmarkEnd w:id="451"/>
      <w:bookmarkStart w:id="452" w:name="_Toc24256"/>
      <w:bookmarkStart w:id="453" w:name="_Toc186477808"/>
      <w:r>
        <w:rPr>
          <w:rFonts w:hint="eastAsia" w:ascii="仿宋" w:hAnsi="仿宋" w:eastAsia="仿宋" w:cs="仿宋"/>
          <w:b/>
          <w:bCs/>
          <w:color w:val="auto"/>
          <w:spacing w:val="-31"/>
          <w:sz w:val="83"/>
          <w:szCs w:val="83"/>
          <w:highlight w:val="none"/>
          <w:lang w:eastAsia="zh-CN"/>
        </w:rPr>
        <w:t>投标文件</w:t>
      </w:r>
      <w:bookmarkEnd w:id="452"/>
      <w:bookmarkEnd w:id="453"/>
    </w:p>
    <w:p w14:paraId="03024C52">
      <w:pPr>
        <w:spacing w:before="236" w:line="221" w:lineRule="auto"/>
        <w:jc w:val="center"/>
        <w:rPr>
          <w:rFonts w:ascii="仿宋" w:hAnsi="仿宋" w:eastAsia="仿宋" w:cs="仿宋"/>
          <w:color w:val="auto"/>
          <w:sz w:val="55"/>
          <w:szCs w:val="55"/>
          <w:highlight w:val="none"/>
          <w:lang w:eastAsia="zh-CN"/>
        </w:rPr>
      </w:pPr>
      <w:r>
        <w:rPr>
          <w:rFonts w:hint="eastAsia" w:ascii="仿宋" w:hAnsi="仿宋" w:eastAsia="仿宋" w:cs="仿宋"/>
          <w:b/>
          <w:bCs/>
          <w:color w:val="auto"/>
          <w:spacing w:val="1"/>
          <w:sz w:val="55"/>
          <w:szCs w:val="55"/>
          <w:highlight w:val="none"/>
          <w:lang w:eastAsia="zh-CN"/>
        </w:rPr>
        <w:t>报价文件</w:t>
      </w:r>
    </w:p>
    <w:p w14:paraId="002A5F57">
      <w:pPr>
        <w:spacing w:before="220" w:line="224" w:lineRule="auto"/>
        <w:ind w:left="1134"/>
        <w:rPr>
          <w:rFonts w:ascii="仿宋" w:hAnsi="仿宋" w:eastAsia="仿宋" w:cs="仿宋"/>
          <w:color w:val="auto"/>
          <w:sz w:val="35"/>
          <w:szCs w:val="35"/>
          <w:highlight w:val="none"/>
          <w:lang w:eastAsia="zh-CN"/>
        </w:rPr>
      </w:pPr>
      <w:r>
        <w:rPr>
          <w:rFonts w:hint="eastAsia" w:ascii="仿宋" w:hAnsi="仿宋" w:eastAsia="仿宋" w:cs="仿宋"/>
          <w:color w:val="auto"/>
          <w:spacing w:val="8"/>
          <w:sz w:val="35"/>
          <w:szCs w:val="35"/>
          <w:highlight w:val="none"/>
          <w:lang w:eastAsia="zh-CN"/>
        </w:rPr>
        <w:t>（第</w:t>
      </w:r>
      <w:r>
        <w:rPr>
          <w:rFonts w:hint="eastAsia" w:ascii="仿宋" w:hAnsi="仿宋" w:eastAsia="仿宋" w:cs="仿宋"/>
          <w:color w:val="auto"/>
          <w:sz w:val="35"/>
          <w:szCs w:val="35"/>
          <w:highlight w:val="none"/>
          <w:lang w:eastAsia="zh-CN"/>
        </w:rPr>
        <w:t>XX</w:t>
      </w:r>
      <w:r>
        <w:rPr>
          <w:rFonts w:hint="eastAsia" w:ascii="仿宋" w:hAnsi="仿宋" w:eastAsia="仿宋" w:cs="仿宋"/>
          <w:color w:val="auto"/>
          <w:spacing w:val="8"/>
          <w:sz w:val="35"/>
          <w:szCs w:val="35"/>
          <w:highlight w:val="none"/>
          <w:lang w:eastAsia="zh-CN"/>
        </w:rPr>
        <w:t>包）【如不分包，请删去本行】</w:t>
      </w:r>
    </w:p>
    <w:p w14:paraId="0E1068CB">
      <w:pPr>
        <w:spacing w:line="252" w:lineRule="auto"/>
        <w:rPr>
          <w:rFonts w:ascii="仿宋" w:hAnsi="仿宋" w:eastAsia="仿宋" w:cs="仿宋"/>
          <w:color w:val="auto"/>
          <w:highlight w:val="none"/>
          <w:lang w:eastAsia="zh-CN"/>
        </w:rPr>
      </w:pPr>
    </w:p>
    <w:p w14:paraId="58A6BCD0">
      <w:pPr>
        <w:spacing w:line="253" w:lineRule="auto"/>
        <w:rPr>
          <w:rFonts w:ascii="仿宋" w:hAnsi="仿宋" w:eastAsia="仿宋" w:cs="仿宋"/>
          <w:color w:val="auto"/>
          <w:highlight w:val="none"/>
          <w:lang w:eastAsia="zh-CN"/>
        </w:rPr>
      </w:pPr>
    </w:p>
    <w:p w14:paraId="69CDC37F">
      <w:pPr>
        <w:spacing w:line="253" w:lineRule="auto"/>
        <w:rPr>
          <w:rFonts w:ascii="仿宋" w:hAnsi="仿宋" w:eastAsia="仿宋" w:cs="仿宋"/>
          <w:color w:val="auto"/>
          <w:highlight w:val="none"/>
          <w:lang w:eastAsia="zh-CN"/>
        </w:rPr>
      </w:pPr>
    </w:p>
    <w:p w14:paraId="30373F0B">
      <w:pPr>
        <w:spacing w:line="253" w:lineRule="auto"/>
        <w:rPr>
          <w:rFonts w:ascii="仿宋" w:hAnsi="仿宋" w:eastAsia="仿宋" w:cs="仿宋"/>
          <w:color w:val="auto"/>
          <w:highlight w:val="none"/>
          <w:lang w:eastAsia="zh-CN"/>
        </w:rPr>
      </w:pPr>
    </w:p>
    <w:p w14:paraId="24061AF5">
      <w:pPr>
        <w:spacing w:line="253" w:lineRule="auto"/>
        <w:rPr>
          <w:rFonts w:ascii="仿宋" w:hAnsi="仿宋" w:eastAsia="仿宋" w:cs="仿宋"/>
          <w:color w:val="auto"/>
          <w:highlight w:val="none"/>
          <w:lang w:eastAsia="zh-CN"/>
        </w:rPr>
      </w:pPr>
    </w:p>
    <w:p w14:paraId="086088D8">
      <w:pPr>
        <w:spacing w:line="253" w:lineRule="auto"/>
        <w:rPr>
          <w:rFonts w:ascii="仿宋" w:hAnsi="仿宋" w:eastAsia="仿宋" w:cs="仿宋"/>
          <w:color w:val="auto"/>
          <w:highlight w:val="none"/>
          <w:lang w:eastAsia="zh-CN"/>
        </w:rPr>
      </w:pPr>
    </w:p>
    <w:p w14:paraId="21DC5961">
      <w:pPr>
        <w:spacing w:line="253" w:lineRule="auto"/>
        <w:rPr>
          <w:rFonts w:ascii="仿宋" w:hAnsi="仿宋" w:eastAsia="仿宋" w:cs="仿宋"/>
          <w:color w:val="auto"/>
          <w:highlight w:val="none"/>
          <w:lang w:eastAsia="zh-CN"/>
        </w:rPr>
      </w:pPr>
    </w:p>
    <w:p w14:paraId="3D4A5359">
      <w:pPr>
        <w:spacing w:line="253" w:lineRule="auto"/>
        <w:rPr>
          <w:rFonts w:ascii="仿宋" w:hAnsi="仿宋" w:eastAsia="仿宋" w:cs="仿宋"/>
          <w:color w:val="auto"/>
          <w:highlight w:val="none"/>
          <w:lang w:eastAsia="zh-CN"/>
        </w:rPr>
      </w:pPr>
    </w:p>
    <w:p w14:paraId="03BBBC7A">
      <w:pPr>
        <w:spacing w:line="253" w:lineRule="auto"/>
        <w:rPr>
          <w:rFonts w:ascii="仿宋" w:hAnsi="仿宋" w:eastAsia="仿宋" w:cs="仿宋"/>
          <w:color w:val="auto"/>
          <w:highlight w:val="none"/>
          <w:lang w:eastAsia="zh-CN"/>
        </w:rPr>
      </w:pPr>
    </w:p>
    <w:p w14:paraId="07719E95">
      <w:pPr>
        <w:spacing w:line="253" w:lineRule="auto"/>
        <w:rPr>
          <w:rFonts w:ascii="仿宋" w:hAnsi="仿宋" w:eastAsia="仿宋" w:cs="仿宋"/>
          <w:color w:val="auto"/>
          <w:highlight w:val="none"/>
          <w:lang w:eastAsia="zh-CN"/>
        </w:rPr>
      </w:pPr>
    </w:p>
    <w:p w14:paraId="61D37D5D">
      <w:pPr>
        <w:spacing w:line="253" w:lineRule="auto"/>
        <w:rPr>
          <w:rFonts w:ascii="仿宋" w:hAnsi="仿宋" w:eastAsia="仿宋" w:cs="仿宋"/>
          <w:color w:val="auto"/>
          <w:highlight w:val="none"/>
          <w:lang w:eastAsia="zh-CN"/>
        </w:rPr>
      </w:pPr>
    </w:p>
    <w:p w14:paraId="709737FB">
      <w:pPr>
        <w:spacing w:line="253" w:lineRule="auto"/>
        <w:rPr>
          <w:rFonts w:ascii="仿宋" w:hAnsi="仿宋" w:eastAsia="仿宋" w:cs="仿宋"/>
          <w:color w:val="auto"/>
          <w:highlight w:val="none"/>
          <w:lang w:eastAsia="zh-CN"/>
        </w:rPr>
      </w:pPr>
    </w:p>
    <w:p w14:paraId="256DB8E0">
      <w:pPr>
        <w:pStyle w:val="9"/>
        <w:tabs>
          <w:tab w:val="left" w:pos="8364"/>
        </w:tabs>
        <w:spacing w:before="100"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项目编号：</w:t>
      </w:r>
      <w:r>
        <w:rPr>
          <w:rFonts w:hint="eastAsia" w:ascii="仿宋" w:hAnsi="仿宋" w:eastAsia="仿宋" w:cs="仿宋"/>
          <w:color w:val="auto"/>
          <w:highlight w:val="none"/>
          <w:u w:val="single"/>
          <w:lang w:eastAsia="zh-CN"/>
        </w:rPr>
        <w:tab/>
      </w:r>
    </w:p>
    <w:p w14:paraId="0B52F37D">
      <w:pPr>
        <w:pStyle w:val="9"/>
        <w:tabs>
          <w:tab w:val="left" w:pos="8364"/>
        </w:tabs>
        <w:spacing w:before="100"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项目名称：</w:t>
      </w:r>
      <w:r>
        <w:rPr>
          <w:rFonts w:hint="eastAsia" w:ascii="仿宋" w:hAnsi="仿宋" w:eastAsia="仿宋" w:cs="仿宋"/>
          <w:color w:val="auto"/>
          <w:highlight w:val="none"/>
          <w:u w:val="single"/>
          <w:lang w:eastAsia="zh-CN"/>
        </w:rPr>
        <w:tab/>
      </w:r>
    </w:p>
    <w:p w14:paraId="6D3EC053">
      <w:pPr>
        <w:pStyle w:val="9"/>
        <w:tabs>
          <w:tab w:val="left" w:pos="8364"/>
        </w:tabs>
        <w:spacing w:before="100" w:line="362" w:lineRule="auto"/>
        <w:ind w:left="443" w:right="14" w:firstLine="2"/>
        <w:jc w:val="both"/>
        <w:rPr>
          <w:rFonts w:ascii="仿宋" w:hAnsi="仿宋" w:eastAsia="仿宋" w:cs="仿宋"/>
          <w:color w:val="auto"/>
          <w:highlight w:val="none"/>
          <w:lang w:eastAsia="zh-CN"/>
        </w:rPr>
      </w:pPr>
      <w:r>
        <w:rPr>
          <w:rFonts w:hint="eastAsia" w:ascii="仿宋" w:hAnsi="仿宋" w:eastAsia="仿宋" w:cs="仿宋"/>
          <w:color w:val="auto"/>
          <w:spacing w:val="3"/>
          <w:highlight w:val="none"/>
          <w:lang w:eastAsia="zh-CN"/>
        </w:rPr>
        <w:t>投标人：</w:t>
      </w:r>
      <w:r>
        <w:rPr>
          <w:rFonts w:hint="eastAsia" w:ascii="仿宋" w:hAnsi="仿宋" w:eastAsia="仿宋" w:cs="仿宋"/>
          <w:color w:val="auto"/>
          <w:highlight w:val="none"/>
          <w:u w:val="single"/>
          <w:lang w:eastAsia="zh-CN"/>
        </w:rPr>
        <w:tab/>
      </w:r>
    </w:p>
    <w:p w14:paraId="6765406C">
      <w:pPr>
        <w:spacing w:line="297" w:lineRule="auto"/>
        <w:rPr>
          <w:rFonts w:ascii="仿宋" w:hAnsi="仿宋" w:eastAsia="仿宋" w:cs="仿宋"/>
          <w:color w:val="auto"/>
          <w:highlight w:val="none"/>
          <w:lang w:eastAsia="zh-CN"/>
        </w:rPr>
      </w:pPr>
    </w:p>
    <w:p w14:paraId="68EEC904">
      <w:pPr>
        <w:spacing w:line="297" w:lineRule="auto"/>
        <w:rPr>
          <w:rFonts w:ascii="仿宋" w:hAnsi="仿宋" w:eastAsia="仿宋" w:cs="仿宋"/>
          <w:color w:val="auto"/>
          <w:highlight w:val="none"/>
          <w:lang w:eastAsia="zh-CN"/>
        </w:rPr>
      </w:pPr>
    </w:p>
    <w:p w14:paraId="2DC97651">
      <w:pPr>
        <w:spacing w:line="297" w:lineRule="auto"/>
        <w:rPr>
          <w:rFonts w:ascii="仿宋" w:hAnsi="仿宋" w:eastAsia="仿宋" w:cs="仿宋"/>
          <w:color w:val="auto"/>
          <w:highlight w:val="none"/>
          <w:lang w:eastAsia="zh-CN"/>
        </w:rPr>
      </w:pPr>
    </w:p>
    <w:p w14:paraId="079743FA">
      <w:pPr>
        <w:spacing w:line="298" w:lineRule="auto"/>
        <w:rPr>
          <w:rFonts w:ascii="仿宋" w:hAnsi="仿宋" w:eastAsia="仿宋" w:cs="仿宋"/>
          <w:color w:val="auto"/>
          <w:highlight w:val="none"/>
          <w:lang w:eastAsia="zh-CN"/>
        </w:rPr>
      </w:pPr>
    </w:p>
    <w:p w14:paraId="0C47542B">
      <w:pPr>
        <w:pStyle w:val="9"/>
        <w:spacing w:before="102" w:line="228" w:lineRule="auto"/>
        <w:ind w:left="3140"/>
        <w:rPr>
          <w:rFonts w:ascii="仿宋" w:hAnsi="仿宋" w:eastAsia="仿宋" w:cs="仿宋"/>
          <w:color w:val="auto"/>
          <w:highlight w:val="none"/>
          <w:lang w:eastAsia="zh-CN"/>
        </w:rPr>
      </w:pPr>
      <w:r>
        <w:rPr>
          <w:rFonts w:hint="eastAsia" w:ascii="仿宋" w:hAnsi="仿宋" w:eastAsia="仿宋" w:cs="仿宋"/>
          <w:color w:val="auto"/>
          <w:spacing w:val="-6"/>
          <w:highlight w:val="none"/>
          <w:lang w:eastAsia="zh-CN"/>
        </w:rPr>
        <w:t>年月日</w:t>
      </w:r>
    </w:p>
    <w:p w14:paraId="28097EDA">
      <w:pPr>
        <w:spacing w:line="248" w:lineRule="auto"/>
        <w:rPr>
          <w:rFonts w:ascii="仿宋" w:hAnsi="仿宋" w:eastAsia="仿宋" w:cs="仿宋"/>
          <w:color w:val="auto"/>
          <w:highlight w:val="none"/>
          <w:lang w:eastAsia="zh-CN"/>
        </w:rPr>
      </w:pPr>
    </w:p>
    <w:p w14:paraId="1D9ED2CC">
      <w:pPr>
        <w:spacing w:line="248" w:lineRule="auto"/>
        <w:rPr>
          <w:rFonts w:ascii="仿宋" w:hAnsi="仿宋" w:eastAsia="仿宋" w:cs="仿宋"/>
          <w:color w:val="auto"/>
          <w:highlight w:val="none"/>
          <w:lang w:eastAsia="zh-CN"/>
        </w:rPr>
      </w:pPr>
    </w:p>
    <w:p w14:paraId="47AC8FEB">
      <w:pPr>
        <w:spacing w:line="249" w:lineRule="auto"/>
        <w:rPr>
          <w:rFonts w:ascii="仿宋" w:hAnsi="仿宋" w:eastAsia="仿宋" w:cs="仿宋"/>
          <w:color w:val="auto"/>
          <w:highlight w:val="none"/>
          <w:lang w:eastAsia="zh-CN"/>
        </w:rPr>
      </w:pPr>
    </w:p>
    <w:p w14:paraId="1283C02E">
      <w:pPr>
        <w:spacing w:line="249" w:lineRule="auto"/>
        <w:rPr>
          <w:rFonts w:ascii="仿宋" w:hAnsi="仿宋" w:eastAsia="仿宋" w:cs="仿宋"/>
          <w:color w:val="auto"/>
          <w:highlight w:val="none"/>
          <w:lang w:eastAsia="zh-CN"/>
        </w:rPr>
      </w:pPr>
    </w:p>
    <w:p w14:paraId="74FB5BA3">
      <w:pPr>
        <w:pageBreakBefore/>
        <w:spacing w:before="101" w:line="226" w:lineRule="auto"/>
        <w:jc w:val="center"/>
        <w:outlineLvl w:val="1"/>
        <w:rPr>
          <w:rFonts w:ascii="仿宋" w:hAnsi="仿宋" w:eastAsia="仿宋" w:cs="仿宋"/>
          <w:color w:val="auto"/>
          <w:sz w:val="31"/>
          <w:szCs w:val="31"/>
          <w:highlight w:val="none"/>
          <w:lang w:eastAsia="zh-CN"/>
        </w:rPr>
      </w:pPr>
      <w:bookmarkStart w:id="454" w:name="_Toc29424"/>
      <w:bookmarkStart w:id="455" w:name="_Toc186477809"/>
      <w:r>
        <w:rPr>
          <w:rFonts w:hint="eastAsia" w:ascii="仿宋" w:hAnsi="仿宋" w:eastAsia="仿宋" w:cs="仿宋"/>
          <w:b/>
          <w:bCs/>
          <w:color w:val="auto"/>
          <w:spacing w:val="5"/>
          <w:sz w:val="31"/>
          <w:szCs w:val="31"/>
          <w:highlight w:val="none"/>
          <w:lang w:eastAsia="zh-CN"/>
        </w:rPr>
        <w:t>一、开标一览表</w:t>
      </w:r>
      <w:bookmarkEnd w:id="454"/>
      <w:bookmarkEnd w:id="455"/>
    </w:p>
    <w:p w14:paraId="417B805A">
      <w:pPr>
        <w:spacing w:line="306" w:lineRule="auto"/>
        <w:rPr>
          <w:rFonts w:ascii="仿宋" w:hAnsi="仿宋" w:eastAsia="仿宋" w:cs="仿宋"/>
          <w:color w:val="auto"/>
          <w:highlight w:val="none"/>
          <w:lang w:eastAsia="zh-CN"/>
        </w:rPr>
      </w:pPr>
    </w:p>
    <w:p w14:paraId="1DA662F5">
      <w:pPr>
        <w:tabs>
          <w:tab w:val="left" w:pos="1800"/>
          <w:tab w:val="left" w:pos="5580"/>
        </w:tabs>
        <w:spacing w:line="360" w:lineRule="auto"/>
        <w:ind w:right="-867" w:rightChars="-413"/>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项目编号：                项目名称：         </w:t>
      </w:r>
    </w:p>
    <w:p w14:paraId="271E306E">
      <w:pPr>
        <w:tabs>
          <w:tab w:val="left" w:pos="1800"/>
          <w:tab w:val="left" w:pos="5580"/>
        </w:tabs>
        <w:spacing w:line="360" w:lineRule="auto"/>
        <w:ind w:right="-867" w:rightChars="-413"/>
        <w:rPr>
          <w:rFonts w:ascii="仿宋" w:hAnsi="仿宋" w:eastAsia="仿宋" w:cs="仿宋"/>
          <w:color w:val="auto"/>
          <w:sz w:val="24"/>
          <w:highlight w:val="none"/>
          <w:lang w:eastAsia="zh-CN"/>
        </w:rPr>
      </w:pPr>
      <w:r>
        <w:rPr>
          <w:rFonts w:hint="eastAsia" w:ascii="仿宋" w:hAnsi="仿宋" w:eastAsia="仿宋" w:cs="仿宋"/>
          <w:color w:val="auto"/>
          <w:sz w:val="24"/>
          <w:highlight w:val="none"/>
        </w:rPr>
        <w:t>报价单位：</w:t>
      </w:r>
      <w:bookmarkStart w:id="456" w:name="OLE_LINK109"/>
      <w:bookmarkStart w:id="457" w:name="OLE_LINK108"/>
      <w:r>
        <w:rPr>
          <w:rFonts w:hint="eastAsia" w:ascii="仿宋" w:hAnsi="仿宋" w:eastAsia="仿宋" w:cs="仿宋"/>
          <w:color w:val="auto"/>
          <w:sz w:val="24"/>
          <w:highlight w:val="none"/>
          <w:lang w:eastAsia="zh-CN"/>
        </w:rPr>
        <w:t>人民币元</w:t>
      </w:r>
      <w:bookmarkEnd w:id="456"/>
      <w:bookmarkEnd w:id="457"/>
    </w:p>
    <w:tbl>
      <w:tblPr>
        <w:tblStyle w:val="20"/>
        <w:tblpPr w:leftFromText="180" w:rightFromText="180" w:vertAnchor="text" w:horzAnchor="page" w:tblpX="1590" w:tblpY="518"/>
        <w:tblOverlap w:val="never"/>
        <w:tblW w:w="9200" w:type="dxa"/>
        <w:tblInd w:w="0" w:type="dxa"/>
        <w:tblLayout w:type="fixed"/>
        <w:tblCellMar>
          <w:top w:w="0" w:type="dxa"/>
          <w:left w:w="0" w:type="dxa"/>
          <w:bottom w:w="0" w:type="dxa"/>
          <w:right w:w="0" w:type="dxa"/>
        </w:tblCellMar>
      </w:tblPr>
      <w:tblGrid>
        <w:gridCol w:w="1197"/>
        <w:gridCol w:w="2722"/>
        <w:gridCol w:w="2182"/>
        <w:gridCol w:w="1243"/>
        <w:gridCol w:w="912"/>
        <w:gridCol w:w="944"/>
      </w:tblGrid>
      <w:tr w14:paraId="59A1D471">
        <w:tblPrEx>
          <w:tblCellMar>
            <w:top w:w="0" w:type="dxa"/>
            <w:left w:w="0" w:type="dxa"/>
            <w:bottom w:w="0" w:type="dxa"/>
            <w:right w:w="0" w:type="dxa"/>
          </w:tblCellMar>
        </w:tblPrEx>
        <w:trPr>
          <w:trHeight w:val="662" w:hRule="atLeast"/>
        </w:trPr>
        <w:tc>
          <w:tcPr>
            <w:tcW w:w="1197" w:type="dxa"/>
            <w:tcBorders>
              <w:top w:val="single" w:color="auto" w:sz="4" w:space="0"/>
              <w:left w:val="single" w:color="auto" w:sz="4" w:space="0"/>
              <w:bottom w:val="single" w:color="auto" w:sz="8" w:space="0"/>
              <w:right w:val="single" w:color="auto" w:sz="4" w:space="0"/>
            </w:tcBorders>
            <w:noWrap/>
            <w:vAlign w:val="center"/>
          </w:tcPr>
          <w:p w14:paraId="0A05B175">
            <w:pPr>
              <w:tabs>
                <w:tab w:val="left" w:pos="5580"/>
              </w:tabs>
              <w:spacing w:line="360" w:lineRule="auto"/>
              <w:ind w:right="-199"/>
              <w:jc w:val="center"/>
              <w:rPr>
                <w:rFonts w:ascii="仿宋" w:hAnsi="仿宋" w:eastAsia="仿宋" w:cs="仿宋"/>
                <w:color w:val="auto"/>
                <w:sz w:val="24"/>
                <w:highlight w:val="none"/>
              </w:rPr>
            </w:pPr>
            <w:r>
              <w:rPr>
                <w:rFonts w:hint="eastAsia" w:ascii="仿宋" w:hAnsi="仿宋" w:eastAsia="仿宋" w:cs="仿宋"/>
                <w:color w:val="auto"/>
                <w:sz w:val="24"/>
                <w:highlight w:val="none"/>
              </w:rPr>
              <w:t>标项名称</w:t>
            </w:r>
          </w:p>
        </w:tc>
        <w:tc>
          <w:tcPr>
            <w:tcW w:w="2722" w:type="dxa"/>
            <w:tcBorders>
              <w:top w:val="single" w:color="auto" w:sz="4" w:space="0"/>
              <w:left w:val="single" w:color="auto" w:sz="8" w:space="0"/>
              <w:bottom w:val="single" w:color="auto" w:sz="8" w:space="0"/>
              <w:right w:val="single" w:color="auto" w:sz="4" w:space="0"/>
            </w:tcBorders>
            <w:noWrap/>
            <w:vAlign w:val="center"/>
          </w:tcPr>
          <w:p w14:paraId="69266A19">
            <w:pPr>
              <w:tabs>
                <w:tab w:val="left" w:pos="5580"/>
              </w:tabs>
              <w:spacing w:line="360" w:lineRule="auto"/>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投标报价</w:t>
            </w:r>
          </w:p>
        </w:tc>
        <w:tc>
          <w:tcPr>
            <w:tcW w:w="2182" w:type="dxa"/>
            <w:tcBorders>
              <w:top w:val="single" w:color="auto" w:sz="8" w:space="0"/>
              <w:left w:val="nil"/>
              <w:bottom w:val="single" w:color="auto" w:sz="8" w:space="0"/>
              <w:right w:val="single" w:color="auto" w:sz="4" w:space="0"/>
            </w:tcBorders>
            <w:noWrap/>
            <w:vAlign w:val="center"/>
          </w:tcPr>
          <w:p w14:paraId="56CA2049">
            <w:pPr>
              <w:tabs>
                <w:tab w:val="left" w:pos="5580"/>
              </w:tab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1243" w:type="dxa"/>
            <w:tcBorders>
              <w:top w:val="single" w:color="auto" w:sz="8" w:space="0"/>
              <w:left w:val="nil"/>
              <w:bottom w:val="single" w:color="auto" w:sz="8" w:space="0"/>
              <w:right w:val="single" w:color="auto" w:sz="4" w:space="0"/>
            </w:tcBorders>
            <w:noWrap/>
            <w:vAlign w:val="center"/>
          </w:tcPr>
          <w:p w14:paraId="38435E67">
            <w:pPr>
              <w:tabs>
                <w:tab w:val="left" w:pos="5580"/>
              </w:tabs>
              <w:spacing w:line="360" w:lineRule="auto"/>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rPr>
              <w:t>交货地点</w:t>
            </w:r>
          </w:p>
        </w:tc>
        <w:tc>
          <w:tcPr>
            <w:tcW w:w="912" w:type="dxa"/>
            <w:tcBorders>
              <w:top w:val="single" w:color="auto" w:sz="8" w:space="0"/>
              <w:left w:val="single" w:color="auto" w:sz="4" w:space="0"/>
              <w:bottom w:val="single" w:color="auto" w:sz="8" w:space="0"/>
              <w:right w:val="single" w:color="auto" w:sz="8" w:space="0"/>
            </w:tcBorders>
            <w:vAlign w:val="center"/>
          </w:tcPr>
          <w:p w14:paraId="2D79261C">
            <w:pPr>
              <w:tabs>
                <w:tab w:val="left" w:pos="5580"/>
              </w:tabs>
              <w:spacing w:line="360" w:lineRule="auto"/>
              <w:jc w:val="center"/>
              <w:rPr>
                <w:rFonts w:ascii="仿宋" w:hAnsi="仿宋" w:eastAsia="仿宋" w:cs="仿宋"/>
                <w:color w:val="auto"/>
                <w:sz w:val="24"/>
                <w:highlight w:val="none"/>
                <w:lang w:eastAsia="zh-CN"/>
              </w:rPr>
            </w:pPr>
            <w:r>
              <w:rPr>
                <w:rFonts w:ascii="仿宋" w:hAnsi="仿宋" w:eastAsia="仿宋" w:cs="仿宋"/>
                <w:color w:val="auto"/>
                <w:sz w:val="24"/>
                <w:highlight w:val="none"/>
                <w:lang w:eastAsia="zh-CN"/>
              </w:rPr>
              <w:t>质保期</w:t>
            </w:r>
          </w:p>
        </w:tc>
        <w:tc>
          <w:tcPr>
            <w:tcW w:w="944" w:type="dxa"/>
            <w:tcBorders>
              <w:top w:val="single" w:color="auto" w:sz="8" w:space="0"/>
              <w:left w:val="single" w:color="auto" w:sz="4" w:space="0"/>
              <w:bottom w:val="single" w:color="auto" w:sz="8" w:space="0"/>
              <w:right w:val="single" w:color="auto" w:sz="8" w:space="0"/>
            </w:tcBorders>
            <w:noWrap/>
            <w:vAlign w:val="center"/>
          </w:tcPr>
          <w:p w14:paraId="1A5BD5C3">
            <w:pPr>
              <w:tabs>
                <w:tab w:val="left" w:pos="5580"/>
              </w:tab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6351E574">
        <w:tblPrEx>
          <w:tblCellMar>
            <w:top w:w="0" w:type="dxa"/>
            <w:left w:w="0" w:type="dxa"/>
            <w:bottom w:w="0" w:type="dxa"/>
            <w:right w:w="0" w:type="dxa"/>
          </w:tblCellMar>
        </w:tblPrEx>
        <w:trPr>
          <w:cantSplit/>
          <w:trHeight w:val="1640" w:hRule="atLeast"/>
        </w:trPr>
        <w:tc>
          <w:tcPr>
            <w:tcW w:w="1197" w:type="dxa"/>
            <w:tcBorders>
              <w:top w:val="single" w:color="auto" w:sz="8" w:space="0"/>
              <w:left w:val="single" w:color="auto" w:sz="4" w:space="0"/>
              <w:bottom w:val="single" w:color="auto" w:sz="4" w:space="0"/>
              <w:right w:val="single" w:color="auto" w:sz="4" w:space="0"/>
            </w:tcBorders>
            <w:noWrap/>
            <w:vAlign w:val="center"/>
          </w:tcPr>
          <w:p w14:paraId="3D16C4AA">
            <w:pPr>
              <w:tabs>
                <w:tab w:val="left" w:pos="5580"/>
              </w:tabs>
              <w:spacing w:line="360" w:lineRule="auto"/>
              <w:ind w:firstLine="240" w:firstLineChars="100"/>
              <w:rPr>
                <w:rFonts w:ascii="仿宋" w:hAnsi="仿宋" w:eastAsia="仿宋" w:cs="仿宋"/>
                <w:color w:val="auto"/>
                <w:sz w:val="24"/>
                <w:highlight w:val="none"/>
              </w:rPr>
            </w:pPr>
          </w:p>
        </w:tc>
        <w:tc>
          <w:tcPr>
            <w:tcW w:w="2722" w:type="dxa"/>
            <w:tcBorders>
              <w:top w:val="single" w:color="auto" w:sz="8" w:space="0"/>
              <w:left w:val="single" w:color="auto" w:sz="8" w:space="0"/>
              <w:bottom w:val="single" w:color="auto" w:sz="4" w:space="0"/>
              <w:right w:val="single" w:color="auto" w:sz="4" w:space="0"/>
            </w:tcBorders>
            <w:noWrap/>
            <w:vAlign w:val="center"/>
          </w:tcPr>
          <w:p w14:paraId="6ADD64D0">
            <w:pPr>
              <w:tabs>
                <w:tab w:val="left" w:pos="5580"/>
              </w:tabs>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大写：</w:t>
            </w:r>
          </w:p>
          <w:p w14:paraId="5FBD3133">
            <w:pPr>
              <w:tabs>
                <w:tab w:val="left" w:pos="5580"/>
              </w:tabs>
              <w:spacing w:line="360" w:lineRule="auto"/>
              <w:rPr>
                <w:rFonts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小写：    </w:t>
            </w:r>
            <w:r>
              <w:rPr>
                <w:rFonts w:hint="eastAsia" w:ascii="仿宋" w:hAnsi="仿宋" w:eastAsia="仿宋" w:cs="仿宋"/>
                <w:color w:val="auto"/>
                <w:sz w:val="24"/>
                <w:highlight w:val="none"/>
                <w:lang w:eastAsia="zh-CN"/>
              </w:rPr>
              <w:t>元</w:t>
            </w:r>
          </w:p>
        </w:tc>
        <w:tc>
          <w:tcPr>
            <w:tcW w:w="2182" w:type="dxa"/>
            <w:tcBorders>
              <w:top w:val="single" w:color="auto" w:sz="8" w:space="0"/>
              <w:left w:val="nil"/>
              <w:bottom w:val="single" w:color="auto" w:sz="4" w:space="0"/>
              <w:right w:val="single" w:color="auto" w:sz="4" w:space="0"/>
            </w:tcBorders>
            <w:noWrap/>
            <w:vAlign w:val="center"/>
          </w:tcPr>
          <w:p w14:paraId="4798DF69">
            <w:pPr>
              <w:tabs>
                <w:tab w:val="left" w:pos="5580"/>
              </w:tabs>
              <w:spacing w:line="360" w:lineRule="auto"/>
              <w:ind w:left="1080" w:leftChars="257" w:hanging="540"/>
              <w:jc w:val="center"/>
              <w:rPr>
                <w:rFonts w:ascii="仿宋" w:hAnsi="仿宋" w:eastAsia="仿宋" w:cs="仿宋"/>
                <w:color w:val="auto"/>
                <w:sz w:val="24"/>
                <w:highlight w:val="none"/>
              </w:rPr>
            </w:pPr>
          </w:p>
        </w:tc>
        <w:tc>
          <w:tcPr>
            <w:tcW w:w="1243" w:type="dxa"/>
            <w:tcBorders>
              <w:top w:val="single" w:color="auto" w:sz="8" w:space="0"/>
              <w:left w:val="nil"/>
              <w:bottom w:val="single" w:color="auto" w:sz="4" w:space="0"/>
              <w:right w:val="single" w:color="auto" w:sz="4" w:space="0"/>
            </w:tcBorders>
            <w:noWrap/>
            <w:vAlign w:val="center"/>
          </w:tcPr>
          <w:p w14:paraId="59E4A081">
            <w:pPr>
              <w:tabs>
                <w:tab w:val="left" w:pos="5580"/>
              </w:tabs>
              <w:spacing w:line="360" w:lineRule="auto"/>
              <w:rPr>
                <w:rFonts w:ascii="仿宋" w:hAnsi="仿宋" w:eastAsia="仿宋" w:cs="仿宋"/>
                <w:color w:val="auto"/>
                <w:sz w:val="24"/>
                <w:highlight w:val="none"/>
              </w:rPr>
            </w:pPr>
          </w:p>
        </w:tc>
        <w:tc>
          <w:tcPr>
            <w:tcW w:w="912" w:type="dxa"/>
            <w:tcBorders>
              <w:top w:val="single" w:color="auto" w:sz="8" w:space="0"/>
              <w:left w:val="single" w:color="auto" w:sz="4" w:space="0"/>
              <w:bottom w:val="single" w:color="auto" w:sz="4" w:space="0"/>
              <w:right w:val="single" w:color="auto" w:sz="8" w:space="0"/>
            </w:tcBorders>
            <w:vAlign w:val="center"/>
          </w:tcPr>
          <w:p w14:paraId="47F3949F">
            <w:pPr>
              <w:tabs>
                <w:tab w:val="left" w:pos="5580"/>
              </w:tabs>
              <w:spacing w:line="360" w:lineRule="auto"/>
              <w:rPr>
                <w:rFonts w:ascii="仿宋" w:hAnsi="仿宋" w:eastAsia="仿宋" w:cs="仿宋"/>
                <w:color w:val="auto"/>
                <w:sz w:val="24"/>
                <w:highlight w:val="none"/>
              </w:rPr>
            </w:pPr>
          </w:p>
        </w:tc>
        <w:tc>
          <w:tcPr>
            <w:tcW w:w="944" w:type="dxa"/>
            <w:tcBorders>
              <w:top w:val="single" w:color="auto" w:sz="8" w:space="0"/>
              <w:left w:val="single" w:color="auto" w:sz="4" w:space="0"/>
              <w:bottom w:val="single" w:color="auto" w:sz="4" w:space="0"/>
              <w:right w:val="single" w:color="auto" w:sz="8" w:space="0"/>
            </w:tcBorders>
            <w:noWrap/>
            <w:vAlign w:val="center"/>
          </w:tcPr>
          <w:p w14:paraId="258B1FB7">
            <w:pPr>
              <w:tabs>
                <w:tab w:val="left" w:pos="5580"/>
              </w:tabs>
              <w:spacing w:line="360" w:lineRule="auto"/>
              <w:ind w:left="1080" w:leftChars="257" w:hanging="540"/>
              <w:rPr>
                <w:rFonts w:ascii="仿宋" w:hAnsi="仿宋" w:eastAsia="仿宋" w:cs="仿宋"/>
                <w:color w:val="auto"/>
                <w:sz w:val="24"/>
                <w:highlight w:val="none"/>
              </w:rPr>
            </w:pPr>
          </w:p>
        </w:tc>
      </w:tr>
    </w:tbl>
    <w:p w14:paraId="03C63977">
      <w:pPr>
        <w:pStyle w:val="12"/>
        <w:tabs>
          <w:tab w:val="left" w:pos="5580"/>
        </w:tabs>
        <w:spacing w:line="360" w:lineRule="auto"/>
        <w:ind w:left="1080" w:leftChars="257" w:hanging="540"/>
        <w:rPr>
          <w:rFonts w:ascii="仿宋" w:hAnsi="仿宋" w:eastAsia="仿宋" w:cs="仿宋"/>
          <w:color w:val="auto"/>
          <w:sz w:val="24"/>
          <w:highlight w:val="none"/>
        </w:rPr>
      </w:pPr>
    </w:p>
    <w:p w14:paraId="0E24DAB1">
      <w:pPr>
        <w:pStyle w:val="12"/>
        <w:tabs>
          <w:tab w:val="left" w:pos="5580"/>
        </w:tabs>
        <w:spacing w:line="360" w:lineRule="auto"/>
        <w:ind w:left="1080" w:leftChars="257" w:hanging="540"/>
        <w:rPr>
          <w:rFonts w:ascii="仿宋" w:hAnsi="仿宋" w:eastAsia="仿宋" w:cs="仿宋"/>
          <w:color w:val="auto"/>
          <w:sz w:val="24"/>
          <w:highlight w:val="none"/>
          <w:u w:val="single"/>
        </w:rPr>
      </w:pPr>
    </w:p>
    <w:p w14:paraId="3C14EE44">
      <w:pPr>
        <w:pStyle w:val="12"/>
        <w:tabs>
          <w:tab w:val="left" w:pos="5580"/>
        </w:tabs>
        <w:spacing w:line="360" w:lineRule="auto"/>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投标人（盖公章）：</w:t>
      </w:r>
    </w:p>
    <w:p w14:paraId="709452F1">
      <w:pPr>
        <w:pStyle w:val="12"/>
        <w:tabs>
          <w:tab w:val="left" w:pos="5580"/>
        </w:tabs>
        <w:spacing w:line="360" w:lineRule="auto"/>
        <w:ind w:left="1080" w:leftChars="257" w:hanging="54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法定代表人或委托代理人(签字或签章):</w:t>
      </w:r>
      <w:r>
        <w:rPr>
          <w:rFonts w:hint="eastAsia" w:ascii="仿宋" w:hAnsi="仿宋" w:eastAsia="仿宋" w:cs="仿宋"/>
          <w:color w:val="auto"/>
          <w:sz w:val="24"/>
          <w:highlight w:val="none"/>
          <w:u w:val="single"/>
          <w:lang w:eastAsia="zh-CN"/>
        </w:rPr>
        <w:tab/>
      </w:r>
    </w:p>
    <w:p w14:paraId="409551F0">
      <w:pPr>
        <w:spacing w:line="242" w:lineRule="auto"/>
        <w:rPr>
          <w:rFonts w:ascii="仿宋" w:hAnsi="仿宋" w:eastAsia="仿宋" w:cs="仿宋"/>
          <w:color w:val="auto"/>
          <w:highlight w:val="none"/>
          <w:lang w:eastAsia="zh-CN"/>
        </w:rPr>
      </w:pPr>
    </w:p>
    <w:p w14:paraId="33E5EAAF">
      <w:pPr>
        <w:spacing w:line="242" w:lineRule="auto"/>
        <w:rPr>
          <w:rFonts w:ascii="仿宋" w:hAnsi="仿宋" w:eastAsia="仿宋" w:cs="仿宋"/>
          <w:color w:val="auto"/>
          <w:highlight w:val="none"/>
          <w:lang w:eastAsia="zh-CN"/>
        </w:rPr>
      </w:pPr>
    </w:p>
    <w:p w14:paraId="0D486597">
      <w:pPr>
        <w:spacing w:line="242" w:lineRule="auto"/>
        <w:rPr>
          <w:rFonts w:ascii="仿宋" w:hAnsi="仿宋" w:eastAsia="仿宋" w:cs="仿宋"/>
          <w:color w:val="auto"/>
          <w:highlight w:val="none"/>
          <w:lang w:eastAsia="zh-CN"/>
        </w:rPr>
      </w:pPr>
    </w:p>
    <w:p w14:paraId="3CE2BFE4">
      <w:pPr>
        <w:spacing w:line="242" w:lineRule="auto"/>
        <w:rPr>
          <w:rFonts w:ascii="仿宋" w:hAnsi="仿宋" w:eastAsia="仿宋" w:cs="仿宋"/>
          <w:color w:val="auto"/>
          <w:highlight w:val="none"/>
          <w:lang w:eastAsia="zh-CN"/>
        </w:rPr>
      </w:pPr>
    </w:p>
    <w:p w14:paraId="343828AE">
      <w:pPr>
        <w:spacing w:line="242" w:lineRule="auto"/>
        <w:rPr>
          <w:rFonts w:ascii="仿宋" w:hAnsi="仿宋" w:eastAsia="仿宋" w:cs="仿宋"/>
          <w:color w:val="auto"/>
          <w:highlight w:val="none"/>
          <w:lang w:eastAsia="zh-CN"/>
        </w:rPr>
      </w:pPr>
    </w:p>
    <w:p w14:paraId="48333ED2">
      <w:pPr>
        <w:spacing w:line="242" w:lineRule="auto"/>
        <w:rPr>
          <w:rFonts w:ascii="仿宋" w:hAnsi="仿宋" w:eastAsia="仿宋" w:cs="仿宋"/>
          <w:color w:val="auto"/>
          <w:highlight w:val="none"/>
          <w:lang w:eastAsia="zh-CN"/>
        </w:rPr>
      </w:pPr>
    </w:p>
    <w:p w14:paraId="00FD94C0">
      <w:pPr>
        <w:spacing w:line="242" w:lineRule="auto"/>
        <w:rPr>
          <w:rFonts w:ascii="仿宋" w:hAnsi="仿宋" w:eastAsia="仿宋" w:cs="仿宋"/>
          <w:color w:val="auto"/>
          <w:highlight w:val="none"/>
          <w:lang w:eastAsia="zh-CN"/>
        </w:rPr>
      </w:pPr>
    </w:p>
    <w:p w14:paraId="064F800B">
      <w:pPr>
        <w:spacing w:line="242" w:lineRule="auto"/>
        <w:rPr>
          <w:rFonts w:ascii="仿宋" w:hAnsi="仿宋" w:eastAsia="仿宋" w:cs="仿宋"/>
          <w:color w:val="auto"/>
          <w:highlight w:val="none"/>
          <w:lang w:eastAsia="zh-CN"/>
        </w:rPr>
      </w:pPr>
    </w:p>
    <w:p w14:paraId="6CBC5134">
      <w:pPr>
        <w:spacing w:line="242" w:lineRule="auto"/>
        <w:rPr>
          <w:rFonts w:ascii="仿宋" w:hAnsi="仿宋" w:eastAsia="仿宋" w:cs="仿宋"/>
          <w:color w:val="auto"/>
          <w:highlight w:val="none"/>
          <w:lang w:eastAsia="zh-CN"/>
        </w:rPr>
      </w:pPr>
    </w:p>
    <w:p w14:paraId="2483DD1F">
      <w:pPr>
        <w:spacing w:before="78" w:line="224" w:lineRule="auto"/>
        <w:ind w:left="122"/>
        <w:rPr>
          <w:rFonts w:ascii="仿宋" w:hAnsi="仿宋" w:eastAsia="仿宋" w:cs="仿宋"/>
          <w:color w:val="auto"/>
          <w:sz w:val="24"/>
          <w:szCs w:val="24"/>
          <w:highlight w:val="none"/>
          <w:lang w:eastAsia="zh-CN"/>
        </w:rPr>
      </w:pPr>
      <w:r>
        <w:rPr>
          <w:rFonts w:hint="eastAsia" w:ascii="仿宋" w:hAnsi="仿宋" w:eastAsia="仿宋" w:cs="仿宋"/>
          <w:b/>
          <w:bCs/>
          <w:color w:val="auto"/>
          <w:spacing w:val="-8"/>
          <w:sz w:val="24"/>
          <w:szCs w:val="24"/>
          <w:highlight w:val="none"/>
          <w:lang w:eastAsia="zh-CN"/>
        </w:rPr>
        <w:t>注：</w:t>
      </w:r>
    </w:p>
    <w:p w14:paraId="11FA0ACE">
      <w:pPr>
        <w:spacing w:before="177"/>
        <w:ind w:left="573" w:firstLine="468" w:firstLineChars="20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1.此表用于开标唱标之用。</w:t>
      </w:r>
    </w:p>
    <w:p w14:paraId="7197FCE0">
      <w:pPr>
        <w:spacing w:before="177"/>
        <w:ind w:left="573" w:firstLine="468" w:firstLineChars="200"/>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2.表中投标报价即为优惠后报价，并作为评审及定标依据。任何有选择或有条件的投标报价，或者表中某一包填写多个报价，均为无效报价。</w:t>
      </w:r>
    </w:p>
    <w:p w14:paraId="0E8F641D">
      <w:pPr>
        <w:spacing w:before="177"/>
        <w:ind w:left="573" w:firstLine="468" w:firstLineChars="200"/>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3.表中大写与小写不一致的，以大写为准。</w:t>
      </w:r>
    </w:p>
    <w:p w14:paraId="711D4358">
      <w:pPr>
        <w:spacing w:before="177"/>
        <w:ind w:left="573" w:firstLine="468" w:firstLineChars="200"/>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4.此表中，投标总价应和投标分项报价表的总价相一致。</w:t>
      </w:r>
    </w:p>
    <w:p w14:paraId="7D7E9200">
      <w:pPr>
        <w:spacing w:before="177" w:line="220" w:lineRule="auto"/>
        <w:ind w:left="574"/>
        <w:rPr>
          <w:rFonts w:ascii="仿宋" w:hAnsi="仿宋" w:eastAsia="仿宋" w:cs="仿宋"/>
          <w:color w:val="auto"/>
          <w:spacing w:val="-3"/>
          <w:sz w:val="24"/>
          <w:szCs w:val="24"/>
          <w:highlight w:val="none"/>
          <w:lang w:eastAsia="zh-CN"/>
        </w:rPr>
      </w:pPr>
    </w:p>
    <w:p w14:paraId="53B32F8E">
      <w:pPr>
        <w:pageBreakBefore/>
        <w:spacing w:line="326" w:lineRule="auto"/>
        <w:rPr>
          <w:rFonts w:ascii="仿宋" w:hAnsi="仿宋" w:eastAsia="仿宋" w:cs="仿宋"/>
          <w:color w:val="auto"/>
          <w:highlight w:val="none"/>
          <w:lang w:eastAsia="zh-CN"/>
        </w:rPr>
        <w:sectPr>
          <w:headerReference r:id="rId8" w:type="default"/>
          <w:footerReference r:id="rId9" w:type="default"/>
          <w:pgSz w:w="11906" w:h="16839"/>
          <w:pgMar w:top="1218" w:right="1416" w:bottom="1391" w:left="1560" w:header="865" w:footer="964" w:gutter="0"/>
          <w:pgNumType w:fmt="numberInDash"/>
          <w:cols w:space="720" w:num="1"/>
          <w:docGrid w:linePitch="286" w:charSpace="0"/>
        </w:sectPr>
      </w:pPr>
    </w:p>
    <w:p w14:paraId="3430714F">
      <w:pPr>
        <w:numPr>
          <w:ilvl w:val="0"/>
          <w:numId w:val="25"/>
        </w:numPr>
        <w:spacing w:before="101" w:line="223" w:lineRule="auto"/>
        <w:ind w:left="5983"/>
        <w:outlineLvl w:val="1"/>
        <w:rPr>
          <w:rFonts w:ascii="仿宋" w:hAnsi="仿宋" w:eastAsia="仿宋" w:cs="仿宋"/>
          <w:b/>
          <w:bCs/>
          <w:color w:val="auto"/>
          <w:spacing w:val="5"/>
          <w:sz w:val="31"/>
          <w:szCs w:val="31"/>
          <w:highlight w:val="none"/>
          <w:lang w:eastAsia="zh-CN"/>
        </w:rPr>
      </w:pPr>
      <w:bookmarkStart w:id="458" w:name="_Toc20570"/>
      <w:bookmarkStart w:id="459" w:name="_Toc186477810"/>
      <w:r>
        <w:rPr>
          <w:rFonts w:hint="eastAsia" w:ascii="仿宋" w:hAnsi="仿宋" w:eastAsia="仿宋" w:cs="仿宋"/>
          <w:b/>
          <w:bCs/>
          <w:color w:val="auto"/>
          <w:spacing w:val="5"/>
          <w:sz w:val="31"/>
          <w:szCs w:val="31"/>
          <w:highlight w:val="none"/>
          <w:lang w:eastAsia="zh-CN"/>
        </w:rPr>
        <w:t>分项明细表</w:t>
      </w:r>
      <w:bookmarkEnd w:id="458"/>
      <w:bookmarkEnd w:id="459"/>
    </w:p>
    <w:p w14:paraId="46DB63AB">
      <w:pPr>
        <w:spacing w:before="101" w:line="223" w:lineRule="auto"/>
        <w:outlineLvl w:val="1"/>
        <w:rPr>
          <w:rFonts w:ascii="仿宋" w:hAnsi="仿宋" w:eastAsia="仿宋" w:cs="仿宋"/>
          <w:b/>
          <w:bCs/>
          <w:color w:val="auto"/>
          <w:spacing w:val="5"/>
          <w:sz w:val="31"/>
          <w:szCs w:val="31"/>
          <w:highlight w:val="none"/>
          <w:lang w:eastAsia="zh-CN"/>
        </w:rPr>
      </w:pPr>
    </w:p>
    <w:p w14:paraId="16C1FCB6">
      <w:pPr>
        <w:pStyle w:val="12"/>
        <w:spacing w:line="360" w:lineRule="auto"/>
        <w:ind w:left="1080" w:leftChars="257" w:hanging="54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项目名称:              招标编号:         标项名称: 　 　              报价单位：人民币元</w:t>
      </w:r>
    </w:p>
    <w:tbl>
      <w:tblPr>
        <w:tblStyle w:val="20"/>
        <w:tblW w:w="14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418"/>
        <w:gridCol w:w="870"/>
        <w:gridCol w:w="1485"/>
        <w:gridCol w:w="2094"/>
        <w:gridCol w:w="1568"/>
        <w:gridCol w:w="1022"/>
        <w:gridCol w:w="957"/>
        <w:gridCol w:w="1039"/>
        <w:gridCol w:w="1050"/>
        <w:gridCol w:w="1274"/>
      </w:tblGrid>
      <w:tr w14:paraId="5140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4" w:type="dxa"/>
            <w:noWrap/>
            <w:vAlign w:val="center"/>
          </w:tcPr>
          <w:p w14:paraId="34B87EEC">
            <w:pPr>
              <w:pStyle w:val="12"/>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2418" w:type="dxa"/>
            <w:noWrap/>
            <w:vAlign w:val="center"/>
          </w:tcPr>
          <w:p w14:paraId="58EB7F20">
            <w:pPr>
              <w:pStyle w:val="12"/>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产品名称</w:t>
            </w:r>
          </w:p>
        </w:tc>
        <w:tc>
          <w:tcPr>
            <w:tcW w:w="870" w:type="dxa"/>
            <w:noWrap/>
            <w:vAlign w:val="center"/>
          </w:tcPr>
          <w:p w14:paraId="352659A0">
            <w:pPr>
              <w:pStyle w:val="12"/>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1485" w:type="dxa"/>
            <w:noWrap/>
            <w:vAlign w:val="center"/>
          </w:tcPr>
          <w:p w14:paraId="2B996299">
            <w:pPr>
              <w:pStyle w:val="12"/>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型号和规格</w:t>
            </w:r>
          </w:p>
        </w:tc>
        <w:tc>
          <w:tcPr>
            <w:tcW w:w="2094" w:type="dxa"/>
            <w:noWrap/>
            <w:vAlign w:val="center"/>
          </w:tcPr>
          <w:p w14:paraId="79BA4623">
            <w:pPr>
              <w:pStyle w:val="12"/>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制造商名称</w:t>
            </w:r>
          </w:p>
        </w:tc>
        <w:tc>
          <w:tcPr>
            <w:tcW w:w="1568" w:type="dxa"/>
            <w:noWrap/>
            <w:vAlign w:val="center"/>
          </w:tcPr>
          <w:p w14:paraId="5697ACEE">
            <w:pPr>
              <w:pStyle w:val="12"/>
              <w:spacing w:line="360" w:lineRule="auto"/>
              <w:jc w:val="center"/>
              <w:rPr>
                <w:rFonts w:ascii="仿宋" w:hAnsi="仿宋" w:eastAsia="仿宋"/>
                <w:color w:val="auto"/>
                <w:sz w:val="24"/>
                <w:highlight w:val="none"/>
                <w:lang w:eastAsia="zh-CN"/>
              </w:rPr>
            </w:pPr>
            <w:r>
              <w:rPr>
                <w:rFonts w:hint="eastAsia" w:ascii="仿宋" w:hAnsi="仿宋" w:eastAsia="仿宋"/>
                <w:color w:val="auto"/>
                <w:sz w:val="24"/>
                <w:highlight w:val="none"/>
                <w:lang w:eastAsia="zh-CN"/>
              </w:rPr>
              <w:t>制造商规模</w:t>
            </w:r>
          </w:p>
        </w:tc>
        <w:tc>
          <w:tcPr>
            <w:tcW w:w="1022" w:type="dxa"/>
            <w:noWrap/>
            <w:vAlign w:val="center"/>
          </w:tcPr>
          <w:p w14:paraId="0084F9AA">
            <w:pPr>
              <w:pStyle w:val="12"/>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957" w:type="dxa"/>
            <w:noWrap/>
            <w:vAlign w:val="center"/>
          </w:tcPr>
          <w:p w14:paraId="16CF47D3">
            <w:pPr>
              <w:pStyle w:val="12"/>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单位</w:t>
            </w:r>
          </w:p>
        </w:tc>
        <w:tc>
          <w:tcPr>
            <w:tcW w:w="1039" w:type="dxa"/>
            <w:noWrap/>
            <w:vAlign w:val="center"/>
          </w:tcPr>
          <w:p w14:paraId="17621E5F">
            <w:pPr>
              <w:pStyle w:val="12"/>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单价</w:t>
            </w:r>
          </w:p>
        </w:tc>
        <w:tc>
          <w:tcPr>
            <w:tcW w:w="1050" w:type="dxa"/>
            <w:noWrap/>
            <w:vAlign w:val="center"/>
          </w:tcPr>
          <w:p w14:paraId="653E2DDB">
            <w:pPr>
              <w:pStyle w:val="12"/>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总价</w:t>
            </w:r>
          </w:p>
        </w:tc>
        <w:tc>
          <w:tcPr>
            <w:tcW w:w="1274" w:type="dxa"/>
            <w:noWrap/>
            <w:vAlign w:val="center"/>
          </w:tcPr>
          <w:p w14:paraId="66982816">
            <w:pPr>
              <w:pStyle w:val="12"/>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14:paraId="3AE0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34" w:type="dxa"/>
            <w:noWrap/>
            <w:vAlign w:val="center"/>
          </w:tcPr>
          <w:p w14:paraId="75E0F10B">
            <w:pPr>
              <w:pStyle w:val="12"/>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2418" w:type="dxa"/>
            <w:noWrap/>
            <w:vAlign w:val="center"/>
          </w:tcPr>
          <w:p w14:paraId="096EEA76">
            <w:pPr>
              <w:jc w:val="center"/>
              <w:rPr>
                <w:rFonts w:ascii="仿宋" w:hAnsi="仿宋" w:eastAsia="仿宋"/>
                <w:color w:val="auto"/>
                <w:sz w:val="24"/>
                <w:szCs w:val="20"/>
                <w:highlight w:val="none"/>
              </w:rPr>
            </w:pPr>
          </w:p>
        </w:tc>
        <w:tc>
          <w:tcPr>
            <w:tcW w:w="870" w:type="dxa"/>
            <w:noWrap/>
          </w:tcPr>
          <w:p w14:paraId="1B3ED094">
            <w:pPr>
              <w:pStyle w:val="12"/>
              <w:spacing w:line="360" w:lineRule="auto"/>
              <w:ind w:left="1080" w:leftChars="257" w:hanging="540"/>
              <w:jc w:val="center"/>
              <w:rPr>
                <w:rFonts w:ascii="仿宋" w:hAnsi="仿宋" w:eastAsia="仿宋"/>
                <w:color w:val="auto"/>
                <w:sz w:val="24"/>
                <w:highlight w:val="none"/>
              </w:rPr>
            </w:pPr>
          </w:p>
        </w:tc>
        <w:tc>
          <w:tcPr>
            <w:tcW w:w="1485" w:type="dxa"/>
            <w:noWrap/>
            <w:vAlign w:val="center"/>
          </w:tcPr>
          <w:p w14:paraId="4FA49E00">
            <w:pPr>
              <w:pStyle w:val="12"/>
              <w:spacing w:line="360" w:lineRule="auto"/>
              <w:ind w:left="1080" w:leftChars="257" w:hanging="540"/>
              <w:jc w:val="center"/>
              <w:rPr>
                <w:rFonts w:ascii="仿宋" w:hAnsi="仿宋" w:eastAsia="仿宋"/>
                <w:color w:val="auto"/>
                <w:sz w:val="24"/>
                <w:highlight w:val="none"/>
              </w:rPr>
            </w:pPr>
          </w:p>
        </w:tc>
        <w:tc>
          <w:tcPr>
            <w:tcW w:w="2094" w:type="dxa"/>
            <w:noWrap/>
            <w:vAlign w:val="center"/>
          </w:tcPr>
          <w:p w14:paraId="15316458">
            <w:pPr>
              <w:jc w:val="center"/>
              <w:rPr>
                <w:rFonts w:ascii="仿宋" w:hAnsi="仿宋" w:eastAsia="仿宋"/>
                <w:color w:val="auto"/>
                <w:sz w:val="24"/>
                <w:szCs w:val="20"/>
                <w:highlight w:val="none"/>
              </w:rPr>
            </w:pPr>
          </w:p>
        </w:tc>
        <w:tc>
          <w:tcPr>
            <w:tcW w:w="1568" w:type="dxa"/>
            <w:noWrap/>
            <w:vAlign w:val="center"/>
          </w:tcPr>
          <w:p w14:paraId="348AA4BC">
            <w:pPr>
              <w:pStyle w:val="12"/>
              <w:spacing w:line="360" w:lineRule="auto"/>
              <w:ind w:left="1080" w:leftChars="257" w:hanging="540"/>
              <w:jc w:val="center"/>
              <w:rPr>
                <w:rFonts w:ascii="仿宋" w:hAnsi="仿宋" w:eastAsia="仿宋"/>
                <w:color w:val="auto"/>
                <w:sz w:val="24"/>
                <w:highlight w:val="none"/>
              </w:rPr>
            </w:pPr>
          </w:p>
        </w:tc>
        <w:tc>
          <w:tcPr>
            <w:tcW w:w="1022" w:type="dxa"/>
            <w:noWrap/>
            <w:vAlign w:val="center"/>
          </w:tcPr>
          <w:p w14:paraId="520A5923">
            <w:pPr>
              <w:pStyle w:val="12"/>
              <w:spacing w:line="360" w:lineRule="auto"/>
              <w:ind w:left="1080" w:leftChars="257" w:hanging="540"/>
              <w:jc w:val="center"/>
              <w:rPr>
                <w:rFonts w:ascii="仿宋" w:hAnsi="仿宋" w:eastAsia="仿宋"/>
                <w:color w:val="auto"/>
                <w:sz w:val="24"/>
                <w:highlight w:val="none"/>
              </w:rPr>
            </w:pPr>
          </w:p>
        </w:tc>
        <w:tc>
          <w:tcPr>
            <w:tcW w:w="957" w:type="dxa"/>
            <w:noWrap/>
            <w:vAlign w:val="center"/>
          </w:tcPr>
          <w:p w14:paraId="7076DF52">
            <w:pPr>
              <w:pStyle w:val="12"/>
              <w:spacing w:line="360" w:lineRule="auto"/>
              <w:ind w:left="1080" w:leftChars="257" w:hanging="540"/>
              <w:jc w:val="center"/>
              <w:rPr>
                <w:rFonts w:ascii="仿宋" w:hAnsi="仿宋" w:eastAsia="仿宋"/>
                <w:color w:val="auto"/>
                <w:sz w:val="24"/>
                <w:highlight w:val="none"/>
              </w:rPr>
            </w:pPr>
          </w:p>
        </w:tc>
        <w:tc>
          <w:tcPr>
            <w:tcW w:w="1039" w:type="dxa"/>
            <w:noWrap/>
            <w:vAlign w:val="center"/>
          </w:tcPr>
          <w:p w14:paraId="1E2C8D8F">
            <w:pPr>
              <w:pStyle w:val="12"/>
              <w:spacing w:line="360" w:lineRule="auto"/>
              <w:ind w:left="1080" w:leftChars="257" w:hanging="540"/>
              <w:jc w:val="center"/>
              <w:rPr>
                <w:rFonts w:ascii="仿宋" w:hAnsi="仿宋" w:eastAsia="仿宋"/>
                <w:color w:val="auto"/>
                <w:sz w:val="24"/>
                <w:highlight w:val="none"/>
              </w:rPr>
            </w:pPr>
          </w:p>
        </w:tc>
        <w:tc>
          <w:tcPr>
            <w:tcW w:w="1050" w:type="dxa"/>
            <w:noWrap/>
            <w:vAlign w:val="center"/>
          </w:tcPr>
          <w:p w14:paraId="5DE24113">
            <w:pPr>
              <w:pStyle w:val="12"/>
              <w:spacing w:line="360" w:lineRule="auto"/>
              <w:ind w:left="1080" w:leftChars="257" w:hanging="540"/>
              <w:jc w:val="center"/>
              <w:rPr>
                <w:rFonts w:ascii="仿宋" w:hAnsi="仿宋" w:eastAsia="仿宋"/>
                <w:color w:val="auto"/>
                <w:sz w:val="24"/>
                <w:highlight w:val="none"/>
              </w:rPr>
            </w:pPr>
          </w:p>
        </w:tc>
        <w:tc>
          <w:tcPr>
            <w:tcW w:w="1274" w:type="dxa"/>
            <w:noWrap/>
            <w:vAlign w:val="center"/>
          </w:tcPr>
          <w:p w14:paraId="4EB9D65F">
            <w:pPr>
              <w:pStyle w:val="12"/>
              <w:spacing w:line="360" w:lineRule="auto"/>
              <w:rPr>
                <w:rFonts w:ascii="仿宋" w:hAnsi="仿宋" w:eastAsia="仿宋"/>
                <w:color w:val="auto"/>
                <w:sz w:val="24"/>
                <w:highlight w:val="none"/>
              </w:rPr>
            </w:pPr>
          </w:p>
        </w:tc>
      </w:tr>
      <w:tr w14:paraId="2699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4" w:type="dxa"/>
            <w:noWrap/>
            <w:vAlign w:val="center"/>
          </w:tcPr>
          <w:p w14:paraId="4C217F21">
            <w:pPr>
              <w:pStyle w:val="12"/>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2418" w:type="dxa"/>
            <w:noWrap/>
            <w:vAlign w:val="center"/>
          </w:tcPr>
          <w:p w14:paraId="5BEBBDC1">
            <w:pPr>
              <w:jc w:val="center"/>
              <w:rPr>
                <w:rFonts w:ascii="仿宋" w:hAnsi="仿宋" w:eastAsia="仿宋"/>
                <w:color w:val="auto"/>
                <w:sz w:val="24"/>
                <w:szCs w:val="20"/>
                <w:highlight w:val="none"/>
              </w:rPr>
            </w:pPr>
          </w:p>
        </w:tc>
        <w:tc>
          <w:tcPr>
            <w:tcW w:w="870" w:type="dxa"/>
            <w:noWrap/>
          </w:tcPr>
          <w:p w14:paraId="1F402E09">
            <w:pPr>
              <w:pStyle w:val="12"/>
              <w:spacing w:line="360" w:lineRule="auto"/>
              <w:ind w:left="1080" w:leftChars="257" w:hanging="540"/>
              <w:jc w:val="center"/>
              <w:rPr>
                <w:rFonts w:ascii="仿宋" w:hAnsi="仿宋" w:eastAsia="仿宋"/>
                <w:color w:val="auto"/>
                <w:sz w:val="24"/>
                <w:highlight w:val="none"/>
              </w:rPr>
            </w:pPr>
          </w:p>
        </w:tc>
        <w:tc>
          <w:tcPr>
            <w:tcW w:w="1485" w:type="dxa"/>
            <w:noWrap/>
            <w:vAlign w:val="center"/>
          </w:tcPr>
          <w:p w14:paraId="329FE07A">
            <w:pPr>
              <w:pStyle w:val="12"/>
              <w:spacing w:line="360" w:lineRule="auto"/>
              <w:ind w:left="1080" w:leftChars="257" w:hanging="540"/>
              <w:jc w:val="center"/>
              <w:rPr>
                <w:rFonts w:ascii="仿宋" w:hAnsi="仿宋" w:eastAsia="仿宋"/>
                <w:color w:val="auto"/>
                <w:sz w:val="24"/>
                <w:highlight w:val="none"/>
              </w:rPr>
            </w:pPr>
          </w:p>
        </w:tc>
        <w:tc>
          <w:tcPr>
            <w:tcW w:w="2094" w:type="dxa"/>
            <w:noWrap/>
            <w:vAlign w:val="center"/>
          </w:tcPr>
          <w:p w14:paraId="77078E2D">
            <w:pPr>
              <w:jc w:val="center"/>
              <w:rPr>
                <w:rFonts w:ascii="仿宋" w:hAnsi="仿宋" w:eastAsia="仿宋"/>
                <w:color w:val="auto"/>
                <w:sz w:val="24"/>
                <w:szCs w:val="20"/>
                <w:highlight w:val="none"/>
              </w:rPr>
            </w:pPr>
          </w:p>
        </w:tc>
        <w:tc>
          <w:tcPr>
            <w:tcW w:w="1568" w:type="dxa"/>
            <w:noWrap/>
            <w:vAlign w:val="center"/>
          </w:tcPr>
          <w:p w14:paraId="396FAAB2">
            <w:pPr>
              <w:pStyle w:val="12"/>
              <w:spacing w:line="360" w:lineRule="auto"/>
              <w:ind w:left="1080" w:leftChars="257" w:hanging="540"/>
              <w:jc w:val="center"/>
              <w:rPr>
                <w:rFonts w:ascii="仿宋" w:hAnsi="仿宋" w:eastAsia="仿宋"/>
                <w:color w:val="auto"/>
                <w:sz w:val="24"/>
                <w:highlight w:val="none"/>
              </w:rPr>
            </w:pPr>
          </w:p>
        </w:tc>
        <w:tc>
          <w:tcPr>
            <w:tcW w:w="1022" w:type="dxa"/>
            <w:noWrap/>
            <w:vAlign w:val="center"/>
          </w:tcPr>
          <w:p w14:paraId="03EFE9D0">
            <w:pPr>
              <w:pStyle w:val="12"/>
              <w:spacing w:line="360" w:lineRule="auto"/>
              <w:ind w:left="1080" w:leftChars="257" w:hanging="540"/>
              <w:jc w:val="center"/>
              <w:rPr>
                <w:rFonts w:ascii="仿宋" w:hAnsi="仿宋" w:eastAsia="仿宋"/>
                <w:color w:val="auto"/>
                <w:sz w:val="24"/>
                <w:highlight w:val="none"/>
              </w:rPr>
            </w:pPr>
          </w:p>
        </w:tc>
        <w:tc>
          <w:tcPr>
            <w:tcW w:w="957" w:type="dxa"/>
            <w:noWrap/>
            <w:vAlign w:val="center"/>
          </w:tcPr>
          <w:p w14:paraId="6A3A3729">
            <w:pPr>
              <w:pStyle w:val="12"/>
              <w:spacing w:line="360" w:lineRule="auto"/>
              <w:ind w:left="1080" w:leftChars="257" w:hanging="540"/>
              <w:jc w:val="center"/>
              <w:rPr>
                <w:rFonts w:ascii="仿宋" w:hAnsi="仿宋" w:eastAsia="仿宋"/>
                <w:color w:val="auto"/>
                <w:sz w:val="24"/>
                <w:highlight w:val="none"/>
              </w:rPr>
            </w:pPr>
          </w:p>
        </w:tc>
        <w:tc>
          <w:tcPr>
            <w:tcW w:w="1039" w:type="dxa"/>
            <w:noWrap/>
            <w:vAlign w:val="center"/>
          </w:tcPr>
          <w:p w14:paraId="755AFF5A">
            <w:pPr>
              <w:pStyle w:val="12"/>
              <w:spacing w:line="360" w:lineRule="auto"/>
              <w:ind w:left="1080" w:leftChars="257" w:hanging="540"/>
              <w:jc w:val="center"/>
              <w:rPr>
                <w:rFonts w:ascii="仿宋" w:hAnsi="仿宋" w:eastAsia="仿宋"/>
                <w:color w:val="auto"/>
                <w:sz w:val="24"/>
                <w:highlight w:val="none"/>
              </w:rPr>
            </w:pPr>
          </w:p>
        </w:tc>
        <w:tc>
          <w:tcPr>
            <w:tcW w:w="1050" w:type="dxa"/>
            <w:noWrap/>
            <w:vAlign w:val="center"/>
          </w:tcPr>
          <w:p w14:paraId="7208BC2B">
            <w:pPr>
              <w:pStyle w:val="12"/>
              <w:spacing w:line="360" w:lineRule="auto"/>
              <w:ind w:left="1080" w:leftChars="257" w:hanging="540"/>
              <w:jc w:val="center"/>
              <w:rPr>
                <w:rFonts w:ascii="仿宋" w:hAnsi="仿宋" w:eastAsia="仿宋"/>
                <w:color w:val="auto"/>
                <w:sz w:val="24"/>
                <w:highlight w:val="none"/>
              </w:rPr>
            </w:pPr>
          </w:p>
        </w:tc>
        <w:tc>
          <w:tcPr>
            <w:tcW w:w="1274" w:type="dxa"/>
            <w:noWrap/>
            <w:vAlign w:val="center"/>
          </w:tcPr>
          <w:p w14:paraId="4190E2D2">
            <w:pPr>
              <w:pStyle w:val="12"/>
              <w:spacing w:line="360" w:lineRule="auto"/>
              <w:ind w:left="1080" w:leftChars="257" w:hanging="540"/>
              <w:jc w:val="center"/>
              <w:rPr>
                <w:rFonts w:ascii="仿宋" w:hAnsi="仿宋" w:eastAsia="仿宋"/>
                <w:color w:val="auto"/>
                <w:sz w:val="24"/>
                <w:highlight w:val="none"/>
              </w:rPr>
            </w:pPr>
          </w:p>
        </w:tc>
      </w:tr>
      <w:tr w14:paraId="0AA6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4" w:type="dxa"/>
            <w:noWrap/>
            <w:vAlign w:val="center"/>
          </w:tcPr>
          <w:p w14:paraId="617F69FD">
            <w:pPr>
              <w:pStyle w:val="12"/>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2418" w:type="dxa"/>
            <w:noWrap/>
            <w:vAlign w:val="center"/>
          </w:tcPr>
          <w:p w14:paraId="64392ECE">
            <w:pPr>
              <w:jc w:val="center"/>
              <w:rPr>
                <w:rFonts w:ascii="仿宋" w:hAnsi="仿宋" w:eastAsia="仿宋"/>
                <w:color w:val="auto"/>
                <w:sz w:val="24"/>
                <w:szCs w:val="20"/>
                <w:highlight w:val="none"/>
              </w:rPr>
            </w:pPr>
          </w:p>
        </w:tc>
        <w:tc>
          <w:tcPr>
            <w:tcW w:w="870" w:type="dxa"/>
            <w:noWrap/>
          </w:tcPr>
          <w:p w14:paraId="4E1B3395">
            <w:pPr>
              <w:pStyle w:val="12"/>
              <w:spacing w:line="360" w:lineRule="auto"/>
              <w:ind w:left="1080" w:leftChars="257" w:hanging="540"/>
              <w:jc w:val="center"/>
              <w:rPr>
                <w:rFonts w:ascii="仿宋" w:hAnsi="仿宋" w:eastAsia="仿宋"/>
                <w:color w:val="auto"/>
                <w:sz w:val="24"/>
                <w:highlight w:val="none"/>
              </w:rPr>
            </w:pPr>
          </w:p>
        </w:tc>
        <w:tc>
          <w:tcPr>
            <w:tcW w:w="1485" w:type="dxa"/>
            <w:noWrap/>
            <w:vAlign w:val="center"/>
          </w:tcPr>
          <w:p w14:paraId="7C8B4299">
            <w:pPr>
              <w:pStyle w:val="12"/>
              <w:spacing w:line="360" w:lineRule="auto"/>
              <w:ind w:left="1080" w:leftChars="257" w:hanging="540"/>
              <w:jc w:val="center"/>
              <w:rPr>
                <w:rFonts w:ascii="仿宋" w:hAnsi="仿宋" w:eastAsia="仿宋"/>
                <w:color w:val="auto"/>
                <w:sz w:val="24"/>
                <w:highlight w:val="none"/>
              </w:rPr>
            </w:pPr>
          </w:p>
        </w:tc>
        <w:tc>
          <w:tcPr>
            <w:tcW w:w="2094" w:type="dxa"/>
            <w:noWrap/>
            <w:vAlign w:val="center"/>
          </w:tcPr>
          <w:p w14:paraId="202A8101">
            <w:pPr>
              <w:jc w:val="center"/>
              <w:rPr>
                <w:rFonts w:ascii="仿宋" w:hAnsi="仿宋" w:eastAsia="仿宋"/>
                <w:color w:val="auto"/>
                <w:sz w:val="24"/>
                <w:szCs w:val="20"/>
                <w:highlight w:val="none"/>
              </w:rPr>
            </w:pPr>
          </w:p>
        </w:tc>
        <w:tc>
          <w:tcPr>
            <w:tcW w:w="1568" w:type="dxa"/>
            <w:noWrap/>
            <w:vAlign w:val="center"/>
          </w:tcPr>
          <w:p w14:paraId="72F451CB">
            <w:pPr>
              <w:pStyle w:val="12"/>
              <w:spacing w:line="360" w:lineRule="auto"/>
              <w:ind w:left="1080" w:leftChars="257" w:hanging="540"/>
              <w:jc w:val="center"/>
              <w:rPr>
                <w:rFonts w:ascii="仿宋" w:hAnsi="仿宋" w:eastAsia="仿宋"/>
                <w:color w:val="auto"/>
                <w:sz w:val="24"/>
                <w:highlight w:val="none"/>
              </w:rPr>
            </w:pPr>
          </w:p>
        </w:tc>
        <w:tc>
          <w:tcPr>
            <w:tcW w:w="1022" w:type="dxa"/>
            <w:noWrap/>
            <w:vAlign w:val="center"/>
          </w:tcPr>
          <w:p w14:paraId="104101F7">
            <w:pPr>
              <w:pStyle w:val="12"/>
              <w:spacing w:line="360" w:lineRule="auto"/>
              <w:ind w:left="1080" w:leftChars="257" w:hanging="540"/>
              <w:jc w:val="center"/>
              <w:rPr>
                <w:rFonts w:ascii="仿宋" w:hAnsi="仿宋" w:eastAsia="仿宋"/>
                <w:color w:val="auto"/>
                <w:sz w:val="24"/>
                <w:highlight w:val="none"/>
              </w:rPr>
            </w:pPr>
          </w:p>
        </w:tc>
        <w:tc>
          <w:tcPr>
            <w:tcW w:w="957" w:type="dxa"/>
            <w:noWrap/>
            <w:vAlign w:val="center"/>
          </w:tcPr>
          <w:p w14:paraId="08A1F8DA">
            <w:pPr>
              <w:pStyle w:val="12"/>
              <w:spacing w:line="360" w:lineRule="auto"/>
              <w:ind w:left="1080" w:leftChars="257" w:hanging="540"/>
              <w:jc w:val="center"/>
              <w:rPr>
                <w:rFonts w:ascii="仿宋" w:hAnsi="仿宋" w:eastAsia="仿宋"/>
                <w:color w:val="auto"/>
                <w:sz w:val="24"/>
                <w:highlight w:val="none"/>
              </w:rPr>
            </w:pPr>
          </w:p>
        </w:tc>
        <w:tc>
          <w:tcPr>
            <w:tcW w:w="1039" w:type="dxa"/>
            <w:noWrap/>
            <w:vAlign w:val="center"/>
          </w:tcPr>
          <w:p w14:paraId="74E03934">
            <w:pPr>
              <w:pStyle w:val="12"/>
              <w:spacing w:line="360" w:lineRule="auto"/>
              <w:ind w:left="1080" w:leftChars="257" w:hanging="540"/>
              <w:jc w:val="center"/>
              <w:rPr>
                <w:rFonts w:ascii="仿宋" w:hAnsi="仿宋" w:eastAsia="仿宋"/>
                <w:color w:val="auto"/>
                <w:sz w:val="24"/>
                <w:highlight w:val="none"/>
              </w:rPr>
            </w:pPr>
          </w:p>
        </w:tc>
        <w:tc>
          <w:tcPr>
            <w:tcW w:w="1050" w:type="dxa"/>
            <w:noWrap/>
            <w:vAlign w:val="center"/>
          </w:tcPr>
          <w:p w14:paraId="6E942AE2">
            <w:pPr>
              <w:pStyle w:val="12"/>
              <w:spacing w:line="360" w:lineRule="auto"/>
              <w:ind w:left="1080" w:leftChars="257" w:hanging="540"/>
              <w:jc w:val="center"/>
              <w:rPr>
                <w:rFonts w:ascii="仿宋" w:hAnsi="仿宋" w:eastAsia="仿宋"/>
                <w:color w:val="auto"/>
                <w:sz w:val="24"/>
                <w:highlight w:val="none"/>
              </w:rPr>
            </w:pPr>
          </w:p>
        </w:tc>
        <w:tc>
          <w:tcPr>
            <w:tcW w:w="1274" w:type="dxa"/>
            <w:noWrap/>
            <w:vAlign w:val="center"/>
          </w:tcPr>
          <w:p w14:paraId="1CDD814C">
            <w:pPr>
              <w:pStyle w:val="12"/>
              <w:spacing w:line="360" w:lineRule="auto"/>
              <w:ind w:left="1080" w:leftChars="257" w:hanging="540"/>
              <w:jc w:val="center"/>
              <w:rPr>
                <w:rFonts w:ascii="仿宋" w:hAnsi="仿宋" w:eastAsia="仿宋"/>
                <w:color w:val="auto"/>
                <w:sz w:val="24"/>
                <w:highlight w:val="none"/>
              </w:rPr>
            </w:pPr>
          </w:p>
        </w:tc>
      </w:tr>
      <w:tr w14:paraId="4EBF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4" w:type="dxa"/>
            <w:noWrap/>
            <w:vAlign w:val="center"/>
          </w:tcPr>
          <w:p w14:paraId="2536912F">
            <w:pPr>
              <w:pStyle w:val="12"/>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2418" w:type="dxa"/>
            <w:noWrap/>
            <w:vAlign w:val="center"/>
          </w:tcPr>
          <w:p w14:paraId="5E9430DE">
            <w:pPr>
              <w:pStyle w:val="12"/>
              <w:spacing w:line="360" w:lineRule="auto"/>
              <w:jc w:val="center"/>
              <w:rPr>
                <w:rFonts w:ascii="仿宋" w:hAnsi="仿宋" w:eastAsia="仿宋"/>
                <w:color w:val="auto"/>
                <w:sz w:val="24"/>
                <w:highlight w:val="none"/>
              </w:rPr>
            </w:pPr>
          </w:p>
        </w:tc>
        <w:tc>
          <w:tcPr>
            <w:tcW w:w="870" w:type="dxa"/>
            <w:noWrap/>
          </w:tcPr>
          <w:p w14:paraId="2F255C2A">
            <w:pPr>
              <w:pStyle w:val="12"/>
              <w:spacing w:line="360" w:lineRule="auto"/>
              <w:ind w:left="1080" w:leftChars="257" w:hanging="540"/>
              <w:jc w:val="center"/>
              <w:rPr>
                <w:rFonts w:ascii="仿宋" w:hAnsi="仿宋" w:eastAsia="仿宋"/>
                <w:color w:val="auto"/>
                <w:sz w:val="24"/>
                <w:highlight w:val="none"/>
              </w:rPr>
            </w:pPr>
          </w:p>
        </w:tc>
        <w:tc>
          <w:tcPr>
            <w:tcW w:w="1485" w:type="dxa"/>
            <w:noWrap/>
            <w:vAlign w:val="center"/>
          </w:tcPr>
          <w:p w14:paraId="4C57CB7F">
            <w:pPr>
              <w:pStyle w:val="12"/>
              <w:spacing w:line="360" w:lineRule="auto"/>
              <w:ind w:left="1080" w:leftChars="257" w:hanging="540"/>
              <w:jc w:val="center"/>
              <w:rPr>
                <w:rFonts w:ascii="仿宋" w:hAnsi="仿宋" w:eastAsia="仿宋"/>
                <w:color w:val="auto"/>
                <w:sz w:val="24"/>
                <w:highlight w:val="none"/>
              </w:rPr>
            </w:pPr>
          </w:p>
        </w:tc>
        <w:tc>
          <w:tcPr>
            <w:tcW w:w="2094" w:type="dxa"/>
            <w:noWrap/>
            <w:vAlign w:val="center"/>
          </w:tcPr>
          <w:p w14:paraId="5B87A720">
            <w:pPr>
              <w:pStyle w:val="12"/>
              <w:spacing w:line="360" w:lineRule="auto"/>
              <w:ind w:left="1080" w:leftChars="257" w:hanging="540"/>
              <w:jc w:val="center"/>
              <w:rPr>
                <w:rFonts w:ascii="仿宋" w:hAnsi="仿宋" w:eastAsia="仿宋"/>
                <w:color w:val="auto"/>
                <w:sz w:val="24"/>
                <w:highlight w:val="none"/>
              </w:rPr>
            </w:pPr>
          </w:p>
        </w:tc>
        <w:tc>
          <w:tcPr>
            <w:tcW w:w="1568" w:type="dxa"/>
            <w:noWrap/>
            <w:vAlign w:val="center"/>
          </w:tcPr>
          <w:p w14:paraId="36C6800E">
            <w:pPr>
              <w:pStyle w:val="12"/>
              <w:spacing w:line="360" w:lineRule="auto"/>
              <w:ind w:left="1080" w:leftChars="257" w:hanging="540"/>
              <w:jc w:val="center"/>
              <w:rPr>
                <w:rFonts w:ascii="仿宋" w:hAnsi="仿宋" w:eastAsia="仿宋"/>
                <w:color w:val="auto"/>
                <w:sz w:val="24"/>
                <w:highlight w:val="none"/>
              </w:rPr>
            </w:pPr>
          </w:p>
        </w:tc>
        <w:tc>
          <w:tcPr>
            <w:tcW w:w="1022" w:type="dxa"/>
            <w:noWrap/>
            <w:vAlign w:val="center"/>
          </w:tcPr>
          <w:p w14:paraId="3A933A3F">
            <w:pPr>
              <w:pStyle w:val="12"/>
              <w:spacing w:line="360" w:lineRule="auto"/>
              <w:ind w:left="1080" w:leftChars="257" w:hanging="540"/>
              <w:jc w:val="center"/>
              <w:rPr>
                <w:rFonts w:ascii="仿宋" w:hAnsi="仿宋" w:eastAsia="仿宋"/>
                <w:color w:val="auto"/>
                <w:sz w:val="24"/>
                <w:highlight w:val="none"/>
              </w:rPr>
            </w:pPr>
          </w:p>
        </w:tc>
        <w:tc>
          <w:tcPr>
            <w:tcW w:w="957" w:type="dxa"/>
            <w:noWrap/>
            <w:vAlign w:val="center"/>
          </w:tcPr>
          <w:p w14:paraId="59BCA79B">
            <w:pPr>
              <w:pStyle w:val="12"/>
              <w:spacing w:line="360" w:lineRule="auto"/>
              <w:ind w:left="1080" w:leftChars="257" w:hanging="540"/>
              <w:jc w:val="center"/>
              <w:rPr>
                <w:rFonts w:ascii="仿宋" w:hAnsi="仿宋" w:eastAsia="仿宋"/>
                <w:color w:val="auto"/>
                <w:sz w:val="24"/>
                <w:highlight w:val="none"/>
              </w:rPr>
            </w:pPr>
          </w:p>
        </w:tc>
        <w:tc>
          <w:tcPr>
            <w:tcW w:w="1039" w:type="dxa"/>
            <w:noWrap/>
            <w:vAlign w:val="center"/>
          </w:tcPr>
          <w:p w14:paraId="18289923">
            <w:pPr>
              <w:pStyle w:val="12"/>
              <w:spacing w:line="360" w:lineRule="auto"/>
              <w:ind w:left="1080" w:leftChars="257" w:hanging="540"/>
              <w:jc w:val="center"/>
              <w:rPr>
                <w:rFonts w:ascii="仿宋" w:hAnsi="仿宋" w:eastAsia="仿宋"/>
                <w:color w:val="auto"/>
                <w:sz w:val="24"/>
                <w:highlight w:val="none"/>
              </w:rPr>
            </w:pPr>
          </w:p>
        </w:tc>
        <w:tc>
          <w:tcPr>
            <w:tcW w:w="1050" w:type="dxa"/>
            <w:noWrap/>
            <w:vAlign w:val="center"/>
          </w:tcPr>
          <w:p w14:paraId="07C055B9">
            <w:pPr>
              <w:pStyle w:val="12"/>
              <w:spacing w:line="360" w:lineRule="auto"/>
              <w:ind w:left="1080" w:leftChars="257" w:hanging="540"/>
              <w:jc w:val="center"/>
              <w:rPr>
                <w:rFonts w:ascii="仿宋" w:hAnsi="仿宋" w:eastAsia="仿宋"/>
                <w:color w:val="auto"/>
                <w:sz w:val="24"/>
                <w:highlight w:val="none"/>
              </w:rPr>
            </w:pPr>
          </w:p>
        </w:tc>
        <w:tc>
          <w:tcPr>
            <w:tcW w:w="1274" w:type="dxa"/>
            <w:noWrap/>
            <w:vAlign w:val="center"/>
          </w:tcPr>
          <w:p w14:paraId="3819AAB6">
            <w:pPr>
              <w:pStyle w:val="12"/>
              <w:spacing w:line="360" w:lineRule="auto"/>
              <w:rPr>
                <w:rFonts w:ascii="仿宋" w:hAnsi="仿宋" w:eastAsia="仿宋"/>
                <w:color w:val="auto"/>
                <w:sz w:val="24"/>
                <w:highlight w:val="none"/>
              </w:rPr>
            </w:pPr>
          </w:p>
        </w:tc>
      </w:tr>
    </w:tbl>
    <w:p w14:paraId="221BFDA5">
      <w:pPr>
        <w:pStyle w:val="12"/>
        <w:tabs>
          <w:tab w:val="left" w:pos="5370"/>
        </w:tabs>
        <w:spacing w:line="360" w:lineRule="auto"/>
        <w:ind w:left="1080" w:leftChars="257" w:hanging="540"/>
        <w:rPr>
          <w:rFonts w:ascii="仿宋" w:hAnsi="仿宋" w:eastAsia="仿宋" w:cs="仿宋"/>
          <w:color w:val="auto"/>
          <w:sz w:val="24"/>
          <w:highlight w:val="none"/>
          <w:lang w:eastAsia="zh-CN"/>
        </w:rPr>
      </w:pPr>
    </w:p>
    <w:p w14:paraId="4300AFF9">
      <w:pPr>
        <w:pStyle w:val="12"/>
        <w:tabs>
          <w:tab w:val="left" w:pos="5370"/>
        </w:tabs>
        <w:spacing w:line="360" w:lineRule="auto"/>
        <w:ind w:left="1080" w:leftChars="257" w:hanging="54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投标人(盖公章):</w:t>
      </w:r>
      <w:r>
        <w:rPr>
          <w:rFonts w:hint="eastAsia" w:ascii="仿宋" w:hAnsi="仿宋" w:eastAsia="仿宋" w:cs="仿宋"/>
          <w:color w:val="auto"/>
          <w:sz w:val="24"/>
          <w:highlight w:val="none"/>
          <w:u w:val="single"/>
          <w:lang w:eastAsia="zh-CN"/>
        </w:rPr>
        <w:tab/>
      </w:r>
    </w:p>
    <w:p w14:paraId="546397F4">
      <w:pPr>
        <w:pStyle w:val="12"/>
        <w:spacing w:line="360" w:lineRule="auto"/>
        <w:ind w:left="1080" w:leftChars="257" w:hanging="54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法定代表人或委托代理人（签字或签章）:</w:t>
      </w:r>
      <w:r>
        <w:rPr>
          <w:rFonts w:hint="eastAsia" w:ascii="仿宋" w:hAnsi="仿宋" w:eastAsia="仿宋" w:cs="仿宋"/>
          <w:color w:val="auto"/>
          <w:sz w:val="24"/>
          <w:highlight w:val="none"/>
          <w:u w:val="single"/>
          <w:lang w:eastAsia="zh-CN"/>
        </w:rPr>
        <w:tab/>
      </w:r>
    </w:p>
    <w:p w14:paraId="697F3983">
      <w:pPr>
        <w:pStyle w:val="12"/>
        <w:spacing w:line="360" w:lineRule="auto"/>
        <w:ind w:left="1080" w:leftChars="257" w:hanging="540"/>
        <w:rPr>
          <w:rFonts w:ascii="仿宋" w:hAnsi="仿宋" w:eastAsia="仿宋" w:cs="仿宋"/>
          <w:color w:val="auto"/>
          <w:sz w:val="24"/>
          <w:highlight w:val="none"/>
          <w:lang w:eastAsia="zh-CN"/>
        </w:rPr>
      </w:pPr>
    </w:p>
    <w:p w14:paraId="393C5A53">
      <w:pPr>
        <w:pStyle w:val="12"/>
        <w:ind w:left="1080" w:leftChars="257" w:hanging="540"/>
        <w:rPr>
          <w:rFonts w:ascii="仿宋" w:hAnsi="仿宋" w:eastAsia="仿宋"/>
          <w:color w:val="auto"/>
          <w:sz w:val="24"/>
          <w:highlight w:val="none"/>
          <w:lang w:eastAsia="zh-CN"/>
        </w:rPr>
      </w:pPr>
      <w:bookmarkStart w:id="460" w:name="OLE_LINK114"/>
      <w:bookmarkStart w:id="461" w:name="OLE_LINK113"/>
      <w:r>
        <w:rPr>
          <w:rFonts w:hint="eastAsia" w:ascii="仿宋" w:hAnsi="仿宋" w:eastAsia="仿宋"/>
          <w:color w:val="auto"/>
          <w:sz w:val="24"/>
          <w:highlight w:val="none"/>
          <w:lang w:eastAsia="zh-CN"/>
        </w:rPr>
        <w:t>注:1.如果投标人认为需要，每种货物填写一份本表。</w:t>
      </w:r>
    </w:p>
    <w:p w14:paraId="26AAF79C">
      <w:pPr>
        <w:pStyle w:val="12"/>
        <w:ind w:left="1079" w:leftChars="428" w:hanging="180" w:hangingChars="75"/>
        <w:rPr>
          <w:rFonts w:ascii="仿宋" w:hAnsi="仿宋" w:eastAsia="仿宋"/>
          <w:color w:val="auto"/>
          <w:sz w:val="24"/>
          <w:highlight w:val="none"/>
          <w:lang w:eastAsia="zh-CN"/>
        </w:rPr>
      </w:pPr>
      <w:r>
        <w:rPr>
          <w:rFonts w:hint="eastAsia" w:ascii="仿宋" w:hAnsi="仿宋" w:eastAsia="仿宋"/>
          <w:color w:val="auto"/>
          <w:sz w:val="24"/>
          <w:highlight w:val="none"/>
          <w:lang w:eastAsia="zh-CN"/>
        </w:rPr>
        <w:t>2.如果按单价计算的结果与总价不一致,以单价为准修正总价。</w:t>
      </w:r>
    </w:p>
    <w:p w14:paraId="1ECBFCE0">
      <w:pPr>
        <w:pStyle w:val="12"/>
        <w:ind w:left="1080" w:leftChars="257" w:hanging="54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3.如果不提供详细分项报价将视为没有实质性响应招标文件。</w:t>
      </w:r>
    </w:p>
    <w:p w14:paraId="0F383485">
      <w:pPr>
        <w:pStyle w:val="12"/>
        <w:ind w:left="1080" w:leftChars="257" w:hanging="54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4.上述各项的详细分项报价，可另页描述。</w:t>
      </w:r>
    </w:p>
    <w:p w14:paraId="377EA3D4">
      <w:pPr>
        <w:pStyle w:val="12"/>
        <w:ind w:left="1079" w:leftChars="428" w:hanging="180" w:hangingChars="75"/>
        <w:rPr>
          <w:rFonts w:ascii="仿宋" w:hAnsi="仿宋" w:eastAsia="仿宋"/>
          <w:color w:val="auto"/>
          <w:sz w:val="24"/>
          <w:highlight w:val="none"/>
          <w:lang w:eastAsia="zh-CN"/>
        </w:rPr>
      </w:pPr>
      <w:r>
        <w:rPr>
          <w:rFonts w:hint="eastAsia" w:ascii="仿宋" w:hAnsi="仿宋" w:eastAsia="仿宋"/>
          <w:color w:val="auto"/>
          <w:sz w:val="24"/>
          <w:highlight w:val="none"/>
          <w:lang w:eastAsia="zh-CN"/>
        </w:rPr>
        <w:t>5.如果开标一览表（报价表）内容与本表内容和合计金额不一致的，以开标一览表（报价表）内容为准。</w:t>
      </w:r>
    </w:p>
    <w:p w14:paraId="3D481157">
      <w:pPr>
        <w:pStyle w:val="12"/>
        <w:ind w:left="1079" w:leftChars="428" w:hanging="180" w:hangingChars="75"/>
        <w:rPr>
          <w:rFonts w:ascii="仿宋" w:hAnsi="仿宋" w:eastAsia="仿宋"/>
          <w:color w:val="auto"/>
          <w:sz w:val="24"/>
          <w:highlight w:val="none"/>
          <w:lang w:eastAsia="zh-CN"/>
        </w:rPr>
      </w:pPr>
      <w:r>
        <w:rPr>
          <w:rFonts w:hint="eastAsia" w:ascii="仿宋" w:hAnsi="仿宋" w:eastAsia="仿宋"/>
          <w:color w:val="auto"/>
          <w:sz w:val="24"/>
          <w:highlight w:val="none"/>
          <w:lang w:eastAsia="zh-CN"/>
        </w:rPr>
        <w:t>6.为了方便采购人履约验收，本表内容尽可能的填写完善。</w:t>
      </w:r>
    </w:p>
    <w:p w14:paraId="43228AA4">
      <w:pPr>
        <w:pStyle w:val="12"/>
        <w:ind w:left="1079" w:leftChars="428" w:hanging="180" w:hangingChars="75"/>
        <w:rPr>
          <w:rFonts w:ascii="仿宋" w:hAnsi="仿宋" w:eastAsia="仿宋" w:cs="仿宋"/>
          <w:b/>
          <w:bCs/>
          <w:color w:val="auto"/>
          <w:sz w:val="24"/>
          <w:highlight w:val="none"/>
          <w:lang w:eastAsia="zh-CN"/>
        </w:rPr>
      </w:pPr>
      <w:r>
        <w:rPr>
          <w:rFonts w:hint="eastAsia" w:ascii="仿宋" w:hAnsi="仿宋" w:eastAsia="仿宋"/>
          <w:color w:val="auto"/>
          <w:sz w:val="24"/>
          <w:highlight w:val="none"/>
          <w:lang w:eastAsia="zh-CN"/>
        </w:rPr>
        <w:t>7.填写说明：制造商规模请填写“大型”、“中型”、“小型”、“微型”或“其他”，且不应与《中小企业声明函》或《拟分包情况说明》中内容矛盾。</w:t>
      </w:r>
      <w:bookmarkEnd w:id="460"/>
      <w:bookmarkEnd w:id="461"/>
    </w:p>
    <w:p w14:paraId="469F5E18">
      <w:pPr>
        <w:pageBreakBefore/>
        <w:spacing w:line="307" w:lineRule="auto"/>
        <w:rPr>
          <w:rFonts w:ascii="仿宋" w:hAnsi="仿宋" w:eastAsia="仿宋" w:cs="仿宋"/>
          <w:color w:val="auto"/>
          <w:highlight w:val="none"/>
          <w:lang w:eastAsia="zh-CN"/>
        </w:rPr>
        <w:sectPr>
          <w:pgSz w:w="16839" w:h="11906" w:orient="landscape"/>
          <w:pgMar w:top="1786" w:right="1219" w:bottom="1786" w:left="1389" w:header="868" w:footer="1185" w:gutter="0"/>
          <w:pgNumType w:fmt="numberInDash"/>
          <w:cols w:space="720" w:num="1"/>
        </w:sectPr>
      </w:pPr>
    </w:p>
    <w:p w14:paraId="4023485D">
      <w:pPr>
        <w:pageBreakBefore/>
        <w:spacing w:line="307" w:lineRule="auto"/>
        <w:rPr>
          <w:rFonts w:ascii="仿宋" w:hAnsi="仿宋" w:eastAsia="仿宋" w:cs="仿宋"/>
          <w:color w:val="auto"/>
          <w:highlight w:val="none"/>
          <w:lang w:eastAsia="zh-CN"/>
        </w:rPr>
      </w:pPr>
    </w:p>
    <w:p w14:paraId="7DBE6588">
      <w:pPr>
        <w:spacing w:before="78" w:line="221" w:lineRule="auto"/>
        <w:ind w:left="502"/>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封面：</w:t>
      </w:r>
    </w:p>
    <w:p w14:paraId="42762FF9">
      <w:pPr>
        <w:spacing w:line="278" w:lineRule="auto"/>
        <w:rPr>
          <w:rFonts w:ascii="仿宋" w:hAnsi="仿宋" w:eastAsia="仿宋" w:cs="仿宋"/>
          <w:color w:val="auto"/>
          <w:highlight w:val="none"/>
          <w:lang w:eastAsia="zh-CN"/>
        </w:rPr>
      </w:pPr>
    </w:p>
    <w:p w14:paraId="671E9577">
      <w:pPr>
        <w:spacing w:line="279" w:lineRule="auto"/>
        <w:rPr>
          <w:rFonts w:ascii="仿宋" w:hAnsi="仿宋" w:eastAsia="仿宋" w:cs="仿宋"/>
          <w:color w:val="auto"/>
          <w:highlight w:val="none"/>
          <w:lang w:eastAsia="zh-CN"/>
        </w:rPr>
      </w:pPr>
    </w:p>
    <w:p w14:paraId="4B49D049">
      <w:pPr>
        <w:spacing w:line="279" w:lineRule="auto"/>
        <w:rPr>
          <w:rFonts w:ascii="仿宋" w:hAnsi="仿宋" w:eastAsia="仿宋" w:cs="仿宋"/>
          <w:color w:val="auto"/>
          <w:highlight w:val="none"/>
          <w:lang w:eastAsia="zh-CN"/>
        </w:rPr>
      </w:pPr>
    </w:p>
    <w:p w14:paraId="248D2ECC">
      <w:pPr>
        <w:spacing w:line="279" w:lineRule="auto"/>
        <w:rPr>
          <w:rFonts w:ascii="仿宋" w:hAnsi="仿宋" w:eastAsia="仿宋" w:cs="仿宋"/>
          <w:color w:val="auto"/>
          <w:highlight w:val="none"/>
          <w:lang w:eastAsia="zh-CN"/>
        </w:rPr>
      </w:pPr>
    </w:p>
    <w:p w14:paraId="51182822">
      <w:pPr>
        <w:spacing w:line="279" w:lineRule="auto"/>
        <w:rPr>
          <w:rFonts w:ascii="仿宋" w:hAnsi="仿宋" w:eastAsia="仿宋" w:cs="仿宋"/>
          <w:color w:val="auto"/>
          <w:highlight w:val="none"/>
          <w:lang w:eastAsia="zh-CN"/>
        </w:rPr>
      </w:pPr>
    </w:p>
    <w:p w14:paraId="04DA4C7E">
      <w:pPr>
        <w:spacing w:before="270" w:line="268" w:lineRule="auto"/>
        <w:ind w:right="-30"/>
        <w:jc w:val="center"/>
        <w:rPr>
          <w:rFonts w:ascii="仿宋" w:hAnsi="仿宋" w:eastAsia="仿宋" w:cs="仿宋"/>
          <w:b/>
          <w:bCs/>
          <w:color w:val="auto"/>
          <w:spacing w:val="-36"/>
          <w:sz w:val="83"/>
          <w:szCs w:val="83"/>
          <w:highlight w:val="none"/>
          <w:lang w:eastAsia="zh-CN"/>
        </w:rPr>
      </w:pPr>
      <w:r>
        <w:rPr>
          <w:rFonts w:hint="eastAsia" w:ascii="仿宋" w:hAnsi="仿宋" w:eastAsia="仿宋" w:cs="仿宋"/>
          <w:b/>
          <w:bCs/>
          <w:color w:val="auto"/>
          <w:spacing w:val="-36"/>
          <w:sz w:val="83"/>
          <w:szCs w:val="83"/>
          <w:highlight w:val="none"/>
          <w:lang w:eastAsia="zh-CN"/>
        </w:rPr>
        <w:t>投标文件</w:t>
      </w:r>
    </w:p>
    <w:p w14:paraId="4704901D">
      <w:pPr>
        <w:spacing w:before="270" w:line="268" w:lineRule="auto"/>
        <w:ind w:right="-30"/>
        <w:jc w:val="center"/>
        <w:rPr>
          <w:rFonts w:ascii="仿宋" w:hAnsi="仿宋" w:eastAsia="仿宋" w:cs="仿宋"/>
          <w:color w:val="auto"/>
          <w:sz w:val="55"/>
          <w:szCs w:val="55"/>
          <w:highlight w:val="none"/>
          <w:lang w:eastAsia="zh-CN"/>
        </w:rPr>
      </w:pPr>
      <w:r>
        <w:rPr>
          <w:rFonts w:hint="eastAsia" w:ascii="仿宋" w:hAnsi="仿宋" w:eastAsia="仿宋" w:cs="仿宋"/>
          <w:b/>
          <w:bCs/>
          <w:color w:val="auto"/>
          <w:sz w:val="55"/>
          <w:szCs w:val="55"/>
          <w:highlight w:val="none"/>
          <w:lang w:eastAsia="zh-CN"/>
        </w:rPr>
        <w:t>商务技术文件</w:t>
      </w:r>
    </w:p>
    <w:p w14:paraId="267A55D6">
      <w:pPr>
        <w:spacing w:before="109" w:line="224" w:lineRule="auto"/>
        <w:jc w:val="center"/>
        <w:rPr>
          <w:rFonts w:ascii="仿宋" w:hAnsi="仿宋" w:eastAsia="仿宋" w:cs="仿宋"/>
          <w:color w:val="auto"/>
          <w:sz w:val="35"/>
          <w:szCs w:val="35"/>
          <w:highlight w:val="none"/>
          <w:lang w:eastAsia="zh-CN"/>
        </w:rPr>
      </w:pPr>
      <w:r>
        <w:rPr>
          <w:rFonts w:hint="eastAsia" w:ascii="仿宋" w:hAnsi="仿宋" w:eastAsia="仿宋" w:cs="仿宋"/>
          <w:color w:val="auto"/>
          <w:spacing w:val="8"/>
          <w:sz w:val="35"/>
          <w:szCs w:val="35"/>
          <w:highlight w:val="none"/>
          <w:lang w:eastAsia="zh-CN"/>
        </w:rPr>
        <w:t>（第</w:t>
      </w:r>
      <w:r>
        <w:rPr>
          <w:rFonts w:hint="eastAsia" w:ascii="仿宋" w:hAnsi="仿宋" w:eastAsia="仿宋" w:cs="仿宋"/>
          <w:color w:val="auto"/>
          <w:sz w:val="35"/>
          <w:szCs w:val="35"/>
          <w:highlight w:val="none"/>
          <w:lang w:eastAsia="zh-CN"/>
        </w:rPr>
        <w:t>XX</w:t>
      </w:r>
      <w:r>
        <w:rPr>
          <w:rFonts w:hint="eastAsia" w:ascii="仿宋" w:hAnsi="仿宋" w:eastAsia="仿宋" w:cs="仿宋"/>
          <w:color w:val="auto"/>
          <w:spacing w:val="8"/>
          <w:sz w:val="35"/>
          <w:szCs w:val="35"/>
          <w:highlight w:val="none"/>
          <w:lang w:eastAsia="zh-CN"/>
        </w:rPr>
        <w:t>包）【如不分包，请删去本行】</w:t>
      </w:r>
    </w:p>
    <w:p w14:paraId="2FC909FC">
      <w:pPr>
        <w:spacing w:line="252" w:lineRule="auto"/>
        <w:rPr>
          <w:rFonts w:ascii="仿宋" w:hAnsi="仿宋" w:eastAsia="仿宋" w:cs="仿宋"/>
          <w:color w:val="auto"/>
          <w:highlight w:val="none"/>
          <w:lang w:eastAsia="zh-CN"/>
        </w:rPr>
      </w:pPr>
    </w:p>
    <w:p w14:paraId="22E63E91">
      <w:pPr>
        <w:spacing w:line="253" w:lineRule="auto"/>
        <w:rPr>
          <w:rFonts w:ascii="仿宋" w:hAnsi="仿宋" w:eastAsia="仿宋" w:cs="仿宋"/>
          <w:color w:val="auto"/>
          <w:highlight w:val="none"/>
          <w:lang w:eastAsia="zh-CN"/>
        </w:rPr>
      </w:pPr>
    </w:p>
    <w:p w14:paraId="516ECCC2">
      <w:pPr>
        <w:spacing w:line="253" w:lineRule="auto"/>
        <w:rPr>
          <w:rFonts w:ascii="仿宋" w:hAnsi="仿宋" w:eastAsia="仿宋" w:cs="仿宋"/>
          <w:color w:val="auto"/>
          <w:highlight w:val="none"/>
          <w:lang w:eastAsia="zh-CN"/>
        </w:rPr>
      </w:pPr>
    </w:p>
    <w:p w14:paraId="342E8494">
      <w:pPr>
        <w:spacing w:line="253" w:lineRule="auto"/>
        <w:rPr>
          <w:rFonts w:ascii="仿宋" w:hAnsi="仿宋" w:eastAsia="仿宋" w:cs="仿宋"/>
          <w:color w:val="auto"/>
          <w:highlight w:val="none"/>
          <w:lang w:eastAsia="zh-CN"/>
        </w:rPr>
      </w:pPr>
    </w:p>
    <w:p w14:paraId="4C8FA4CF">
      <w:pPr>
        <w:spacing w:line="253" w:lineRule="auto"/>
        <w:rPr>
          <w:rFonts w:ascii="仿宋" w:hAnsi="仿宋" w:eastAsia="仿宋" w:cs="仿宋"/>
          <w:color w:val="auto"/>
          <w:highlight w:val="none"/>
          <w:lang w:eastAsia="zh-CN"/>
        </w:rPr>
      </w:pPr>
    </w:p>
    <w:p w14:paraId="11DF8612">
      <w:pPr>
        <w:spacing w:line="253" w:lineRule="auto"/>
        <w:rPr>
          <w:rFonts w:ascii="仿宋" w:hAnsi="仿宋" w:eastAsia="仿宋" w:cs="仿宋"/>
          <w:color w:val="auto"/>
          <w:highlight w:val="none"/>
          <w:lang w:eastAsia="zh-CN"/>
        </w:rPr>
      </w:pPr>
    </w:p>
    <w:p w14:paraId="76CAC86D">
      <w:pPr>
        <w:spacing w:line="253" w:lineRule="auto"/>
        <w:rPr>
          <w:rFonts w:ascii="仿宋" w:hAnsi="仿宋" w:eastAsia="仿宋" w:cs="仿宋"/>
          <w:color w:val="auto"/>
          <w:highlight w:val="none"/>
          <w:lang w:eastAsia="zh-CN"/>
        </w:rPr>
      </w:pPr>
    </w:p>
    <w:p w14:paraId="43DFB487">
      <w:pPr>
        <w:spacing w:line="253" w:lineRule="auto"/>
        <w:rPr>
          <w:rFonts w:ascii="仿宋" w:hAnsi="仿宋" w:eastAsia="仿宋" w:cs="仿宋"/>
          <w:color w:val="auto"/>
          <w:highlight w:val="none"/>
          <w:lang w:eastAsia="zh-CN"/>
        </w:rPr>
      </w:pPr>
    </w:p>
    <w:p w14:paraId="71B41793">
      <w:pPr>
        <w:spacing w:line="253" w:lineRule="auto"/>
        <w:rPr>
          <w:rFonts w:ascii="仿宋" w:hAnsi="仿宋" w:eastAsia="仿宋" w:cs="仿宋"/>
          <w:color w:val="auto"/>
          <w:highlight w:val="none"/>
          <w:lang w:eastAsia="zh-CN"/>
        </w:rPr>
      </w:pPr>
    </w:p>
    <w:p w14:paraId="3947823A">
      <w:pPr>
        <w:spacing w:line="253" w:lineRule="auto"/>
        <w:rPr>
          <w:rFonts w:ascii="仿宋" w:hAnsi="仿宋" w:eastAsia="仿宋" w:cs="仿宋"/>
          <w:color w:val="auto"/>
          <w:highlight w:val="none"/>
          <w:lang w:eastAsia="zh-CN"/>
        </w:rPr>
      </w:pPr>
    </w:p>
    <w:p w14:paraId="13968479">
      <w:pPr>
        <w:spacing w:line="253" w:lineRule="auto"/>
        <w:rPr>
          <w:rFonts w:ascii="仿宋" w:hAnsi="仿宋" w:eastAsia="仿宋" w:cs="仿宋"/>
          <w:color w:val="auto"/>
          <w:highlight w:val="none"/>
          <w:lang w:eastAsia="zh-CN"/>
        </w:rPr>
      </w:pPr>
    </w:p>
    <w:p w14:paraId="66A574EA">
      <w:pPr>
        <w:spacing w:line="253" w:lineRule="auto"/>
        <w:rPr>
          <w:rFonts w:ascii="仿宋" w:hAnsi="仿宋" w:eastAsia="仿宋" w:cs="仿宋"/>
          <w:color w:val="auto"/>
          <w:highlight w:val="none"/>
          <w:lang w:eastAsia="zh-CN"/>
        </w:rPr>
      </w:pPr>
    </w:p>
    <w:p w14:paraId="421B4DDC">
      <w:pPr>
        <w:pStyle w:val="9"/>
        <w:tabs>
          <w:tab w:val="left" w:pos="8364"/>
        </w:tabs>
        <w:spacing w:before="100"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项目编号：</w:t>
      </w:r>
      <w:r>
        <w:rPr>
          <w:rFonts w:hint="eastAsia" w:ascii="仿宋" w:hAnsi="仿宋" w:eastAsia="仿宋" w:cs="仿宋"/>
          <w:color w:val="auto"/>
          <w:highlight w:val="none"/>
          <w:u w:val="single"/>
          <w:lang w:eastAsia="zh-CN"/>
        </w:rPr>
        <w:tab/>
      </w:r>
    </w:p>
    <w:p w14:paraId="196EF743">
      <w:pPr>
        <w:pStyle w:val="9"/>
        <w:tabs>
          <w:tab w:val="left" w:pos="8364"/>
        </w:tabs>
        <w:spacing w:before="100"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项目名称：</w:t>
      </w:r>
      <w:r>
        <w:rPr>
          <w:rFonts w:hint="eastAsia" w:ascii="仿宋" w:hAnsi="仿宋" w:eastAsia="仿宋" w:cs="仿宋"/>
          <w:color w:val="auto"/>
          <w:highlight w:val="none"/>
          <w:u w:val="single"/>
          <w:lang w:eastAsia="zh-CN"/>
        </w:rPr>
        <w:tab/>
      </w:r>
    </w:p>
    <w:p w14:paraId="3F19E7A5">
      <w:pPr>
        <w:pStyle w:val="9"/>
        <w:tabs>
          <w:tab w:val="left" w:pos="8364"/>
        </w:tabs>
        <w:spacing w:before="100" w:line="362" w:lineRule="auto"/>
        <w:ind w:left="443" w:right="14" w:firstLine="2"/>
        <w:jc w:val="both"/>
        <w:rPr>
          <w:rFonts w:ascii="仿宋" w:hAnsi="仿宋" w:eastAsia="仿宋" w:cs="仿宋"/>
          <w:color w:val="auto"/>
          <w:highlight w:val="none"/>
          <w:lang w:eastAsia="zh-CN"/>
        </w:rPr>
      </w:pPr>
      <w:r>
        <w:rPr>
          <w:rFonts w:hint="eastAsia" w:ascii="仿宋" w:hAnsi="仿宋" w:eastAsia="仿宋" w:cs="仿宋"/>
          <w:color w:val="auto"/>
          <w:spacing w:val="3"/>
          <w:highlight w:val="none"/>
          <w:lang w:eastAsia="zh-CN"/>
        </w:rPr>
        <w:t>投标人：</w:t>
      </w:r>
      <w:r>
        <w:rPr>
          <w:rFonts w:hint="eastAsia" w:ascii="仿宋" w:hAnsi="仿宋" w:eastAsia="仿宋" w:cs="仿宋"/>
          <w:color w:val="auto"/>
          <w:highlight w:val="none"/>
          <w:u w:val="single"/>
          <w:lang w:eastAsia="zh-CN"/>
        </w:rPr>
        <w:tab/>
      </w:r>
    </w:p>
    <w:p w14:paraId="108A8ED4">
      <w:pPr>
        <w:spacing w:line="297" w:lineRule="auto"/>
        <w:rPr>
          <w:rFonts w:ascii="仿宋" w:hAnsi="仿宋" w:eastAsia="仿宋" w:cs="仿宋"/>
          <w:color w:val="auto"/>
          <w:highlight w:val="none"/>
          <w:lang w:eastAsia="zh-CN"/>
        </w:rPr>
      </w:pPr>
    </w:p>
    <w:p w14:paraId="788E9B95">
      <w:pPr>
        <w:spacing w:line="297" w:lineRule="auto"/>
        <w:rPr>
          <w:rFonts w:ascii="仿宋" w:hAnsi="仿宋" w:eastAsia="仿宋" w:cs="仿宋"/>
          <w:color w:val="auto"/>
          <w:highlight w:val="none"/>
          <w:lang w:eastAsia="zh-CN"/>
        </w:rPr>
      </w:pPr>
    </w:p>
    <w:p w14:paraId="3A26BBA8">
      <w:pPr>
        <w:spacing w:line="297" w:lineRule="auto"/>
        <w:rPr>
          <w:rFonts w:ascii="仿宋" w:hAnsi="仿宋" w:eastAsia="仿宋" w:cs="仿宋"/>
          <w:color w:val="auto"/>
          <w:highlight w:val="none"/>
          <w:lang w:eastAsia="zh-CN"/>
        </w:rPr>
      </w:pPr>
    </w:p>
    <w:p w14:paraId="56310496">
      <w:pPr>
        <w:spacing w:line="298" w:lineRule="auto"/>
        <w:rPr>
          <w:rFonts w:ascii="仿宋" w:hAnsi="仿宋" w:eastAsia="仿宋" w:cs="仿宋"/>
          <w:color w:val="auto"/>
          <w:highlight w:val="none"/>
          <w:lang w:eastAsia="zh-CN"/>
        </w:rPr>
      </w:pPr>
    </w:p>
    <w:p w14:paraId="2898015D">
      <w:pPr>
        <w:pStyle w:val="9"/>
        <w:spacing w:before="102" w:line="228" w:lineRule="auto"/>
        <w:ind w:left="3140"/>
        <w:rPr>
          <w:rFonts w:ascii="仿宋" w:hAnsi="仿宋" w:eastAsia="仿宋" w:cs="仿宋"/>
          <w:color w:val="auto"/>
          <w:highlight w:val="none"/>
          <w:lang w:eastAsia="zh-CN"/>
        </w:rPr>
      </w:pPr>
      <w:r>
        <w:rPr>
          <w:rFonts w:hint="eastAsia" w:ascii="仿宋" w:hAnsi="仿宋" w:eastAsia="仿宋" w:cs="仿宋"/>
          <w:color w:val="auto"/>
          <w:spacing w:val="-6"/>
          <w:highlight w:val="none"/>
          <w:lang w:eastAsia="zh-CN"/>
        </w:rPr>
        <w:t>年月日</w:t>
      </w:r>
    </w:p>
    <w:p w14:paraId="79FFA217">
      <w:pPr>
        <w:spacing w:line="274" w:lineRule="auto"/>
        <w:rPr>
          <w:rFonts w:ascii="仿宋" w:hAnsi="仿宋" w:eastAsia="仿宋" w:cs="仿宋"/>
          <w:color w:val="auto"/>
          <w:highlight w:val="none"/>
          <w:lang w:eastAsia="zh-CN"/>
        </w:rPr>
      </w:pPr>
    </w:p>
    <w:p w14:paraId="738B2B57">
      <w:pPr>
        <w:pageBreakBefore/>
        <w:spacing w:before="101" w:line="226" w:lineRule="auto"/>
        <w:ind w:left="3379"/>
        <w:outlineLvl w:val="1"/>
        <w:rPr>
          <w:rFonts w:ascii="仿宋" w:hAnsi="仿宋" w:eastAsia="仿宋" w:cs="仿宋"/>
          <w:color w:val="auto"/>
          <w:sz w:val="31"/>
          <w:szCs w:val="31"/>
          <w:highlight w:val="none"/>
          <w:lang w:eastAsia="zh-CN"/>
        </w:rPr>
      </w:pPr>
      <w:bookmarkStart w:id="462" w:name="bookmark255"/>
      <w:bookmarkEnd w:id="462"/>
      <w:bookmarkStart w:id="463" w:name="bookmark256"/>
      <w:bookmarkEnd w:id="463"/>
      <w:bookmarkStart w:id="464" w:name="_Toc13720"/>
      <w:bookmarkStart w:id="465" w:name="_Toc186477812"/>
      <w:r>
        <w:rPr>
          <w:rFonts w:hint="eastAsia" w:ascii="仿宋" w:hAnsi="仿宋" w:eastAsia="仿宋" w:cs="仿宋"/>
          <w:b/>
          <w:bCs/>
          <w:color w:val="auto"/>
          <w:spacing w:val="3"/>
          <w:sz w:val="31"/>
          <w:szCs w:val="31"/>
          <w:highlight w:val="none"/>
          <w:lang w:eastAsia="zh-CN"/>
        </w:rPr>
        <w:t>一、投标函</w:t>
      </w:r>
      <w:bookmarkEnd w:id="464"/>
      <w:bookmarkEnd w:id="465"/>
    </w:p>
    <w:p w14:paraId="2E9B80FE">
      <w:pPr>
        <w:tabs>
          <w:tab w:val="left" w:pos="5580"/>
        </w:tabs>
        <w:spacing w:line="360" w:lineRule="auto"/>
        <w:ind w:left="1080" w:hanging="10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致：</w:t>
      </w:r>
      <w:r>
        <w:rPr>
          <w:rFonts w:hint="eastAsia" w:ascii="仿宋" w:hAnsi="仿宋" w:eastAsia="仿宋" w:cs="仿宋"/>
          <w:color w:val="auto"/>
          <w:sz w:val="24"/>
          <w:highlight w:val="none"/>
          <w:u w:val="single"/>
          <w:lang w:eastAsia="zh-CN"/>
        </w:rPr>
        <w:t xml:space="preserve">（采购人名称） </w:t>
      </w:r>
    </w:p>
    <w:p w14:paraId="3AA76665">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根据贵方(</w:t>
      </w:r>
      <w:r>
        <w:rPr>
          <w:rFonts w:hint="eastAsia" w:ascii="仿宋" w:hAnsi="仿宋" w:eastAsia="仿宋" w:cs="仿宋"/>
          <w:i/>
          <w:color w:val="auto"/>
          <w:sz w:val="24"/>
          <w:highlight w:val="none"/>
          <w:u w:val="single"/>
          <w:lang w:eastAsia="zh-CN"/>
        </w:rPr>
        <w:t>项目名称) （项目编号）</w:t>
      </w:r>
      <w:r>
        <w:rPr>
          <w:rFonts w:hint="eastAsia" w:ascii="仿宋" w:hAnsi="仿宋" w:eastAsia="仿宋" w:cs="仿宋"/>
          <w:color w:val="auto"/>
          <w:sz w:val="24"/>
          <w:highlight w:val="none"/>
          <w:lang w:eastAsia="zh-CN"/>
        </w:rPr>
        <w:t>项目的投标邀请,签字代表(</w:t>
      </w:r>
      <w:r>
        <w:rPr>
          <w:rFonts w:hint="eastAsia" w:ascii="仿宋" w:hAnsi="仿宋" w:eastAsia="仿宋" w:cs="仿宋"/>
          <w:i/>
          <w:color w:val="auto"/>
          <w:sz w:val="24"/>
          <w:highlight w:val="none"/>
          <w:u w:val="single"/>
          <w:lang w:eastAsia="zh-CN"/>
        </w:rPr>
        <w:t>姓名、职务</w:t>
      </w:r>
      <w:r>
        <w:rPr>
          <w:rFonts w:hint="eastAsia" w:ascii="仿宋" w:hAnsi="仿宋" w:eastAsia="仿宋" w:cs="仿宋"/>
          <w:color w:val="auto"/>
          <w:sz w:val="24"/>
          <w:highlight w:val="none"/>
          <w:lang w:eastAsia="zh-CN"/>
        </w:rPr>
        <w:t>)经正式授权并代表投标人（</w:t>
      </w:r>
      <w:r>
        <w:rPr>
          <w:rFonts w:hint="eastAsia" w:ascii="仿宋" w:hAnsi="仿宋" w:eastAsia="仿宋" w:cs="仿宋"/>
          <w:i/>
          <w:color w:val="auto"/>
          <w:sz w:val="24"/>
          <w:highlight w:val="none"/>
          <w:u w:val="single"/>
          <w:lang w:eastAsia="zh-CN"/>
        </w:rPr>
        <w:t>名称、地址</w:t>
      </w:r>
      <w:r>
        <w:rPr>
          <w:rFonts w:hint="eastAsia" w:ascii="仿宋" w:hAnsi="仿宋" w:eastAsia="仿宋" w:cs="仿宋"/>
          <w:color w:val="auto"/>
          <w:sz w:val="24"/>
          <w:highlight w:val="none"/>
          <w:lang w:eastAsia="zh-CN"/>
        </w:rPr>
        <w:t>）提交电子投标响应文件。</w:t>
      </w:r>
    </w:p>
    <w:p w14:paraId="7F028218">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据此，签字代表宣布同意如下：</w:t>
      </w:r>
    </w:p>
    <w:p w14:paraId="3CFDB5BB">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（1）已详细审查全部招标文件，包括所有补充通知（如果有的话），完全理解并同意放弃对这方面有不明、误解的权利。</w:t>
      </w:r>
    </w:p>
    <w:p w14:paraId="08B32820">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（2）附投标分项报价表中规定的应提供货物及伴随服务的投标总价（包括满足本次招标全部采购需求所应提供的货物以及伴随的服务）详见开标一览表。</w:t>
      </w:r>
    </w:p>
    <w:p w14:paraId="4C939021">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（3）本投标有效期为自投标截止之日起</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日历日。</w:t>
      </w:r>
    </w:p>
    <w:p w14:paraId="63561314">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（4）我方不是为本项目提供整体设计、规范编制或者项目管理、监理、检测等服务的投标人，我方不是采购代理机构的附属机构。</w:t>
      </w:r>
    </w:p>
    <w:p w14:paraId="5E3726A6">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（5）所报的各分项投标报价在合同履行过程中是固定不变的，不得以任何理由予以变更。</w:t>
      </w:r>
    </w:p>
    <w:p w14:paraId="61EC93EF">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（6）接受价格的算术修正。</w:t>
      </w:r>
    </w:p>
    <w:p w14:paraId="4DD10691">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（7）一旦我方中标，我方保证在贵方约定的时间：合同签订后</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 xml:space="preserve">日内交付货物。 </w:t>
      </w:r>
    </w:p>
    <w:p w14:paraId="16E20C21">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（8）如果我方中标，非贵方原因，我方保证将按下列质量要求完成本项目产品质量，质量要求：</w:t>
      </w:r>
      <w:r>
        <w:rPr>
          <w:rFonts w:hint="eastAsia" w:ascii="仿宋" w:hAnsi="仿宋" w:eastAsia="仿宋" w:cs="仿宋"/>
          <w:color w:val="auto"/>
          <w:sz w:val="24"/>
          <w:highlight w:val="none"/>
          <w:u w:val="single"/>
          <w:lang w:eastAsia="zh-CN"/>
        </w:rPr>
        <w:t>合格，必须达到国家规定的标准</w:t>
      </w:r>
      <w:r>
        <w:rPr>
          <w:rFonts w:hint="eastAsia" w:ascii="仿宋" w:hAnsi="仿宋" w:eastAsia="仿宋" w:cs="仿宋"/>
          <w:color w:val="auto"/>
          <w:sz w:val="24"/>
          <w:highlight w:val="none"/>
          <w:lang w:eastAsia="zh-CN"/>
        </w:rPr>
        <w:t>。</w:t>
      </w:r>
    </w:p>
    <w:p w14:paraId="1759DB99">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（9）如果我方中标，我方将按招标文件规定的时间内签订合同。如果违约，我方愿以投标保证金作为赔偿金，同时贵方有权终止我方中标并选择其他投标人。</w:t>
      </w:r>
    </w:p>
    <w:p w14:paraId="55E5474A">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（10）如果我方中标，到达现场的货物质量、品牌、型号与招标文件要求不一致的，质量达不到一次性合格,我方将进行整改直至贵方验收合格为止，并愿以中标价的</w:t>
      </w:r>
      <w:r>
        <w:rPr>
          <w:rFonts w:hint="eastAsia" w:ascii="仿宋" w:hAnsi="仿宋" w:eastAsia="仿宋" w:cs="仿宋"/>
          <w:color w:val="auto"/>
          <w:sz w:val="24"/>
          <w:highlight w:val="none"/>
          <w:u w:val="single"/>
          <w:lang w:eastAsia="zh-CN"/>
        </w:rPr>
        <w:t>10%</w:t>
      </w:r>
      <w:r>
        <w:rPr>
          <w:rFonts w:hint="eastAsia" w:ascii="仿宋" w:hAnsi="仿宋" w:eastAsia="仿宋" w:cs="仿宋"/>
          <w:color w:val="auto"/>
          <w:sz w:val="24"/>
          <w:highlight w:val="none"/>
          <w:lang w:eastAsia="zh-CN"/>
        </w:rPr>
        <w:t>作为违约金。</w:t>
      </w:r>
    </w:p>
    <w:p w14:paraId="66657D01">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（11）交货地点：。</w:t>
      </w:r>
    </w:p>
    <w:p w14:paraId="6DA75BD0">
      <w:pPr>
        <w:pStyle w:val="12"/>
        <w:widowControl w:val="0"/>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（12）按照招标文件的规定，在中标后向采购代理机构一次性支付招标代理费。</w:t>
      </w:r>
    </w:p>
    <w:p w14:paraId="2B09F3E6">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（13）按照贵方可能的要求，提供与投标有关的一切数据或资料，完全理解贵方不一定接受最低价的投标或收到的任何投标。</w:t>
      </w:r>
    </w:p>
    <w:p w14:paraId="410C4F68">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（14）按照招标文件的规定履行合同责任和义务。</w:t>
      </w:r>
    </w:p>
    <w:p w14:paraId="4D3BF28A">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（15）我单位保证提供的投标文件的内容真实有效，如有不符，视为提供虚假资料谋取中标，我单位愿承担相应法律责任。</w:t>
      </w:r>
    </w:p>
    <w:p w14:paraId="0104071F">
      <w:pPr>
        <w:pStyle w:val="12"/>
        <w:tabs>
          <w:tab w:val="left" w:pos="5580"/>
        </w:tabs>
        <w:spacing w:line="360" w:lineRule="auto"/>
        <w:ind w:left="2" w:leftChars="1"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（16）完全理解并无条件承担中标后不依法与贵方签订合同的法律后果。</w:t>
      </w:r>
    </w:p>
    <w:p w14:paraId="214EAF45">
      <w:pPr>
        <w:spacing w:line="360" w:lineRule="auto"/>
        <w:ind w:left="509"/>
        <w:rPr>
          <w:rFonts w:ascii="仿宋" w:hAnsi="仿宋" w:eastAsia="仿宋" w:cs="仿宋"/>
          <w:color w:val="auto"/>
          <w:sz w:val="24"/>
          <w:szCs w:val="24"/>
          <w:highlight w:val="none"/>
          <w:lang w:eastAsia="zh-CN"/>
        </w:rPr>
      </w:pPr>
      <w:r>
        <w:rPr>
          <w:rFonts w:hint="eastAsia" w:ascii="仿宋" w:hAnsi="仿宋" w:eastAsia="仿宋" w:cs="仿宋"/>
          <w:color w:val="auto"/>
          <w:sz w:val="24"/>
          <w:highlight w:val="none"/>
          <w:lang w:eastAsia="zh-CN"/>
        </w:rPr>
        <w:t>（17）</w:t>
      </w:r>
      <w:r>
        <w:rPr>
          <w:rFonts w:hint="eastAsia" w:ascii="仿宋" w:hAnsi="仿宋" w:eastAsia="仿宋" w:cs="仿宋"/>
          <w:color w:val="auto"/>
          <w:spacing w:val="-3"/>
          <w:sz w:val="24"/>
          <w:szCs w:val="24"/>
          <w:highlight w:val="none"/>
          <w:lang w:eastAsia="zh-CN"/>
        </w:rPr>
        <w:t>重要声明：</w:t>
      </w:r>
    </w:p>
    <w:p w14:paraId="6CF05FCC">
      <w:pPr>
        <w:spacing w:line="360" w:lineRule="auto"/>
        <w:ind w:left="5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1）与我方单位负责人为同一人的其他单位名称：</w:t>
      </w:r>
    </w:p>
    <w:p w14:paraId="4F5A46B9">
      <w:pPr>
        <w:spacing w:line="360" w:lineRule="auto"/>
        <w:ind w:left="859"/>
        <w:rPr>
          <w:rFonts w:ascii="仿宋" w:hAnsi="仿宋" w:eastAsia="仿宋" w:cs="仿宋"/>
          <w:color w:val="auto"/>
          <w:sz w:val="24"/>
          <w:szCs w:val="24"/>
          <w:highlight w:val="none"/>
          <w:lang w:eastAsia="zh-CN"/>
        </w:rPr>
      </w:pPr>
      <w:r>
        <w:rPr>
          <w:rFonts w:hint="eastAsia" w:ascii="仿宋" w:hAnsi="仿宋" w:eastAsia="仿宋" w:cs="仿宋"/>
          <w:color w:val="auto"/>
          <w:spacing w:val="-12"/>
          <w:sz w:val="24"/>
          <w:szCs w:val="24"/>
          <w:highlight w:val="none"/>
          <w:lang w:eastAsia="zh-CN"/>
        </w:rPr>
        <w:t>□无；□有，具体单位名称为</w:t>
      </w:r>
      <w:r>
        <w:rPr>
          <w:rFonts w:hint="eastAsia" w:ascii="仿宋" w:hAnsi="仿宋" w:eastAsia="仿宋" w:cs="仿宋"/>
          <w:color w:val="auto"/>
          <w:spacing w:val="-42"/>
          <w:sz w:val="24"/>
          <w:szCs w:val="24"/>
          <w:highlight w:val="none"/>
          <w:lang w:eastAsia="zh-CN"/>
        </w:rPr>
        <w:t>：</w:t>
      </w:r>
      <w:r>
        <w:rPr>
          <w:rFonts w:hint="eastAsia" w:ascii="仿宋" w:hAnsi="仿宋" w:eastAsia="仿宋" w:cs="仿宋"/>
          <w:i/>
          <w:iCs/>
          <w:color w:val="auto"/>
          <w:spacing w:val="-42"/>
          <w:sz w:val="24"/>
          <w:szCs w:val="24"/>
          <w:highlight w:val="none"/>
          <w:u w:val="single"/>
          <w:lang w:eastAsia="zh-CN"/>
        </w:rPr>
        <w:t>（</w:t>
      </w:r>
      <w:r>
        <w:rPr>
          <w:rFonts w:hint="eastAsia" w:ascii="仿宋" w:hAnsi="仿宋" w:eastAsia="仿宋" w:cs="仿宋"/>
          <w:i/>
          <w:iCs/>
          <w:color w:val="auto"/>
          <w:spacing w:val="-12"/>
          <w:sz w:val="24"/>
          <w:szCs w:val="24"/>
          <w:highlight w:val="none"/>
          <w:u w:val="single"/>
          <w:lang w:eastAsia="zh-CN"/>
        </w:rPr>
        <w:t>由供应商如实填写</w:t>
      </w:r>
      <w:r>
        <w:rPr>
          <w:rFonts w:hint="eastAsia" w:ascii="仿宋" w:hAnsi="仿宋" w:eastAsia="仿宋" w:cs="仿宋"/>
          <w:i/>
          <w:iCs/>
          <w:color w:val="auto"/>
          <w:spacing w:val="-12"/>
          <w:sz w:val="24"/>
          <w:szCs w:val="24"/>
          <w:highlight w:val="none"/>
          <w:lang w:eastAsia="zh-CN"/>
        </w:rPr>
        <w:t>）</w:t>
      </w:r>
      <w:r>
        <w:rPr>
          <w:rFonts w:hint="eastAsia" w:ascii="仿宋" w:hAnsi="仿宋" w:eastAsia="仿宋" w:cs="仿宋"/>
          <w:color w:val="auto"/>
          <w:spacing w:val="-12"/>
          <w:sz w:val="24"/>
          <w:szCs w:val="24"/>
          <w:highlight w:val="none"/>
          <w:lang w:eastAsia="zh-CN"/>
        </w:rPr>
        <w:t>。</w:t>
      </w:r>
    </w:p>
    <w:p w14:paraId="34F54EBE">
      <w:pPr>
        <w:spacing w:line="360" w:lineRule="auto"/>
        <w:ind w:left="5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2）与我方存在控股、管理关系的其他单位的名称：</w:t>
      </w:r>
    </w:p>
    <w:p w14:paraId="750C6C1F">
      <w:pPr>
        <w:spacing w:line="360" w:lineRule="auto"/>
        <w:ind w:left="859"/>
        <w:rPr>
          <w:rFonts w:ascii="仿宋" w:hAnsi="仿宋" w:eastAsia="仿宋" w:cs="仿宋"/>
          <w:color w:val="auto"/>
          <w:sz w:val="24"/>
          <w:szCs w:val="24"/>
          <w:highlight w:val="none"/>
          <w:lang w:eastAsia="zh-CN"/>
        </w:rPr>
      </w:pPr>
      <w:r>
        <w:rPr>
          <w:rFonts w:hint="eastAsia" w:ascii="仿宋" w:hAnsi="仿宋" w:eastAsia="仿宋" w:cs="仿宋"/>
          <w:color w:val="auto"/>
          <w:spacing w:val="-12"/>
          <w:sz w:val="24"/>
          <w:szCs w:val="24"/>
          <w:highlight w:val="none"/>
          <w:lang w:eastAsia="zh-CN"/>
        </w:rPr>
        <w:t>□无；□有，具体单位名称为</w:t>
      </w:r>
      <w:r>
        <w:rPr>
          <w:rFonts w:hint="eastAsia" w:ascii="仿宋" w:hAnsi="仿宋" w:eastAsia="仿宋" w:cs="仿宋"/>
          <w:color w:val="auto"/>
          <w:spacing w:val="8"/>
          <w:sz w:val="24"/>
          <w:szCs w:val="24"/>
          <w:highlight w:val="none"/>
          <w:lang w:eastAsia="zh-CN"/>
        </w:rPr>
        <w:t>：</w:t>
      </w:r>
      <w:r>
        <w:rPr>
          <w:rFonts w:hint="eastAsia" w:ascii="仿宋" w:hAnsi="仿宋" w:eastAsia="仿宋" w:cs="仿宋"/>
          <w:i/>
          <w:iCs/>
          <w:color w:val="auto"/>
          <w:spacing w:val="8"/>
          <w:sz w:val="24"/>
          <w:szCs w:val="24"/>
          <w:highlight w:val="none"/>
          <w:u w:val="single"/>
          <w:lang w:eastAsia="zh-CN"/>
        </w:rPr>
        <w:t>（</w:t>
      </w:r>
      <w:r>
        <w:rPr>
          <w:rFonts w:hint="eastAsia" w:ascii="仿宋" w:hAnsi="仿宋" w:eastAsia="仿宋" w:cs="仿宋"/>
          <w:i/>
          <w:iCs/>
          <w:color w:val="auto"/>
          <w:spacing w:val="-12"/>
          <w:sz w:val="24"/>
          <w:szCs w:val="24"/>
          <w:highlight w:val="none"/>
          <w:u w:val="single"/>
          <w:lang w:eastAsia="zh-CN"/>
        </w:rPr>
        <w:t>由供应商如实填写</w:t>
      </w:r>
      <w:r>
        <w:rPr>
          <w:rFonts w:hint="eastAsia" w:ascii="仿宋" w:hAnsi="仿宋" w:eastAsia="仿宋" w:cs="仿宋"/>
          <w:i/>
          <w:iCs/>
          <w:color w:val="auto"/>
          <w:spacing w:val="-12"/>
          <w:sz w:val="24"/>
          <w:szCs w:val="24"/>
          <w:highlight w:val="none"/>
          <w:lang w:eastAsia="zh-CN"/>
        </w:rPr>
        <w:t>）</w:t>
      </w:r>
      <w:r>
        <w:rPr>
          <w:rFonts w:hint="eastAsia" w:ascii="仿宋" w:hAnsi="仿宋" w:eastAsia="仿宋" w:cs="仿宋"/>
          <w:color w:val="auto"/>
          <w:spacing w:val="-12"/>
          <w:sz w:val="24"/>
          <w:szCs w:val="24"/>
          <w:highlight w:val="none"/>
          <w:lang w:eastAsia="zh-CN"/>
        </w:rPr>
        <w:t>。</w:t>
      </w:r>
    </w:p>
    <w:p w14:paraId="5E2452A4">
      <w:pPr>
        <w:pStyle w:val="12"/>
        <w:tabs>
          <w:tab w:val="left" w:pos="5580"/>
        </w:tabs>
        <w:spacing w:line="360" w:lineRule="auto"/>
        <w:ind w:left="2" w:leftChars="1" w:firstLine="464" w:firstLineChars="200"/>
        <w:rPr>
          <w:rFonts w:ascii="仿宋" w:hAnsi="仿宋" w:eastAsia="仿宋" w:cs="仿宋"/>
          <w:color w:val="auto"/>
          <w:sz w:val="24"/>
          <w:highlight w:val="none"/>
          <w:lang w:eastAsia="zh-CN"/>
        </w:rPr>
      </w:pPr>
      <w:r>
        <w:rPr>
          <w:rFonts w:hint="eastAsia" w:ascii="仿宋" w:hAnsi="仿宋" w:eastAsia="仿宋" w:cs="仿宋"/>
          <w:color w:val="auto"/>
          <w:spacing w:val="-4"/>
          <w:sz w:val="24"/>
          <w:szCs w:val="24"/>
          <w:highlight w:val="none"/>
          <w:lang w:eastAsia="zh-CN"/>
        </w:rPr>
        <w:t>（备注：以上2项声明，必须如实选择，选中项用</w:t>
      </w:r>
      <w:r>
        <w:rPr>
          <w:rFonts w:hint="eastAsia" w:ascii="仿宋" w:hAnsi="仿宋" w:eastAsia="仿宋" w:cs="仿宋"/>
          <w:color w:val="auto"/>
          <w:spacing w:val="-5"/>
          <w:sz w:val="24"/>
          <w:szCs w:val="24"/>
          <w:highlight w:val="none"/>
          <w:lang w:eastAsia="zh-CN"/>
        </w:rPr>
        <w:t>☑表示，未选中项用□表</w:t>
      </w:r>
      <w:r>
        <w:rPr>
          <w:rFonts w:hint="eastAsia" w:ascii="仿宋" w:hAnsi="仿宋" w:eastAsia="仿宋" w:cs="仿宋"/>
          <w:color w:val="auto"/>
          <w:spacing w:val="-4"/>
          <w:sz w:val="24"/>
          <w:szCs w:val="24"/>
          <w:highlight w:val="none"/>
          <w:lang w:eastAsia="zh-CN"/>
        </w:rPr>
        <w:t>示。①“单位负责人”是指单位法定代表人或者法律、行政法规规定代表单位行</w:t>
      </w:r>
      <w:r>
        <w:rPr>
          <w:rFonts w:hint="eastAsia" w:ascii="仿宋" w:hAnsi="仿宋" w:eastAsia="仿宋" w:cs="仿宋"/>
          <w:color w:val="auto"/>
          <w:spacing w:val="-3"/>
          <w:sz w:val="24"/>
          <w:szCs w:val="24"/>
          <w:highlight w:val="none"/>
          <w:lang w:eastAsia="zh-CN"/>
        </w:rPr>
        <w:t>使职权的主要负责人。②本条所规定的控股、管理关系仅限于直接控股、直接管理关系，不包括间接的控股或管理关系。③供应商如未如实填报，视为提供虚假</w:t>
      </w:r>
      <w:r>
        <w:rPr>
          <w:rFonts w:hint="eastAsia" w:ascii="仿宋" w:hAnsi="仿宋" w:eastAsia="仿宋" w:cs="仿宋"/>
          <w:color w:val="auto"/>
          <w:spacing w:val="-6"/>
          <w:sz w:val="24"/>
          <w:szCs w:val="24"/>
          <w:highlight w:val="none"/>
          <w:lang w:eastAsia="zh-CN"/>
        </w:rPr>
        <w:t>材料谋取中标，应承担相应法律责任。）</w:t>
      </w:r>
    </w:p>
    <w:p w14:paraId="62D43E25">
      <w:pPr>
        <w:pStyle w:val="12"/>
        <w:tabs>
          <w:tab w:val="left" w:pos="5580"/>
        </w:tabs>
        <w:spacing w:line="360" w:lineRule="auto"/>
        <w:ind w:left="359" w:leftChars="68" w:hanging="216" w:hangingChars="90"/>
        <w:rPr>
          <w:rFonts w:ascii="仿宋" w:hAnsi="仿宋" w:eastAsia="仿宋" w:cs="仿宋"/>
          <w:color w:val="auto"/>
          <w:sz w:val="24"/>
          <w:highlight w:val="none"/>
          <w:lang w:eastAsia="zh-CN"/>
        </w:rPr>
      </w:pPr>
    </w:p>
    <w:p w14:paraId="40BCB5FE">
      <w:pPr>
        <w:pStyle w:val="12"/>
        <w:tabs>
          <w:tab w:val="left" w:pos="5580"/>
        </w:tabs>
        <w:spacing w:line="360" w:lineRule="auto"/>
        <w:ind w:left="382" w:leftChars="182" w:firstLine="24" w:firstLineChars="1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与本投标有关的一切正式往来信函请寄：</w:t>
      </w:r>
    </w:p>
    <w:p w14:paraId="69AF2DC7">
      <w:pPr>
        <w:pStyle w:val="12"/>
        <w:tabs>
          <w:tab w:val="left" w:pos="5580"/>
        </w:tabs>
        <w:spacing w:line="360" w:lineRule="auto"/>
        <w:ind w:left="1080" w:leftChars="257" w:hanging="54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地址：     传真：</w:t>
      </w:r>
    </w:p>
    <w:p w14:paraId="3FBFB22B">
      <w:pPr>
        <w:pStyle w:val="12"/>
        <w:tabs>
          <w:tab w:val="left" w:pos="5580"/>
        </w:tabs>
        <w:spacing w:line="360" w:lineRule="auto"/>
        <w:ind w:left="1080" w:leftChars="257" w:hanging="540"/>
        <w:rPr>
          <w:rFonts w:ascii="仿宋" w:hAnsi="仿宋" w:eastAsia="仿宋" w:cs="仿宋"/>
          <w:b/>
          <w:color w:val="auto"/>
          <w:sz w:val="24"/>
          <w:highlight w:val="none"/>
          <w:lang w:eastAsia="zh-CN"/>
        </w:rPr>
      </w:pPr>
      <w:r>
        <w:rPr>
          <w:rFonts w:hint="eastAsia" w:ascii="仿宋" w:hAnsi="仿宋" w:eastAsia="仿宋" w:cs="仿宋"/>
          <w:color w:val="auto"/>
          <w:sz w:val="24"/>
          <w:highlight w:val="none"/>
          <w:lang w:eastAsia="zh-CN"/>
        </w:rPr>
        <w:t>电话：     电子函件：</w:t>
      </w:r>
    </w:p>
    <w:p w14:paraId="18522301">
      <w:pPr>
        <w:pStyle w:val="12"/>
        <w:tabs>
          <w:tab w:val="left" w:pos="5580"/>
        </w:tabs>
        <w:spacing w:line="360" w:lineRule="auto"/>
        <w:ind w:left="1080" w:leftChars="257" w:hanging="54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法定代表人或委托代理人（签字或签章）：</w:t>
      </w:r>
    </w:p>
    <w:p w14:paraId="6BEF5262">
      <w:pPr>
        <w:pStyle w:val="12"/>
        <w:tabs>
          <w:tab w:val="left" w:pos="5580"/>
        </w:tabs>
        <w:spacing w:line="360" w:lineRule="auto"/>
        <w:ind w:left="1080" w:leftChars="257" w:hanging="54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投标人（盖公章）：</w:t>
      </w:r>
    </w:p>
    <w:p w14:paraId="0EC85E4F">
      <w:pPr>
        <w:pStyle w:val="12"/>
        <w:tabs>
          <w:tab w:val="left" w:pos="5580"/>
        </w:tabs>
        <w:spacing w:line="360" w:lineRule="auto"/>
        <w:ind w:left="1080" w:leftChars="257" w:hanging="54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投标人开户银行（全称）：</w:t>
      </w:r>
    </w:p>
    <w:p w14:paraId="05621EF9">
      <w:pPr>
        <w:pStyle w:val="12"/>
        <w:tabs>
          <w:tab w:val="left" w:pos="5580"/>
        </w:tabs>
        <w:spacing w:line="360" w:lineRule="auto"/>
        <w:ind w:left="1080" w:leftChars="257" w:hanging="54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投标人银行帐号：</w:t>
      </w:r>
    </w:p>
    <w:p w14:paraId="408256A3">
      <w:pPr>
        <w:pStyle w:val="12"/>
        <w:spacing w:line="360" w:lineRule="auto"/>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bookmarkStart w:id="466" w:name="_Toc532473506"/>
      <w:bookmarkEnd w:id="466"/>
      <w:bookmarkStart w:id="467" w:name="_Hlt520355938"/>
      <w:bookmarkEnd w:id="467"/>
      <w:bookmarkStart w:id="468" w:name="_Toc23473"/>
      <w:bookmarkEnd w:id="468"/>
      <w:bookmarkStart w:id="469" w:name="_Toc1266"/>
      <w:bookmarkEnd w:id="469"/>
      <w:bookmarkStart w:id="470" w:name="_Hlt520356243"/>
      <w:bookmarkEnd w:id="470"/>
    </w:p>
    <w:p w14:paraId="4C28B375">
      <w:pPr>
        <w:spacing w:line="273" w:lineRule="auto"/>
        <w:rPr>
          <w:rFonts w:ascii="仿宋" w:hAnsi="仿宋" w:eastAsia="仿宋" w:cs="仿宋"/>
          <w:color w:val="auto"/>
          <w:highlight w:val="none"/>
          <w:lang w:eastAsia="zh-CN"/>
        </w:rPr>
      </w:pPr>
    </w:p>
    <w:p w14:paraId="2A983E0E">
      <w:pPr>
        <w:pageBreakBefore/>
        <w:spacing w:before="100" w:line="226" w:lineRule="auto"/>
        <w:ind w:left="1389"/>
        <w:outlineLvl w:val="1"/>
        <w:rPr>
          <w:rFonts w:ascii="仿宋" w:hAnsi="仿宋" w:eastAsia="仿宋" w:cs="仿宋"/>
          <w:color w:val="auto"/>
          <w:sz w:val="31"/>
          <w:szCs w:val="31"/>
          <w:highlight w:val="none"/>
          <w:lang w:eastAsia="zh-CN"/>
        </w:rPr>
      </w:pPr>
      <w:bookmarkStart w:id="471" w:name="bookmark265"/>
      <w:bookmarkEnd w:id="471"/>
      <w:bookmarkStart w:id="472" w:name="bookmark258"/>
      <w:bookmarkEnd w:id="472"/>
      <w:bookmarkStart w:id="473" w:name="_Toc186477814"/>
      <w:bookmarkStart w:id="474" w:name="_Toc27420"/>
      <w:r>
        <w:rPr>
          <w:rFonts w:hint="eastAsia" w:ascii="仿宋" w:hAnsi="仿宋" w:eastAsia="仿宋" w:cs="仿宋"/>
          <w:b/>
          <w:bCs/>
          <w:color w:val="auto"/>
          <w:spacing w:val="6"/>
          <w:sz w:val="31"/>
          <w:szCs w:val="31"/>
          <w:highlight w:val="none"/>
          <w:lang w:eastAsia="zh-CN"/>
        </w:rPr>
        <w:t>二、法定代表人（单位负责人）身份证明</w:t>
      </w:r>
      <w:bookmarkEnd w:id="473"/>
      <w:bookmarkEnd w:id="474"/>
    </w:p>
    <w:p w14:paraId="1BB31348">
      <w:pPr>
        <w:spacing w:line="303" w:lineRule="auto"/>
        <w:rPr>
          <w:rFonts w:ascii="仿宋" w:hAnsi="仿宋" w:eastAsia="仿宋" w:cs="仿宋"/>
          <w:color w:val="auto"/>
          <w:highlight w:val="none"/>
          <w:lang w:eastAsia="zh-CN"/>
        </w:rPr>
      </w:pPr>
    </w:p>
    <w:p w14:paraId="63F34848">
      <w:pPr>
        <w:spacing w:before="78" w:line="467" w:lineRule="auto"/>
        <w:ind w:left="1085" w:right="4604" w:hanging="48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致</w:t>
      </w:r>
      <w:r>
        <w:rPr>
          <w:rFonts w:hint="eastAsia" w:ascii="仿宋" w:hAnsi="仿宋" w:eastAsia="仿宋" w:cs="仿宋"/>
          <w:color w:val="auto"/>
          <w:spacing w:val="-28"/>
          <w:sz w:val="24"/>
          <w:szCs w:val="24"/>
          <w:highlight w:val="none"/>
          <w:lang w:eastAsia="zh-CN"/>
        </w:rPr>
        <w:t>：（</w:t>
      </w:r>
      <w:r>
        <w:rPr>
          <w:rFonts w:hint="eastAsia" w:ascii="仿宋" w:hAnsi="仿宋" w:eastAsia="仿宋" w:cs="仿宋"/>
          <w:color w:val="auto"/>
          <w:spacing w:val="2"/>
          <w:sz w:val="24"/>
          <w:szCs w:val="24"/>
          <w:highlight w:val="none"/>
          <w:lang w:eastAsia="zh-CN"/>
        </w:rPr>
        <w:t>采购人或采购代理机构）</w:t>
      </w:r>
      <w:r>
        <w:rPr>
          <w:rFonts w:hint="eastAsia" w:ascii="仿宋" w:hAnsi="仿宋" w:eastAsia="仿宋" w:cs="仿宋"/>
          <w:color w:val="auto"/>
          <w:spacing w:val="-4"/>
          <w:sz w:val="24"/>
          <w:szCs w:val="24"/>
          <w:highlight w:val="none"/>
          <w:lang w:eastAsia="zh-CN"/>
        </w:rPr>
        <w:t>兹证明，</w:t>
      </w:r>
    </w:p>
    <w:p w14:paraId="0A7CAC7B">
      <w:pPr>
        <w:spacing w:before="34" w:line="219" w:lineRule="auto"/>
        <w:ind w:left="602"/>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姓名：性别：年龄：职务：</w:t>
      </w:r>
    </w:p>
    <w:p w14:paraId="0DADC160">
      <w:pPr>
        <w:spacing w:line="259" w:lineRule="auto"/>
        <w:rPr>
          <w:rFonts w:ascii="仿宋" w:hAnsi="仿宋" w:eastAsia="仿宋" w:cs="仿宋"/>
          <w:color w:val="auto"/>
          <w:highlight w:val="none"/>
          <w:lang w:eastAsia="zh-CN"/>
        </w:rPr>
      </w:pPr>
    </w:p>
    <w:p w14:paraId="6E18AEC2">
      <w:pPr>
        <w:spacing w:before="79" w:line="219" w:lineRule="auto"/>
        <w:ind w:left="606"/>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系 （投标人名</w:t>
      </w:r>
      <w:r>
        <w:rPr>
          <w:rFonts w:hint="eastAsia" w:ascii="仿宋" w:hAnsi="仿宋" w:eastAsia="仿宋" w:cs="仿宋"/>
          <w:color w:val="auto"/>
          <w:spacing w:val="-1"/>
          <w:sz w:val="24"/>
          <w:szCs w:val="24"/>
          <w:highlight w:val="none"/>
          <w:lang w:eastAsia="zh-CN"/>
        </w:rPr>
        <w:t>称）的法定代表人（单位负责人）。</w:t>
      </w:r>
    </w:p>
    <w:p w14:paraId="724B9017">
      <w:pPr>
        <w:spacing w:line="258" w:lineRule="auto"/>
        <w:rPr>
          <w:rFonts w:ascii="仿宋" w:hAnsi="仿宋" w:eastAsia="仿宋" w:cs="仿宋"/>
          <w:color w:val="auto"/>
          <w:highlight w:val="none"/>
          <w:lang w:eastAsia="zh-CN"/>
        </w:rPr>
      </w:pPr>
    </w:p>
    <w:p w14:paraId="4B063CFE">
      <w:pPr>
        <w:spacing w:before="78" w:line="219" w:lineRule="auto"/>
        <w:ind w:left="620"/>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附：法定代表人（单位负责人）身份证、护照等身份证明文件电子件：</w:t>
      </w:r>
    </w:p>
    <w:p w14:paraId="20EC7CED">
      <w:pPr>
        <w:spacing w:before="7"/>
        <w:rPr>
          <w:rFonts w:ascii="仿宋" w:hAnsi="仿宋" w:eastAsia="仿宋" w:cs="仿宋"/>
          <w:color w:val="auto"/>
          <w:highlight w:val="none"/>
          <w:lang w:eastAsia="zh-CN"/>
        </w:rPr>
      </w:pPr>
    </w:p>
    <w:p w14:paraId="3F519AC6">
      <w:pPr>
        <w:spacing w:before="7"/>
        <w:rPr>
          <w:rFonts w:ascii="仿宋" w:hAnsi="仿宋" w:eastAsia="仿宋" w:cs="仿宋"/>
          <w:color w:val="auto"/>
          <w:highlight w:val="none"/>
          <w:lang w:eastAsia="zh-CN"/>
        </w:rPr>
      </w:pPr>
    </w:p>
    <w:p w14:paraId="40CF06EF">
      <w:pPr>
        <w:spacing w:before="7"/>
        <w:rPr>
          <w:rFonts w:ascii="仿宋" w:hAnsi="仿宋" w:eastAsia="仿宋" w:cs="仿宋"/>
          <w:color w:val="auto"/>
          <w:highlight w:val="none"/>
          <w:lang w:eastAsia="zh-CN"/>
        </w:rPr>
      </w:pPr>
    </w:p>
    <w:p w14:paraId="726B74CB">
      <w:pPr>
        <w:spacing w:before="6"/>
        <w:rPr>
          <w:rFonts w:ascii="仿宋" w:hAnsi="仿宋" w:eastAsia="仿宋" w:cs="仿宋"/>
          <w:color w:val="auto"/>
          <w:highlight w:val="none"/>
          <w:lang w:eastAsia="zh-CN"/>
        </w:rPr>
      </w:pPr>
    </w:p>
    <w:p w14:paraId="7F1440D7">
      <w:pPr>
        <w:spacing w:before="6"/>
        <w:rPr>
          <w:rFonts w:ascii="仿宋" w:hAnsi="仿宋" w:eastAsia="仿宋" w:cs="仿宋"/>
          <w:color w:val="auto"/>
          <w:highlight w:val="none"/>
          <w:lang w:eastAsia="zh-CN"/>
        </w:rPr>
      </w:pPr>
    </w:p>
    <w:tbl>
      <w:tblPr>
        <w:tblStyle w:val="20"/>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8531"/>
      </w:tblGrid>
      <w:tr w14:paraId="3A2FB57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3940" w:hRule="atLeast"/>
        </w:trPr>
        <w:tc>
          <w:tcPr>
            <w:tcW w:w="8531" w:type="dxa"/>
          </w:tcPr>
          <w:p w14:paraId="0B431DA0">
            <w:pPr>
              <w:rPr>
                <w:rFonts w:ascii="仿宋" w:hAnsi="仿宋" w:eastAsia="仿宋" w:cs="仿宋"/>
                <w:color w:val="auto"/>
                <w:highlight w:val="none"/>
                <w:lang w:eastAsia="zh-CN"/>
              </w:rPr>
            </w:pPr>
          </w:p>
        </w:tc>
      </w:tr>
    </w:tbl>
    <w:p w14:paraId="790163A5">
      <w:pPr>
        <w:spacing w:line="292" w:lineRule="auto"/>
        <w:rPr>
          <w:rFonts w:ascii="仿宋" w:hAnsi="仿宋" w:eastAsia="仿宋" w:cs="仿宋"/>
          <w:color w:val="auto"/>
          <w:highlight w:val="none"/>
          <w:lang w:eastAsia="zh-CN"/>
        </w:rPr>
      </w:pPr>
    </w:p>
    <w:p w14:paraId="5DE0B436">
      <w:pPr>
        <w:spacing w:line="292" w:lineRule="auto"/>
        <w:rPr>
          <w:rFonts w:ascii="仿宋" w:hAnsi="仿宋" w:eastAsia="仿宋" w:cs="仿宋"/>
          <w:color w:val="auto"/>
          <w:highlight w:val="none"/>
          <w:lang w:eastAsia="zh-CN"/>
        </w:rPr>
      </w:pPr>
    </w:p>
    <w:p w14:paraId="1CB23094">
      <w:pPr>
        <w:spacing w:before="79" w:line="219" w:lineRule="auto"/>
        <w:ind w:left="125"/>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434B8B77">
      <w:pPr>
        <w:spacing w:line="259" w:lineRule="auto"/>
        <w:rPr>
          <w:rFonts w:ascii="仿宋" w:hAnsi="仿宋" w:eastAsia="仿宋" w:cs="仿宋"/>
          <w:color w:val="auto"/>
          <w:highlight w:val="none"/>
          <w:lang w:eastAsia="zh-CN"/>
        </w:rPr>
      </w:pPr>
    </w:p>
    <w:p w14:paraId="25D20A28">
      <w:pPr>
        <w:spacing w:before="78" w:line="219" w:lineRule="auto"/>
        <w:ind w:left="12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法定代表人（单位负责人</w:t>
      </w:r>
      <w:r>
        <w:rPr>
          <w:rFonts w:hint="eastAsia" w:ascii="仿宋" w:hAnsi="仿宋" w:eastAsia="仿宋" w:cs="仿宋"/>
          <w:color w:val="auto"/>
          <w:spacing w:val="-9"/>
          <w:sz w:val="24"/>
          <w:szCs w:val="24"/>
          <w:highlight w:val="none"/>
          <w:lang w:eastAsia="zh-CN"/>
        </w:rPr>
        <w:t>）（</w:t>
      </w:r>
      <w:r>
        <w:rPr>
          <w:rFonts w:hint="eastAsia" w:ascii="仿宋" w:hAnsi="仿宋" w:eastAsia="仿宋" w:cs="仿宋"/>
          <w:color w:val="auto"/>
          <w:spacing w:val="1"/>
          <w:sz w:val="24"/>
          <w:szCs w:val="24"/>
          <w:highlight w:val="none"/>
          <w:lang w:eastAsia="zh-CN"/>
        </w:rPr>
        <w:t>签字或盖章</w:t>
      </w:r>
      <w:r>
        <w:rPr>
          <w:rFonts w:hint="eastAsia" w:ascii="仿宋" w:hAnsi="仿宋" w:eastAsia="仿宋" w:cs="仿宋"/>
          <w:color w:val="auto"/>
          <w:spacing w:val="-9"/>
          <w:sz w:val="24"/>
          <w:szCs w:val="24"/>
          <w:highlight w:val="none"/>
          <w:lang w:eastAsia="zh-CN"/>
        </w:rPr>
        <w:t>）：</w:t>
      </w:r>
    </w:p>
    <w:p w14:paraId="1DA420F3">
      <w:pPr>
        <w:spacing w:line="241" w:lineRule="auto"/>
        <w:rPr>
          <w:rFonts w:ascii="仿宋" w:hAnsi="仿宋" w:eastAsia="仿宋" w:cs="仿宋"/>
          <w:color w:val="auto"/>
          <w:highlight w:val="none"/>
          <w:lang w:eastAsia="zh-CN"/>
        </w:rPr>
      </w:pPr>
    </w:p>
    <w:p w14:paraId="409077AF">
      <w:pPr>
        <w:spacing w:line="242" w:lineRule="auto"/>
        <w:rPr>
          <w:rFonts w:ascii="仿宋" w:hAnsi="仿宋" w:eastAsia="仿宋" w:cs="仿宋"/>
          <w:color w:val="auto"/>
          <w:highlight w:val="none"/>
          <w:lang w:eastAsia="zh-CN"/>
        </w:rPr>
      </w:pPr>
    </w:p>
    <w:p w14:paraId="579FB35B">
      <w:pPr>
        <w:spacing w:line="242" w:lineRule="auto"/>
        <w:rPr>
          <w:rFonts w:ascii="仿宋" w:hAnsi="仿宋" w:eastAsia="仿宋" w:cs="仿宋"/>
          <w:color w:val="auto"/>
          <w:highlight w:val="none"/>
          <w:lang w:eastAsia="zh-CN"/>
        </w:rPr>
      </w:pPr>
    </w:p>
    <w:p w14:paraId="25C127DE">
      <w:pPr>
        <w:spacing w:before="79" w:line="219" w:lineRule="auto"/>
        <w:ind w:left="163"/>
        <w:rPr>
          <w:rFonts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日期：年月日</w:t>
      </w:r>
    </w:p>
    <w:p w14:paraId="55EA71CC">
      <w:pPr>
        <w:spacing w:line="273" w:lineRule="auto"/>
        <w:rPr>
          <w:rFonts w:ascii="仿宋" w:hAnsi="仿宋" w:eastAsia="仿宋" w:cs="仿宋"/>
          <w:color w:val="auto"/>
          <w:highlight w:val="none"/>
          <w:lang w:eastAsia="zh-CN"/>
        </w:rPr>
      </w:pPr>
    </w:p>
    <w:p w14:paraId="219D77D4">
      <w:pPr>
        <w:pageBreakBefore/>
        <w:spacing w:before="101" w:line="223" w:lineRule="auto"/>
        <w:ind w:left="3153"/>
        <w:outlineLvl w:val="1"/>
        <w:rPr>
          <w:rFonts w:ascii="仿宋" w:hAnsi="仿宋" w:eastAsia="仿宋" w:cs="仿宋"/>
          <w:color w:val="auto"/>
          <w:sz w:val="31"/>
          <w:szCs w:val="31"/>
          <w:highlight w:val="none"/>
          <w:lang w:eastAsia="zh-CN"/>
        </w:rPr>
      </w:pPr>
      <w:bookmarkStart w:id="475" w:name="bookmark259"/>
      <w:bookmarkEnd w:id="475"/>
      <w:bookmarkStart w:id="476" w:name="bookmark260"/>
      <w:bookmarkEnd w:id="476"/>
      <w:bookmarkStart w:id="477" w:name="_Toc16842"/>
      <w:bookmarkStart w:id="478" w:name="_Toc186477815"/>
      <w:r>
        <w:rPr>
          <w:rFonts w:hint="eastAsia" w:ascii="仿宋" w:hAnsi="仿宋" w:eastAsia="仿宋" w:cs="仿宋"/>
          <w:b/>
          <w:bCs/>
          <w:color w:val="auto"/>
          <w:spacing w:val="5"/>
          <w:sz w:val="31"/>
          <w:szCs w:val="31"/>
          <w:highlight w:val="none"/>
          <w:lang w:eastAsia="zh-CN"/>
        </w:rPr>
        <w:t>三、授权委托书</w:t>
      </w:r>
      <w:bookmarkEnd w:id="477"/>
      <w:bookmarkEnd w:id="478"/>
    </w:p>
    <w:p w14:paraId="77B4DE26">
      <w:pPr>
        <w:spacing w:before="310" w:line="353" w:lineRule="auto"/>
        <w:ind w:left="122" w:right="37" w:firstLine="480"/>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本人（姓名）系（投标人名称</w:t>
      </w:r>
      <w:r>
        <w:rPr>
          <w:rFonts w:hint="eastAsia" w:ascii="仿宋" w:hAnsi="仿宋" w:eastAsia="仿宋" w:cs="仿宋"/>
          <w:color w:val="auto"/>
          <w:spacing w:val="-1"/>
          <w:sz w:val="24"/>
          <w:szCs w:val="24"/>
          <w:highlight w:val="none"/>
          <w:lang w:eastAsia="zh-CN"/>
        </w:rPr>
        <w:t>）的法定代表人（单位负责</w:t>
      </w:r>
      <w:r>
        <w:rPr>
          <w:rFonts w:hint="eastAsia" w:ascii="仿宋" w:hAnsi="仿宋" w:eastAsia="仿宋" w:cs="仿宋"/>
          <w:color w:val="auto"/>
          <w:spacing w:val="-3"/>
          <w:sz w:val="24"/>
          <w:szCs w:val="24"/>
          <w:highlight w:val="none"/>
          <w:lang w:eastAsia="zh-CN"/>
        </w:rPr>
        <w:t>人</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3"/>
          <w:sz w:val="24"/>
          <w:szCs w:val="24"/>
          <w:highlight w:val="none"/>
          <w:lang w:eastAsia="zh-CN"/>
        </w:rPr>
        <w:t>现委托（姓名）为我方代理人。</w:t>
      </w:r>
      <w:r>
        <w:rPr>
          <w:rFonts w:hint="eastAsia" w:ascii="仿宋" w:hAnsi="仿宋" w:eastAsia="仿宋" w:cs="仿宋"/>
          <w:color w:val="auto"/>
          <w:spacing w:val="-4"/>
          <w:sz w:val="24"/>
          <w:szCs w:val="24"/>
          <w:highlight w:val="none"/>
          <w:lang w:eastAsia="zh-CN"/>
        </w:rPr>
        <w:t>代理人根据授权，以我方名义签署、</w:t>
      </w:r>
      <w:r>
        <w:rPr>
          <w:rFonts w:hint="eastAsia" w:ascii="仿宋" w:hAnsi="仿宋" w:eastAsia="仿宋" w:cs="仿宋"/>
          <w:color w:val="auto"/>
          <w:spacing w:val="-3"/>
          <w:sz w:val="24"/>
          <w:szCs w:val="24"/>
          <w:highlight w:val="none"/>
          <w:lang w:eastAsia="zh-CN"/>
        </w:rPr>
        <w:t>澄清确认、说明、补正、递交、撤回、修改</w:t>
      </w:r>
      <w:r>
        <w:rPr>
          <w:rFonts w:hint="eastAsia" w:ascii="仿宋" w:hAnsi="仿宋" w:eastAsia="仿宋" w:cs="仿宋"/>
          <w:color w:val="auto"/>
          <w:spacing w:val="-4"/>
          <w:sz w:val="24"/>
          <w:szCs w:val="24"/>
          <w:highlight w:val="none"/>
          <w:lang w:eastAsia="zh-CN"/>
        </w:rPr>
        <w:t>（项目名称）投标文件、</w:t>
      </w:r>
      <w:r>
        <w:rPr>
          <w:rFonts w:hint="eastAsia" w:ascii="仿宋" w:hAnsi="仿宋" w:eastAsia="仿宋" w:cs="仿宋"/>
          <w:color w:val="auto"/>
          <w:spacing w:val="-1"/>
          <w:sz w:val="24"/>
          <w:szCs w:val="24"/>
          <w:highlight w:val="none"/>
          <w:lang w:eastAsia="zh-CN"/>
        </w:rPr>
        <w:t>签订合同和处理有关事宜，其法律后果由我方承担。</w:t>
      </w:r>
    </w:p>
    <w:p w14:paraId="1A8312D6">
      <w:pPr>
        <w:spacing w:before="33" w:line="347" w:lineRule="auto"/>
        <w:ind w:left="601" w:right="102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委托期限：自本授权委托书签署之日起至投标有效期届满之日止。</w:t>
      </w:r>
      <w:r>
        <w:rPr>
          <w:rFonts w:hint="eastAsia" w:ascii="仿宋" w:hAnsi="仿宋" w:eastAsia="仿宋" w:cs="仿宋"/>
          <w:color w:val="auto"/>
          <w:spacing w:val="-1"/>
          <w:sz w:val="24"/>
          <w:szCs w:val="24"/>
          <w:highlight w:val="none"/>
          <w:lang w:eastAsia="zh-CN"/>
        </w:rPr>
        <w:t>代理人无转委托权。</w:t>
      </w:r>
    </w:p>
    <w:p w14:paraId="74BBA19F">
      <w:pPr>
        <w:spacing w:line="278" w:lineRule="auto"/>
        <w:rPr>
          <w:rFonts w:ascii="仿宋" w:hAnsi="仿宋" w:eastAsia="仿宋" w:cs="仿宋"/>
          <w:color w:val="auto"/>
          <w:highlight w:val="none"/>
          <w:lang w:eastAsia="zh-CN"/>
        </w:rPr>
      </w:pPr>
    </w:p>
    <w:p w14:paraId="147B3A3D">
      <w:pPr>
        <w:spacing w:before="78" w:line="219" w:lineRule="auto"/>
        <w:ind w:left="125"/>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67EB28BD">
      <w:pPr>
        <w:spacing w:line="259" w:lineRule="auto"/>
        <w:rPr>
          <w:rFonts w:ascii="仿宋" w:hAnsi="仿宋" w:eastAsia="仿宋" w:cs="仿宋"/>
          <w:color w:val="auto"/>
          <w:highlight w:val="none"/>
          <w:lang w:eastAsia="zh-CN"/>
        </w:rPr>
      </w:pPr>
    </w:p>
    <w:p w14:paraId="5A18852F">
      <w:pPr>
        <w:spacing w:before="78" w:line="219" w:lineRule="auto"/>
        <w:ind w:left="12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法定代表人（单位负责人</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z w:val="24"/>
          <w:szCs w:val="24"/>
          <w:highlight w:val="none"/>
          <w:lang w:eastAsia="zh-CN"/>
        </w:rPr>
        <w:t>签字或盖章)：</w:t>
      </w:r>
    </w:p>
    <w:p w14:paraId="23685BDA">
      <w:pPr>
        <w:spacing w:line="259" w:lineRule="auto"/>
        <w:rPr>
          <w:rFonts w:ascii="仿宋" w:hAnsi="仿宋" w:eastAsia="仿宋" w:cs="仿宋"/>
          <w:color w:val="auto"/>
          <w:highlight w:val="none"/>
          <w:lang w:eastAsia="zh-CN"/>
        </w:rPr>
      </w:pPr>
    </w:p>
    <w:p w14:paraId="0CC40F4C">
      <w:pPr>
        <w:spacing w:before="79" w:line="219" w:lineRule="auto"/>
        <w:ind w:left="121"/>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委托代理人（签字或盖章)：    联系电话：</w:t>
      </w:r>
    </w:p>
    <w:p w14:paraId="49464D81">
      <w:pPr>
        <w:spacing w:line="260" w:lineRule="auto"/>
        <w:rPr>
          <w:rFonts w:ascii="仿宋" w:hAnsi="仿宋" w:eastAsia="仿宋" w:cs="仿宋"/>
          <w:color w:val="auto"/>
          <w:highlight w:val="none"/>
          <w:lang w:eastAsia="zh-CN"/>
        </w:rPr>
      </w:pPr>
    </w:p>
    <w:p w14:paraId="4A394085">
      <w:pPr>
        <w:spacing w:before="78" w:line="219" w:lineRule="auto"/>
        <w:ind w:left="163"/>
        <w:rPr>
          <w:rFonts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日期：年月日</w:t>
      </w:r>
    </w:p>
    <w:p w14:paraId="6A02C4C9">
      <w:pPr>
        <w:spacing w:line="413" w:lineRule="auto"/>
        <w:rPr>
          <w:rFonts w:ascii="仿宋" w:hAnsi="仿宋" w:eastAsia="仿宋" w:cs="仿宋"/>
          <w:color w:val="auto"/>
          <w:highlight w:val="none"/>
          <w:lang w:eastAsia="zh-CN"/>
        </w:rPr>
      </w:pPr>
    </w:p>
    <w:p w14:paraId="3212705A">
      <w:pPr>
        <w:spacing w:before="79" w:line="219" w:lineRule="auto"/>
        <w:ind w:left="140"/>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附：法定代表人及委托代理人身份证明文件电子件：</w:t>
      </w:r>
    </w:p>
    <w:p w14:paraId="54726680">
      <w:pPr>
        <w:spacing w:line="69" w:lineRule="exact"/>
        <w:rPr>
          <w:rFonts w:ascii="仿宋" w:hAnsi="仿宋" w:eastAsia="仿宋" w:cs="仿宋"/>
          <w:color w:val="auto"/>
          <w:highlight w:val="none"/>
          <w:lang w:eastAsia="zh-CN"/>
        </w:rPr>
      </w:pPr>
    </w:p>
    <w:tbl>
      <w:tblPr>
        <w:tblStyle w:val="20"/>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8531"/>
      </w:tblGrid>
      <w:tr w14:paraId="7722173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8531" w:type="dxa"/>
          </w:tcPr>
          <w:p w14:paraId="5AC152B5">
            <w:pPr>
              <w:rPr>
                <w:rFonts w:ascii="仿宋" w:hAnsi="仿宋" w:eastAsia="仿宋" w:cs="仿宋"/>
                <w:color w:val="auto"/>
                <w:highlight w:val="none"/>
                <w:lang w:eastAsia="zh-CN"/>
              </w:rPr>
            </w:pPr>
          </w:p>
        </w:tc>
      </w:tr>
    </w:tbl>
    <w:p w14:paraId="78BC152C">
      <w:pPr>
        <w:spacing w:before="115" w:line="219" w:lineRule="auto"/>
        <w:ind w:left="605"/>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说明：</w:t>
      </w:r>
    </w:p>
    <w:p w14:paraId="3E543819">
      <w:pPr>
        <w:spacing w:before="182" w:line="347" w:lineRule="auto"/>
        <w:ind w:left="126" w:right="18" w:firstLine="492"/>
        <w:rPr>
          <w:rFonts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lang w:eastAsia="zh-CN"/>
        </w:rPr>
        <w:t>1.若投标人为事业单位或其他组织或分支机构，则法定代表人（单位负责人）</w:t>
      </w:r>
      <w:r>
        <w:rPr>
          <w:rFonts w:hint="eastAsia" w:ascii="仿宋" w:hAnsi="仿宋" w:eastAsia="仿宋" w:cs="仿宋"/>
          <w:color w:val="auto"/>
          <w:spacing w:val="-2"/>
          <w:sz w:val="24"/>
          <w:szCs w:val="24"/>
          <w:highlight w:val="none"/>
          <w:lang w:eastAsia="zh-CN"/>
        </w:rPr>
        <w:t>处的签署人可为单位负责人。</w:t>
      </w:r>
    </w:p>
    <w:p w14:paraId="756CF864">
      <w:pPr>
        <w:spacing w:before="35" w:line="346" w:lineRule="auto"/>
        <w:ind w:left="123" w:right="117"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2.若投标文件中签字之处均为法定代表人（单位负责人）本人签</w:t>
      </w:r>
      <w:r>
        <w:rPr>
          <w:rFonts w:hint="eastAsia" w:ascii="仿宋" w:hAnsi="仿宋" w:eastAsia="仿宋" w:cs="仿宋"/>
          <w:color w:val="auto"/>
          <w:spacing w:val="-4"/>
          <w:sz w:val="24"/>
          <w:szCs w:val="24"/>
          <w:highlight w:val="none"/>
          <w:lang w:eastAsia="zh-CN"/>
        </w:rPr>
        <w:t>署，则可不</w:t>
      </w:r>
      <w:r>
        <w:rPr>
          <w:rFonts w:hint="eastAsia" w:ascii="仿宋" w:hAnsi="仿宋" w:eastAsia="仿宋" w:cs="仿宋"/>
          <w:color w:val="auto"/>
          <w:sz w:val="24"/>
          <w:szCs w:val="24"/>
          <w:highlight w:val="none"/>
          <w:lang w:eastAsia="zh-CN"/>
        </w:rPr>
        <w:t>提供本《授权委托书》，但须提供《法定代表人（</w:t>
      </w:r>
      <w:r>
        <w:rPr>
          <w:rFonts w:hint="eastAsia" w:ascii="仿宋" w:hAnsi="仿宋" w:eastAsia="仿宋" w:cs="仿宋"/>
          <w:color w:val="auto"/>
          <w:spacing w:val="-1"/>
          <w:sz w:val="24"/>
          <w:szCs w:val="24"/>
          <w:highlight w:val="none"/>
          <w:lang w:eastAsia="zh-CN"/>
        </w:rPr>
        <w:t>单位负责人）身份证明》。</w:t>
      </w:r>
    </w:p>
    <w:p w14:paraId="5C6DA106">
      <w:pPr>
        <w:spacing w:before="35" w:line="219" w:lineRule="auto"/>
        <w:ind w:left="6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3.投标人为自然人的情形，可不提供本《授权委托书》。</w:t>
      </w:r>
    </w:p>
    <w:p w14:paraId="032ED9DD">
      <w:pPr>
        <w:spacing w:before="184" w:line="351" w:lineRule="auto"/>
        <w:ind w:left="121" w:right="117"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4.投标人应随本《授权委托书》同时提供法定代表人（单位负责人）及</w:t>
      </w:r>
      <w:r>
        <w:rPr>
          <w:rFonts w:hint="eastAsia" w:ascii="仿宋" w:hAnsi="仿宋" w:eastAsia="仿宋" w:cs="仿宋"/>
          <w:color w:val="auto"/>
          <w:spacing w:val="-4"/>
          <w:sz w:val="24"/>
          <w:szCs w:val="24"/>
          <w:highlight w:val="none"/>
          <w:lang w:eastAsia="zh-CN"/>
        </w:rPr>
        <w:t>委托</w:t>
      </w:r>
      <w:r>
        <w:rPr>
          <w:rFonts w:hint="eastAsia" w:ascii="仿宋" w:hAnsi="仿宋" w:eastAsia="仿宋" w:cs="仿宋"/>
          <w:color w:val="auto"/>
          <w:spacing w:val="-3"/>
          <w:sz w:val="24"/>
          <w:szCs w:val="24"/>
          <w:highlight w:val="none"/>
          <w:lang w:eastAsia="zh-CN"/>
        </w:rPr>
        <w:t>代理人的有效的身份证、护照等身份证明文件电子件。提供身份证的，应同时提</w:t>
      </w:r>
      <w:r>
        <w:rPr>
          <w:rFonts w:hint="eastAsia" w:ascii="仿宋" w:hAnsi="仿宋" w:eastAsia="仿宋" w:cs="仿宋"/>
          <w:color w:val="auto"/>
          <w:spacing w:val="-2"/>
          <w:sz w:val="24"/>
          <w:szCs w:val="24"/>
          <w:highlight w:val="none"/>
          <w:lang w:eastAsia="zh-CN"/>
        </w:rPr>
        <w:t>供身份证</w:t>
      </w:r>
      <w:r>
        <w:rPr>
          <w:rFonts w:hint="eastAsia" w:ascii="仿宋" w:hAnsi="仿宋" w:eastAsia="仿宋" w:cs="仿宋"/>
          <w:b/>
          <w:bCs/>
          <w:color w:val="auto"/>
          <w:spacing w:val="-2"/>
          <w:sz w:val="24"/>
          <w:szCs w:val="24"/>
          <w:highlight w:val="none"/>
          <w:lang w:eastAsia="zh-CN"/>
        </w:rPr>
        <w:t>双面</w:t>
      </w:r>
      <w:r>
        <w:rPr>
          <w:rFonts w:hint="eastAsia" w:ascii="仿宋" w:hAnsi="仿宋" w:eastAsia="仿宋" w:cs="仿宋"/>
          <w:color w:val="auto"/>
          <w:spacing w:val="-2"/>
          <w:sz w:val="24"/>
          <w:szCs w:val="24"/>
          <w:highlight w:val="none"/>
          <w:lang w:eastAsia="zh-CN"/>
        </w:rPr>
        <w:t>电子件。</w:t>
      </w:r>
    </w:p>
    <w:p w14:paraId="0CD86786">
      <w:pPr>
        <w:pageBreakBefore/>
        <w:spacing w:before="101" w:line="223" w:lineRule="auto"/>
        <w:ind w:left="1639"/>
        <w:outlineLvl w:val="1"/>
        <w:rPr>
          <w:rFonts w:ascii="仿宋" w:hAnsi="仿宋" w:eastAsia="仿宋" w:cs="仿宋"/>
          <w:color w:val="auto"/>
          <w:sz w:val="31"/>
          <w:szCs w:val="31"/>
          <w:highlight w:val="none"/>
          <w:lang w:eastAsia="zh-CN"/>
        </w:rPr>
      </w:pPr>
      <w:bookmarkStart w:id="479" w:name="bookmark264"/>
      <w:bookmarkEnd w:id="479"/>
      <w:bookmarkStart w:id="480" w:name="bookmark262"/>
      <w:bookmarkEnd w:id="480"/>
      <w:bookmarkStart w:id="481" w:name="bookmark266"/>
      <w:bookmarkEnd w:id="481"/>
      <w:bookmarkStart w:id="482" w:name="_Toc186477816"/>
      <w:bookmarkStart w:id="483" w:name="_Toc9027"/>
      <w:r>
        <w:rPr>
          <w:rFonts w:hint="eastAsia" w:ascii="仿宋" w:hAnsi="仿宋" w:eastAsia="仿宋" w:cs="仿宋"/>
          <w:b/>
          <w:bCs/>
          <w:color w:val="auto"/>
          <w:spacing w:val="5"/>
          <w:sz w:val="31"/>
          <w:szCs w:val="31"/>
          <w:highlight w:val="none"/>
          <w:lang w:eastAsia="zh-CN"/>
        </w:rPr>
        <w:t>四、政府采购投标人廉洁自律承诺书</w:t>
      </w:r>
      <w:bookmarkEnd w:id="482"/>
      <w:bookmarkEnd w:id="483"/>
    </w:p>
    <w:p w14:paraId="703BF427">
      <w:pPr>
        <w:spacing w:line="289" w:lineRule="auto"/>
        <w:rPr>
          <w:rFonts w:ascii="仿宋" w:hAnsi="仿宋" w:eastAsia="仿宋" w:cs="仿宋"/>
          <w:color w:val="auto"/>
          <w:highlight w:val="none"/>
          <w:lang w:eastAsia="zh-CN"/>
        </w:rPr>
      </w:pPr>
    </w:p>
    <w:p w14:paraId="0114B654">
      <w:pPr>
        <w:spacing w:before="78" w:line="219" w:lineRule="auto"/>
        <w:ind w:left="34"/>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（采购人）、（采购代理机构</w:t>
      </w:r>
      <w:r>
        <w:rPr>
          <w:rFonts w:hint="eastAsia" w:ascii="仿宋" w:hAnsi="仿宋" w:eastAsia="仿宋" w:cs="仿宋"/>
          <w:color w:val="auto"/>
          <w:spacing w:val="2"/>
          <w:sz w:val="24"/>
          <w:szCs w:val="24"/>
          <w:highlight w:val="none"/>
          <w:lang w:eastAsia="zh-CN"/>
        </w:rPr>
        <w:t>）：</w:t>
      </w:r>
    </w:p>
    <w:p w14:paraId="34CABECA">
      <w:pPr>
        <w:spacing w:before="259" w:line="347" w:lineRule="auto"/>
        <w:ind w:left="25" w:right="178"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我单位响应你单位项目招标要求参加投标。在这次投</w:t>
      </w:r>
      <w:r>
        <w:rPr>
          <w:rFonts w:hint="eastAsia" w:ascii="仿宋" w:hAnsi="仿宋" w:eastAsia="仿宋" w:cs="仿宋"/>
          <w:color w:val="auto"/>
          <w:spacing w:val="-4"/>
          <w:sz w:val="24"/>
          <w:szCs w:val="24"/>
          <w:highlight w:val="none"/>
          <w:lang w:eastAsia="zh-CN"/>
        </w:rPr>
        <w:t>标过程中和中标后，我</w:t>
      </w:r>
      <w:r>
        <w:rPr>
          <w:rFonts w:hint="eastAsia" w:ascii="仿宋" w:hAnsi="仿宋" w:eastAsia="仿宋" w:cs="仿宋"/>
          <w:color w:val="auto"/>
          <w:spacing w:val="-1"/>
          <w:sz w:val="24"/>
          <w:szCs w:val="24"/>
          <w:highlight w:val="none"/>
          <w:lang w:eastAsia="zh-CN"/>
        </w:rPr>
        <w:t>们将严格遵守国家法律法规要求，并郑重承诺：</w:t>
      </w:r>
    </w:p>
    <w:p w14:paraId="17790E88">
      <w:pPr>
        <w:spacing w:before="35" w:line="289" w:lineRule="auto"/>
        <w:ind w:left="25" w:right="122" w:firstLine="48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一、不向项目有关人员及部门赠送礼金礼物、有价证券、回扣以及中介费、</w:t>
      </w:r>
      <w:r>
        <w:rPr>
          <w:rFonts w:hint="eastAsia" w:ascii="仿宋" w:hAnsi="仿宋" w:eastAsia="仿宋" w:cs="仿宋"/>
          <w:color w:val="auto"/>
          <w:spacing w:val="-1"/>
          <w:sz w:val="24"/>
          <w:szCs w:val="24"/>
          <w:highlight w:val="none"/>
          <w:lang w:eastAsia="zh-CN"/>
        </w:rPr>
        <w:t>介绍费、咨询费等好处费；</w:t>
      </w:r>
    </w:p>
    <w:p w14:paraId="39A2DE8F">
      <w:pPr>
        <w:spacing w:before="184" w:line="219" w:lineRule="auto"/>
        <w:ind w:left="509"/>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二、不为项目有关人员及部门报销应由你方单位或个人支付的费用；</w:t>
      </w:r>
    </w:p>
    <w:p w14:paraId="2BB5FD97">
      <w:pPr>
        <w:spacing w:before="182" w:line="219" w:lineRule="auto"/>
        <w:jc w:val="right"/>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三、不向项目有关人员及部门提供有可能影响公正的宴请和健身娱乐等活动；</w:t>
      </w:r>
    </w:p>
    <w:p w14:paraId="077A7480">
      <w:pPr>
        <w:spacing w:before="183" w:line="219" w:lineRule="auto"/>
        <w:ind w:left="528"/>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四、不为项目有关人员及部门出国（境）、旅游</w:t>
      </w:r>
      <w:r>
        <w:rPr>
          <w:rFonts w:hint="eastAsia" w:ascii="仿宋" w:hAnsi="仿宋" w:eastAsia="仿宋" w:cs="仿宋"/>
          <w:color w:val="auto"/>
          <w:spacing w:val="-2"/>
          <w:sz w:val="24"/>
          <w:szCs w:val="24"/>
          <w:highlight w:val="none"/>
          <w:lang w:eastAsia="zh-CN"/>
        </w:rPr>
        <w:t>等提供方便；</w:t>
      </w:r>
    </w:p>
    <w:p w14:paraId="5035D36B">
      <w:pPr>
        <w:spacing w:before="183" w:line="290" w:lineRule="auto"/>
        <w:ind w:left="25" w:right="178" w:firstLine="48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五、不为项目有关人员个人装修住房、婚丧嫁娶</w:t>
      </w:r>
      <w:r>
        <w:rPr>
          <w:rFonts w:hint="eastAsia" w:ascii="仿宋" w:hAnsi="仿宋" w:eastAsia="仿宋" w:cs="仿宋"/>
          <w:color w:val="auto"/>
          <w:spacing w:val="-4"/>
          <w:sz w:val="24"/>
          <w:szCs w:val="24"/>
          <w:highlight w:val="none"/>
          <w:lang w:eastAsia="zh-CN"/>
        </w:rPr>
        <w:t>、配偶子女工作安排等提供好处；</w:t>
      </w:r>
    </w:p>
    <w:p w14:paraId="02FD8FC6">
      <w:pPr>
        <w:spacing w:before="182" w:line="290" w:lineRule="auto"/>
        <w:ind w:left="31" w:right="178" w:firstLine="47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六、严格遵守《中华人民共和国政府采购法》《中华</w:t>
      </w:r>
      <w:r>
        <w:rPr>
          <w:rFonts w:hint="eastAsia" w:ascii="仿宋" w:hAnsi="仿宋" w:eastAsia="仿宋" w:cs="仿宋"/>
          <w:color w:val="auto"/>
          <w:spacing w:val="-4"/>
          <w:sz w:val="24"/>
          <w:szCs w:val="24"/>
          <w:highlight w:val="none"/>
          <w:lang w:eastAsia="zh-CN"/>
        </w:rPr>
        <w:t>人民共和国政府采购法</w:t>
      </w:r>
      <w:r>
        <w:rPr>
          <w:rFonts w:hint="eastAsia" w:ascii="仿宋" w:hAnsi="仿宋" w:eastAsia="仿宋" w:cs="仿宋"/>
          <w:color w:val="auto"/>
          <w:spacing w:val="-3"/>
          <w:sz w:val="24"/>
          <w:szCs w:val="24"/>
          <w:highlight w:val="none"/>
          <w:lang w:eastAsia="zh-CN"/>
        </w:rPr>
        <w:t>实施条例》《中华人民共和国民法典》等法律法规，诚实守信</w:t>
      </w:r>
      <w:r>
        <w:rPr>
          <w:rFonts w:hint="eastAsia" w:ascii="仿宋" w:hAnsi="仿宋" w:eastAsia="仿宋" w:cs="仿宋"/>
          <w:color w:val="auto"/>
          <w:spacing w:val="-4"/>
          <w:sz w:val="24"/>
          <w:szCs w:val="24"/>
          <w:highlight w:val="none"/>
          <w:lang w:eastAsia="zh-CN"/>
        </w:rPr>
        <w:t>，合法经营，坚决</w:t>
      </w:r>
      <w:r>
        <w:rPr>
          <w:rFonts w:hint="eastAsia" w:ascii="仿宋" w:hAnsi="仿宋" w:eastAsia="仿宋" w:cs="仿宋"/>
          <w:color w:val="auto"/>
          <w:spacing w:val="-1"/>
          <w:sz w:val="24"/>
          <w:szCs w:val="24"/>
          <w:highlight w:val="none"/>
          <w:lang w:eastAsia="zh-CN"/>
        </w:rPr>
        <w:t>抵制各种违法违纪行为。</w:t>
      </w:r>
    </w:p>
    <w:p w14:paraId="70F65067">
      <w:pPr>
        <w:spacing w:before="183" w:line="351" w:lineRule="auto"/>
        <w:ind w:left="31" w:right="141" w:firstLine="478"/>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如违反上述承诺，你单位有权立即取消我单位投</w:t>
      </w:r>
      <w:r>
        <w:rPr>
          <w:rFonts w:hint="eastAsia" w:ascii="仿宋" w:hAnsi="仿宋" w:eastAsia="仿宋" w:cs="仿宋"/>
          <w:color w:val="auto"/>
          <w:spacing w:val="-4"/>
          <w:sz w:val="24"/>
          <w:szCs w:val="24"/>
          <w:highlight w:val="none"/>
          <w:lang w:eastAsia="zh-CN"/>
        </w:rPr>
        <w:t>标、中标或在建项目的建设</w:t>
      </w:r>
      <w:r>
        <w:rPr>
          <w:rFonts w:hint="eastAsia" w:ascii="仿宋" w:hAnsi="仿宋" w:eastAsia="仿宋" w:cs="仿宋"/>
          <w:color w:val="auto"/>
          <w:spacing w:val="-2"/>
          <w:sz w:val="24"/>
          <w:szCs w:val="24"/>
          <w:highlight w:val="none"/>
          <w:lang w:eastAsia="zh-CN"/>
        </w:rPr>
        <w:t>资格，有权拒绝我单位在一定时期内进入你单位进行项目建设或其他</w:t>
      </w:r>
      <w:r>
        <w:rPr>
          <w:rFonts w:hint="eastAsia" w:ascii="仿宋" w:hAnsi="仿宋" w:eastAsia="仿宋" w:cs="仿宋"/>
          <w:color w:val="auto"/>
          <w:spacing w:val="-3"/>
          <w:sz w:val="24"/>
          <w:szCs w:val="24"/>
          <w:highlight w:val="none"/>
          <w:lang w:eastAsia="zh-CN"/>
        </w:rPr>
        <w:t>经营活动，</w:t>
      </w:r>
      <w:r>
        <w:rPr>
          <w:rFonts w:hint="eastAsia" w:ascii="仿宋" w:hAnsi="仿宋" w:eastAsia="仿宋" w:cs="仿宋"/>
          <w:color w:val="auto"/>
          <w:spacing w:val="-1"/>
          <w:sz w:val="24"/>
          <w:szCs w:val="24"/>
          <w:highlight w:val="none"/>
          <w:lang w:eastAsia="zh-CN"/>
        </w:rPr>
        <w:t>并通报主管部门。由此引起的相应损失均由我单位承担。</w:t>
      </w:r>
    </w:p>
    <w:p w14:paraId="4AA08DB1">
      <w:pPr>
        <w:spacing w:line="270" w:lineRule="auto"/>
        <w:rPr>
          <w:rFonts w:ascii="仿宋" w:hAnsi="仿宋" w:eastAsia="仿宋" w:cs="仿宋"/>
          <w:color w:val="auto"/>
          <w:highlight w:val="none"/>
          <w:lang w:eastAsia="zh-CN"/>
        </w:rPr>
      </w:pPr>
    </w:p>
    <w:p w14:paraId="2A1B3ACA">
      <w:pPr>
        <w:spacing w:line="270" w:lineRule="auto"/>
        <w:rPr>
          <w:rFonts w:ascii="仿宋" w:hAnsi="仿宋" w:eastAsia="仿宋" w:cs="仿宋"/>
          <w:color w:val="auto"/>
          <w:highlight w:val="none"/>
          <w:lang w:eastAsia="zh-CN"/>
        </w:rPr>
      </w:pPr>
    </w:p>
    <w:p w14:paraId="5FB0809B">
      <w:pPr>
        <w:spacing w:line="270" w:lineRule="auto"/>
        <w:rPr>
          <w:rFonts w:ascii="仿宋" w:hAnsi="仿宋" w:eastAsia="仿宋" w:cs="仿宋"/>
          <w:color w:val="auto"/>
          <w:highlight w:val="none"/>
          <w:lang w:eastAsia="zh-CN"/>
        </w:rPr>
      </w:pPr>
    </w:p>
    <w:p w14:paraId="5F164C06">
      <w:pPr>
        <w:spacing w:line="270" w:lineRule="auto"/>
        <w:rPr>
          <w:rFonts w:ascii="仿宋" w:hAnsi="仿宋" w:eastAsia="仿宋" w:cs="仿宋"/>
          <w:color w:val="auto"/>
          <w:highlight w:val="none"/>
          <w:lang w:eastAsia="zh-CN"/>
        </w:rPr>
      </w:pPr>
    </w:p>
    <w:p w14:paraId="1CC8BE84">
      <w:pPr>
        <w:spacing w:line="271" w:lineRule="auto"/>
        <w:rPr>
          <w:rFonts w:ascii="仿宋" w:hAnsi="仿宋" w:eastAsia="仿宋" w:cs="仿宋"/>
          <w:color w:val="auto"/>
          <w:highlight w:val="none"/>
          <w:lang w:eastAsia="zh-CN"/>
        </w:rPr>
      </w:pPr>
    </w:p>
    <w:p w14:paraId="0325568E">
      <w:pPr>
        <w:spacing w:before="78" w:line="219" w:lineRule="auto"/>
        <w:ind w:left="4588"/>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09226FDC">
      <w:pPr>
        <w:spacing w:before="185" w:line="219" w:lineRule="auto"/>
        <w:ind w:left="4624"/>
        <w:rPr>
          <w:rFonts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日期：年月日</w:t>
      </w:r>
    </w:p>
    <w:p w14:paraId="11A95EB1">
      <w:pPr>
        <w:spacing w:line="272" w:lineRule="auto"/>
        <w:rPr>
          <w:rFonts w:ascii="仿宋" w:hAnsi="仿宋" w:eastAsia="仿宋" w:cs="仿宋"/>
          <w:color w:val="auto"/>
          <w:highlight w:val="none"/>
          <w:lang w:eastAsia="zh-CN"/>
        </w:rPr>
      </w:pPr>
    </w:p>
    <w:p w14:paraId="08B5200B">
      <w:pPr>
        <w:rPr>
          <w:rFonts w:ascii="仿宋" w:hAnsi="仿宋" w:eastAsia="仿宋" w:cs="仿宋"/>
          <w:color w:val="auto"/>
          <w:highlight w:val="none"/>
          <w:lang w:eastAsia="zh-CN"/>
        </w:rPr>
      </w:pPr>
    </w:p>
    <w:p w14:paraId="3236593B">
      <w:pPr>
        <w:spacing w:line="273" w:lineRule="auto"/>
        <w:rPr>
          <w:rFonts w:ascii="仿宋" w:hAnsi="仿宋" w:eastAsia="仿宋" w:cs="仿宋"/>
          <w:color w:val="auto"/>
          <w:highlight w:val="none"/>
          <w:lang w:eastAsia="zh-CN"/>
        </w:rPr>
      </w:pPr>
    </w:p>
    <w:p w14:paraId="50D48337">
      <w:pPr>
        <w:pageBreakBefore/>
        <w:spacing w:before="101" w:line="226" w:lineRule="auto"/>
        <w:jc w:val="center"/>
        <w:outlineLvl w:val="2"/>
        <w:rPr>
          <w:rFonts w:ascii="仿宋" w:hAnsi="仿宋" w:eastAsia="仿宋" w:cs="仿宋"/>
          <w:b/>
          <w:bCs/>
          <w:color w:val="auto"/>
          <w:spacing w:val="1"/>
          <w:sz w:val="31"/>
          <w:szCs w:val="31"/>
          <w:highlight w:val="none"/>
          <w:lang w:eastAsia="zh-CN"/>
        </w:rPr>
      </w:pPr>
      <w:bookmarkStart w:id="484" w:name="_Toc11108"/>
      <w:bookmarkStart w:id="485" w:name="_Toc186477818"/>
      <w:r>
        <w:rPr>
          <w:rFonts w:hint="eastAsia" w:ascii="仿宋" w:hAnsi="仿宋" w:eastAsia="仿宋" w:cs="仿宋"/>
          <w:b/>
          <w:bCs/>
          <w:color w:val="auto"/>
          <w:spacing w:val="1"/>
          <w:sz w:val="31"/>
          <w:szCs w:val="31"/>
          <w:highlight w:val="none"/>
          <w:lang w:eastAsia="zh-CN"/>
        </w:rPr>
        <w:t>五、采购需求响应偏离表</w:t>
      </w:r>
      <w:bookmarkEnd w:id="484"/>
      <w:bookmarkEnd w:id="485"/>
    </w:p>
    <w:p w14:paraId="6D6D10C0">
      <w:pPr>
        <w:spacing w:before="307" w:line="220" w:lineRule="auto"/>
        <w:ind w:left="12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项目名称：</w:t>
      </w:r>
    </w:p>
    <w:p w14:paraId="4084659C">
      <w:pPr>
        <w:spacing w:before="182" w:line="219" w:lineRule="auto"/>
        <w:ind w:left="12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项目（包）编号：</w:t>
      </w:r>
    </w:p>
    <w:p w14:paraId="31119D9A">
      <w:pPr>
        <w:spacing w:line="68" w:lineRule="exact"/>
        <w:rPr>
          <w:rFonts w:ascii="仿宋" w:hAnsi="仿宋" w:eastAsia="仿宋" w:cs="仿宋"/>
          <w:color w:val="auto"/>
          <w:highlight w:val="none"/>
          <w:lang w:eastAsia="zh-CN"/>
        </w:rPr>
      </w:pPr>
    </w:p>
    <w:tbl>
      <w:tblPr>
        <w:tblStyle w:val="20"/>
        <w:tblW w:w="8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5"/>
        <w:gridCol w:w="2493"/>
        <w:gridCol w:w="1830"/>
        <w:gridCol w:w="1658"/>
        <w:gridCol w:w="1875"/>
      </w:tblGrid>
      <w:tr w14:paraId="33724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47" w:hRule="atLeast"/>
        </w:trPr>
        <w:tc>
          <w:tcPr>
            <w:tcW w:w="725" w:type="dxa"/>
          </w:tcPr>
          <w:p w14:paraId="3DBA6E45">
            <w:pPr>
              <w:pStyle w:val="28"/>
              <w:spacing w:before="303" w:line="221" w:lineRule="auto"/>
              <w:ind w:left="128"/>
              <w:rPr>
                <w:rFonts w:ascii="仿宋" w:hAnsi="仿宋" w:eastAsia="仿宋" w:cs="仿宋"/>
                <w:color w:val="auto"/>
                <w:highlight w:val="none"/>
              </w:rPr>
            </w:pPr>
            <w:r>
              <w:rPr>
                <w:rFonts w:hint="eastAsia" w:ascii="仿宋" w:hAnsi="仿宋" w:eastAsia="仿宋" w:cs="仿宋"/>
                <w:color w:val="auto"/>
                <w:spacing w:val="-5"/>
                <w:highlight w:val="none"/>
              </w:rPr>
              <w:t>序号</w:t>
            </w:r>
          </w:p>
        </w:tc>
        <w:tc>
          <w:tcPr>
            <w:tcW w:w="2493" w:type="dxa"/>
          </w:tcPr>
          <w:p w14:paraId="5FA19410">
            <w:pPr>
              <w:pStyle w:val="28"/>
              <w:spacing w:before="304" w:line="219" w:lineRule="auto"/>
              <w:ind w:left="122"/>
              <w:jc w:val="center"/>
              <w:rPr>
                <w:rFonts w:ascii="仿宋" w:hAnsi="仿宋" w:eastAsia="仿宋" w:cs="仿宋"/>
                <w:color w:val="auto"/>
                <w:highlight w:val="none"/>
              </w:rPr>
            </w:pPr>
            <w:r>
              <w:rPr>
                <w:rFonts w:hint="eastAsia" w:ascii="仿宋" w:hAnsi="仿宋" w:eastAsia="仿宋" w:cs="仿宋"/>
                <w:color w:val="auto"/>
                <w:spacing w:val="-2"/>
                <w:highlight w:val="none"/>
              </w:rPr>
              <w:t>招标文件的条款</w:t>
            </w:r>
          </w:p>
        </w:tc>
        <w:tc>
          <w:tcPr>
            <w:tcW w:w="1830" w:type="dxa"/>
          </w:tcPr>
          <w:p w14:paraId="5CB2CD5C">
            <w:pPr>
              <w:pStyle w:val="28"/>
              <w:spacing w:before="147" w:line="230" w:lineRule="auto"/>
              <w:ind w:left="506" w:right="136" w:hanging="357"/>
              <w:jc w:val="center"/>
              <w:rPr>
                <w:rFonts w:ascii="仿宋" w:hAnsi="仿宋" w:eastAsia="仿宋" w:cs="仿宋"/>
                <w:color w:val="auto"/>
                <w:highlight w:val="none"/>
              </w:rPr>
            </w:pPr>
            <w:r>
              <w:rPr>
                <w:rFonts w:hint="eastAsia" w:ascii="仿宋" w:hAnsi="仿宋" w:eastAsia="仿宋" w:cs="仿宋"/>
                <w:color w:val="auto"/>
                <w:spacing w:val="-3"/>
                <w:highlight w:val="none"/>
              </w:rPr>
              <w:t>投标文件的响</w:t>
            </w:r>
            <w:r>
              <w:rPr>
                <w:rFonts w:hint="eastAsia" w:ascii="仿宋" w:hAnsi="仿宋" w:eastAsia="仿宋" w:cs="仿宋"/>
                <w:color w:val="auto"/>
                <w:spacing w:val="-4"/>
                <w:highlight w:val="none"/>
              </w:rPr>
              <w:t>应内容</w:t>
            </w:r>
          </w:p>
        </w:tc>
        <w:tc>
          <w:tcPr>
            <w:tcW w:w="1658" w:type="dxa"/>
          </w:tcPr>
          <w:p w14:paraId="7021D1D2">
            <w:pPr>
              <w:pStyle w:val="28"/>
              <w:spacing w:before="304" w:line="220" w:lineRule="auto"/>
              <w:ind w:left="474"/>
              <w:jc w:val="center"/>
              <w:rPr>
                <w:rFonts w:ascii="仿宋" w:hAnsi="仿宋" w:eastAsia="仿宋" w:cs="仿宋"/>
                <w:color w:val="auto"/>
                <w:highlight w:val="none"/>
              </w:rPr>
            </w:pPr>
            <w:r>
              <w:rPr>
                <w:rFonts w:hint="eastAsia" w:ascii="仿宋" w:hAnsi="仿宋" w:eastAsia="仿宋" w:cs="仿宋"/>
                <w:color w:val="auto"/>
                <w:spacing w:val="-6"/>
                <w:highlight w:val="none"/>
              </w:rPr>
              <w:t>响应情况</w:t>
            </w:r>
          </w:p>
        </w:tc>
        <w:tc>
          <w:tcPr>
            <w:tcW w:w="1875" w:type="dxa"/>
          </w:tcPr>
          <w:p w14:paraId="4E510206">
            <w:pPr>
              <w:pStyle w:val="28"/>
              <w:spacing w:before="304" w:line="219" w:lineRule="auto"/>
              <w:ind w:left="347"/>
              <w:jc w:val="center"/>
              <w:rPr>
                <w:rFonts w:ascii="仿宋" w:hAnsi="仿宋" w:eastAsia="仿宋" w:cs="仿宋"/>
                <w:color w:val="auto"/>
                <w:highlight w:val="none"/>
              </w:rPr>
            </w:pPr>
            <w:r>
              <w:rPr>
                <w:rFonts w:hint="eastAsia" w:ascii="仿宋" w:hAnsi="仿宋" w:eastAsia="仿宋" w:cs="仿宋"/>
                <w:color w:val="auto"/>
                <w:spacing w:val="-3"/>
                <w:highlight w:val="none"/>
              </w:rPr>
              <w:t>说明及索引</w:t>
            </w:r>
          </w:p>
        </w:tc>
      </w:tr>
      <w:tr w14:paraId="53FAD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5" w:hRule="atLeast"/>
        </w:trPr>
        <w:tc>
          <w:tcPr>
            <w:tcW w:w="725" w:type="dxa"/>
          </w:tcPr>
          <w:p w14:paraId="2C3CD7FB">
            <w:pPr>
              <w:pStyle w:val="28"/>
              <w:spacing w:before="134" w:line="184" w:lineRule="auto"/>
              <w:ind w:left="326"/>
              <w:rPr>
                <w:rFonts w:ascii="仿宋" w:hAnsi="仿宋" w:eastAsia="仿宋" w:cs="仿宋"/>
                <w:color w:val="auto"/>
                <w:highlight w:val="none"/>
              </w:rPr>
            </w:pPr>
            <w:r>
              <w:rPr>
                <w:rFonts w:hint="eastAsia" w:ascii="仿宋" w:hAnsi="仿宋" w:eastAsia="仿宋" w:cs="仿宋"/>
                <w:color w:val="auto"/>
                <w:highlight w:val="none"/>
              </w:rPr>
              <w:t>1</w:t>
            </w:r>
          </w:p>
        </w:tc>
        <w:tc>
          <w:tcPr>
            <w:tcW w:w="2493" w:type="dxa"/>
          </w:tcPr>
          <w:p w14:paraId="70AA3D10">
            <w:pPr>
              <w:pStyle w:val="28"/>
              <w:spacing w:before="97" w:line="327" w:lineRule="exact"/>
              <w:ind w:left="780"/>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830" w:type="dxa"/>
          </w:tcPr>
          <w:p w14:paraId="39D601F4">
            <w:pPr>
              <w:pStyle w:val="28"/>
              <w:spacing w:before="97" w:line="327" w:lineRule="exact"/>
              <w:ind w:left="445"/>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658" w:type="dxa"/>
          </w:tcPr>
          <w:p w14:paraId="755FC4B4">
            <w:pPr>
              <w:pStyle w:val="28"/>
              <w:spacing w:before="98" w:line="219" w:lineRule="auto"/>
              <w:ind w:left="414"/>
              <w:rPr>
                <w:rFonts w:ascii="仿宋" w:hAnsi="仿宋" w:eastAsia="仿宋" w:cs="仿宋"/>
                <w:color w:val="auto"/>
                <w:highlight w:val="none"/>
              </w:rPr>
            </w:pPr>
            <w:r>
              <w:rPr>
                <w:rFonts w:hint="eastAsia" w:ascii="仿宋" w:hAnsi="仿宋" w:eastAsia="仿宋" w:cs="仿宋"/>
                <w:color w:val="auto"/>
                <w:spacing w:val="-5"/>
                <w:highlight w:val="none"/>
              </w:rPr>
              <w:t>响应/偏离</w:t>
            </w:r>
          </w:p>
        </w:tc>
        <w:tc>
          <w:tcPr>
            <w:tcW w:w="1875" w:type="dxa"/>
          </w:tcPr>
          <w:p w14:paraId="5F4F5651">
            <w:pPr>
              <w:rPr>
                <w:rFonts w:ascii="仿宋" w:hAnsi="仿宋" w:eastAsia="仿宋" w:cs="仿宋"/>
                <w:color w:val="auto"/>
                <w:highlight w:val="none"/>
              </w:rPr>
            </w:pPr>
          </w:p>
        </w:tc>
      </w:tr>
      <w:tr w14:paraId="7CA93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5" w:hRule="atLeast"/>
        </w:trPr>
        <w:tc>
          <w:tcPr>
            <w:tcW w:w="725" w:type="dxa"/>
          </w:tcPr>
          <w:p w14:paraId="7FC7EC89">
            <w:pPr>
              <w:pStyle w:val="28"/>
              <w:spacing w:before="134" w:line="183" w:lineRule="auto"/>
              <w:ind w:left="312"/>
              <w:rPr>
                <w:rFonts w:ascii="仿宋" w:hAnsi="仿宋" w:eastAsia="仿宋" w:cs="仿宋"/>
                <w:color w:val="auto"/>
                <w:highlight w:val="none"/>
              </w:rPr>
            </w:pPr>
            <w:r>
              <w:rPr>
                <w:rFonts w:hint="eastAsia" w:ascii="仿宋" w:hAnsi="仿宋" w:eastAsia="仿宋" w:cs="仿宋"/>
                <w:color w:val="auto"/>
                <w:highlight w:val="none"/>
              </w:rPr>
              <w:t>2</w:t>
            </w:r>
          </w:p>
        </w:tc>
        <w:tc>
          <w:tcPr>
            <w:tcW w:w="2493" w:type="dxa"/>
          </w:tcPr>
          <w:p w14:paraId="629D5235">
            <w:pPr>
              <w:pStyle w:val="28"/>
              <w:spacing w:before="97" w:line="327" w:lineRule="exact"/>
              <w:ind w:left="780"/>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830" w:type="dxa"/>
          </w:tcPr>
          <w:p w14:paraId="21C01928">
            <w:pPr>
              <w:pStyle w:val="28"/>
              <w:spacing w:before="97" w:line="327" w:lineRule="exact"/>
              <w:ind w:left="445"/>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658" w:type="dxa"/>
          </w:tcPr>
          <w:p w14:paraId="3615BC6C">
            <w:pPr>
              <w:rPr>
                <w:rFonts w:ascii="仿宋" w:hAnsi="仿宋" w:eastAsia="仿宋" w:cs="仿宋"/>
                <w:color w:val="auto"/>
                <w:highlight w:val="none"/>
              </w:rPr>
            </w:pPr>
          </w:p>
        </w:tc>
        <w:tc>
          <w:tcPr>
            <w:tcW w:w="1875" w:type="dxa"/>
          </w:tcPr>
          <w:p w14:paraId="2CD3DEEC">
            <w:pPr>
              <w:rPr>
                <w:rFonts w:ascii="仿宋" w:hAnsi="仿宋" w:eastAsia="仿宋" w:cs="仿宋"/>
                <w:color w:val="auto"/>
                <w:highlight w:val="none"/>
              </w:rPr>
            </w:pPr>
          </w:p>
        </w:tc>
      </w:tr>
      <w:tr w14:paraId="34460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7F85F475">
            <w:pPr>
              <w:pStyle w:val="28"/>
              <w:spacing w:before="136" w:line="183" w:lineRule="auto"/>
              <w:ind w:left="313"/>
              <w:rPr>
                <w:rFonts w:ascii="仿宋" w:hAnsi="仿宋" w:eastAsia="仿宋" w:cs="仿宋"/>
                <w:color w:val="auto"/>
                <w:highlight w:val="none"/>
              </w:rPr>
            </w:pPr>
            <w:r>
              <w:rPr>
                <w:rFonts w:hint="eastAsia" w:ascii="仿宋" w:hAnsi="仿宋" w:eastAsia="仿宋" w:cs="仿宋"/>
                <w:color w:val="auto"/>
                <w:highlight w:val="none"/>
              </w:rPr>
              <w:t>3</w:t>
            </w:r>
          </w:p>
        </w:tc>
        <w:tc>
          <w:tcPr>
            <w:tcW w:w="2493" w:type="dxa"/>
          </w:tcPr>
          <w:p w14:paraId="0F154373">
            <w:pPr>
              <w:pStyle w:val="28"/>
              <w:spacing w:before="98" w:line="327" w:lineRule="exact"/>
              <w:ind w:left="780"/>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830" w:type="dxa"/>
          </w:tcPr>
          <w:p w14:paraId="7434D63B">
            <w:pPr>
              <w:pStyle w:val="28"/>
              <w:spacing w:before="98" w:line="327" w:lineRule="exact"/>
              <w:ind w:left="445"/>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658" w:type="dxa"/>
          </w:tcPr>
          <w:p w14:paraId="6F920641">
            <w:pPr>
              <w:rPr>
                <w:rFonts w:ascii="仿宋" w:hAnsi="仿宋" w:eastAsia="仿宋" w:cs="仿宋"/>
                <w:color w:val="auto"/>
                <w:highlight w:val="none"/>
              </w:rPr>
            </w:pPr>
          </w:p>
        </w:tc>
        <w:tc>
          <w:tcPr>
            <w:tcW w:w="1875" w:type="dxa"/>
          </w:tcPr>
          <w:p w14:paraId="17C1114E">
            <w:pPr>
              <w:ind w:firstLine="224"/>
              <w:rPr>
                <w:rFonts w:ascii="仿宋" w:hAnsi="仿宋" w:eastAsia="仿宋" w:cs="仿宋"/>
                <w:color w:val="auto"/>
                <w:highlight w:val="none"/>
              </w:rPr>
            </w:pPr>
          </w:p>
        </w:tc>
      </w:tr>
      <w:tr w14:paraId="29AD8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5" w:hRule="atLeast"/>
        </w:trPr>
        <w:tc>
          <w:tcPr>
            <w:tcW w:w="725" w:type="dxa"/>
          </w:tcPr>
          <w:p w14:paraId="6254E8B9">
            <w:pPr>
              <w:rPr>
                <w:rFonts w:ascii="仿宋" w:hAnsi="仿宋" w:eastAsia="仿宋" w:cs="仿宋"/>
                <w:color w:val="auto"/>
                <w:highlight w:val="none"/>
              </w:rPr>
            </w:pPr>
          </w:p>
        </w:tc>
        <w:tc>
          <w:tcPr>
            <w:tcW w:w="2493" w:type="dxa"/>
          </w:tcPr>
          <w:p w14:paraId="0FD16598">
            <w:pPr>
              <w:rPr>
                <w:rFonts w:ascii="仿宋" w:hAnsi="仿宋" w:eastAsia="仿宋" w:cs="仿宋"/>
                <w:color w:val="auto"/>
                <w:highlight w:val="none"/>
              </w:rPr>
            </w:pPr>
          </w:p>
        </w:tc>
        <w:tc>
          <w:tcPr>
            <w:tcW w:w="1830" w:type="dxa"/>
          </w:tcPr>
          <w:p w14:paraId="2226EC84">
            <w:pPr>
              <w:rPr>
                <w:rFonts w:ascii="仿宋" w:hAnsi="仿宋" w:eastAsia="仿宋" w:cs="仿宋"/>
                <w:color w:val="auto"/>
                <w:highlight w:val="none"/>
              </w:rPr>
            </w:pPr>
          </w:p>
        </w:tc>
        <w:tc>
          <w:tcPr>
            <w:tcW w:w="1658" w:type="dxa"/>
          </w:tcPr>
          <w:p w14:paraId="1A7C686C">
            <w:pPr>
              <w:rPr>
                <w:rFonts w:ascii="仿宋" w:hAnsi="仿宋" w:eastAsia="仿宋" w:cs="仿宋"/>
                <w:color w:val="auto"/>
                <w:highlight w:val="none"/>
              </w:rPr>
            </w:pPr>
          </w:p>
        </w:tc>
        <w:tc>
          <w:tcPr>
            <w:tcW w:w="1875" w:type="dxa"/>
          </w:tcPr>
          <w:p w14:paraId="04B5DF52">
            <w:pPr>
              <w:rPr>
                <w:rFonts w:ascii="仿宋" w:hAnsi="仿宋" w:eastAsia="仿宋" w:cs="仿宋"/>
                <w:color w:val="auto"/>
                <w:highlight w:val="none"/>
              </w:rPr>
            </w:pPr>
          </w:p>
        </w:tc>
      </w:tr>
      <w:tr w14:paraId="7A44D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7FBF4738">
            <w:pPr>
              <w:rPr>
                <w:rFonts w:ascii="仿宋" w:hAnsi="仿宋" w:eastAsia="仿宋" w:cs="仿宋"/>
                <w:color w:val="auto"/>
                <w:highlight w:val="none"/>
              </w:rPr>
            </w:pPr>
          </w:p>
        </w:tc>
        <w:tc>
          <w:tcPr>
            <w:tcW w:w="2493" w:type="dxa"/>
          </w:tcPr>
          <w:p w14:paraId="0A47A33C">
            <w:pPr>
              <w:rPr>
                <w:rFonts w:ascii="仿宋" w:hAnsi="仿宋" w:eastAsia="仿宋" w:cs="仿宋"/>
                <w:color w:val="auto"/>
                <w:highlight w:val="none"/>
              </w:rPr>
            </w:pPr>
          </w:p>
        </w:tc>
        <w:tc>
          <w:tcPr>
            <w:tcW w:w="1830" w:type="dxa"/>
          </w:tcPr>
          <w:p w14:paraId="5C9A517C">
            <w:pPr>
              <w:rPr>
                <w:rFonts w:ascii="仿宋" w:hAnsi="仿宋" w:eastAsia="仿宋" w:cs="仿宋"/>
                <w:color w:val="auto"/>
                <w:highlight w:val="none"/>
              </w:rPr>
            </w:pPr>
          </w:p>
        </w:tc>
        <w:tc>
          <w:tcPr>
            <w:tcW w:w="1658" w:type="dxa"/>
          </w:tcPr>
          <w:p w14:paraId="08DB3292">
            <w:pPr>
              <w:rPr>
                <w:rFonts w:ascii="仿宋" w:hAnsi="仿宋" w:eastAsia="仿宋" w:cs="仿宋"/>
                <w:color w:val="auto"/>
                <w:highlight w:val="none"/>
              </w:rPr>
            </w:pPr>
          </w:p>
        </w:tc>
        <w:tc>
          <w:tcPr>
            <w:tcW w:w="1875" w:type="dxa"/>
          </w:tcPr>
          <w:p w14:paraId="5A84976D">
            <w:pPr>
              <w:rPr>
                <w:rFonts w:ascii="仿宋" w:hAnsi="仿宋" w:eastAsia="仿宋" w:cs="仿宋"/>
                <w:color w:val="auto"/>
                <w:highlight w:val="none"/>
              </w:rPr>
            </w:pPr>
          </w:p>
        </w:tc>
      </w:tr>
      <w:tr w14:paraId="65810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5" w:hRule="atLeast"/>
        </w:trPr>
        <w:tc>
          <w:tcPr>
            <w:tcW w:w="725" w:type="dxa"/>
          </w:tcPr>
          <w:p w14:paraId="0C3FAA25">
            <w:pPr>
              <w:rPr>
                <w:rFonts w:ascii="仿宋" w:hAnsi="仿宋" w:eastAsia="仿宋" w:cs="仿宋"/>
                <w:color w:val="auto"/>
                <w:highlight w:val="none"/>
              </w:rPr>
            </w:pPr>
          </w:p>
        </w:tc>
        <w:tc>
          <w:tcPr>
            <w:tcW w:w="2493" w:type="dxa"/>
          </w:tcPr>
          <w:p w14:paraId="3AB7340E">
            <w:pPr>
              <w:rPr>
                <w:rFonts w:ascii="仿宋" w:hAnsi="仿宋" w:eastAsia="仿宋" w:cs="仿宋"/>
                <w:color w:val="auto"/>
                <w:highlight w:val="none"/>
              </w:rPr>
            </w:pPr>
          </w:p>
        </w:tc>
        <w:tc>
          <w:tcPr>
            <w:tcW w:w="1830" w:type="dxa"/>
          </w:tcPr>
          <w:p w14:paraId="7D9639AF">
            <w:pPr>
              <w:rPr>
                <w:rFonts w:ascii="仿宋" w:hAnsi="仿宋" w:eastAsia="仿宋" w:cs="仿宋"/>
                <w:color w:val="auto"/>
                <w:highlight w:val="none"/>
              </w:rPr>
            </w:pPr>
          </w:p>
        </w:tc>
        <w:tc>
          <w:tcPr>
            <w:tcW w:w="1658" w:type="dxa"/>
          </w:tcPr>
          <w:p w14:paraId="603E82FF">
            <w:pPr>
              <w:rPr>
                <w:rFonts w:ascii="仿宋" w:hAnsi="仿宋" w:eastAsia="仿宋" w:cs="仿宋"/>
                <w:color w:val="auto"/>
                <w:highlight w:val="none"/>
              </w:rPr>
            </w:pPr>
          </w:p>
        </w:tc>
        <w:tc>
          <w:tcPr>
            <w:tcW w:w="1875" w:type="dxa"/>
          </w:tcPr>
          <w:p w14:paraId="6BA5986C">
            <w:pPr>
              <w:rPr>
                <w:rFonts w:ascii="仿宋" w:hAnsi="仿宋" w:eastAsia="仿宋" w:cs="仿宋"/>
                <w:color w:val="auto"/>
                <w:highlight w:val="none"/>
              </w:rPr>
            </w:pPr>
          </w:p>
        </w:tc>
      </w:tr>
      <w:tr w14:paraId="165A5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59643166">
            <w:pPr>
              <w:rPr>
                <w:rFonts w:ascii="仿宋" w:hAnsi="仿宋" w:eastAsia="仿宋" w:cs="仿宋"/>
                <w:color w:val="auto"/>
                <w:highlight w:val="none"/>
              </w:rPr>
            </w:pPr>
          </w:p>
        </w:tc>
        <w:tc>
          <w:tcPr>
            <w:tcW w:w="2493" w:type="dxa"/>
          </w:tcPr>
          <w:p w14:paraId="2CFC742A">
            <w:pPr>
              <w:rPr>
                <w:rFonts w:ascii="仿宋" w:hAnsi="仿宋" w:eastAsia="仿宋" w:cs="仿宋"/>
                <w:color w:val="auto"/>
                <w:highlight w:val="none"/>
              </w:rPr>
            </w:pPr>
          </w:p>
        </w:tc>
        <w:tc>
          <w:tcPr>
            <w:tcW w:w="1830" w:type="dxa"/>
          </w:tcPr>
          <w:p w14:paraId="6D4F7651">
            <w:pPr>
              <w:rPr>
                <w:rFonts w:ascii="仿宋" w:hAnsi="仿宋" w:eastAsia="仿宋" w:cs="仿宋"/>
                <w:color w:val="auto"/>
                <w:highlight w:val="none"/>
              </w:rPr>
            </w:pPr>
          </w:p>
        </w:tc>
        <w:tc>
          <w:tcPr>
            <w:tcW w:w="1658" w:type="dxa"/>
          </w:tcPr>
          <w:p w14:paraId="5E90009D">
            <w:pPr>
              <w:rPr>
                <w:rFonts w:ascii="仿宋" w:hAnsi="仿宋" w:eastAsia="仿宋" w:cs="仿宋"/>
                <w:color w:val="auto"/>
                <w:highlight w:val="none"/>
              </w:rPr>
            </w:pPr>
          </w:p>
        </w:tc>
        <w:tc>
          <w:tcPr>
            <w:tcW w:w="1875" w:type="dxa"/>
          </w:tcPr>
          <w:p w14:paraId="677D9492">
            <w:pPr>
              <w:rPr>
                <w:rFonts w:ascii="仿宋" w:hAnsi="仿宋" w:eastAsia="仿宋" w:cs="仿宋"/>
                <w:color w:val="auto"/>
                <w:highlight w:val="none"/>
              </w:rPr>
            </w:pPr>
          </w:p>
        </w:tc>
      </w:tr>
      <w:tr w14:paraId="7205E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198EA3A3">
            <w:pPr>
              <w:rPr>
                <w:rFonts w:ascii="仿宋" w:hAnsi="仿宋" w:eastAsia="仿宋" w:cs="仿宋"/>
                <w:color w:val="auto"/>
                <w:highlight w:val="none"/>
              </w:rPr>
            </w:pPr>
          </w:p>
        </w:tc>
        <w:tc>
          <w:tcPr>
            <w:tcW w:w="2493" w:type="dxa"/>
          </w:tcPr>
          <w:p w14:paraId="36EC54A7">
            <w:pPr>
              <w:rPr>
                <w:rFonts w:ascii="仿宋" w:hAnsi="仿宋" w:eastAsia="仿宋" w:cs="仿宋"/>
                <w:color w:val="auto"/>
                <w:highlight w:val="none"/>
              </w:rPr>
            </w:pPr>
          </w:p>
        </w:tc>
        <w:tc>
          <w:tcPr>
            <w:tcW w:w="1830" w:type="dxa"/>
          </w:tcPr>
          <w:p w14:paraId="1502C245">
            <w:pPr>
              <w:rPr>
                <w:rFonts w:ascii="仿宋" w:hAnsi="仿宋" w:eastAsia="仿宋" w:cs="仿宋"/>
                <w:color w:val="auto"/>
                <w:highlight w:val="none"/>
              </w:rPr>
            </w:pPr>
          </w:p>
        </w:tc>
        <w:tc>
          <w:tcPr>
            <w:tcW w:w="1658" w:type="dxa"/>
          </w:tcPr>
          <w:p w14:paraId="1676142D">
            <w:pPr>
              <w:rPr>
                <w:rFonts w:ascii="仿宋" w:hAnsi="仿宋" w:eastAsia="仿宋" w:cs="仿宋"/>
                <w:color w:val="auto"/>
                <w:highlight w:val="none"/>
              </w:rPr>
            </w:pPr>
          </w:p>
        </w:tc>
        <w:tc>
          <w:tcPr>
            <w:tcW w:w="1875" w:type="dxa"/>
          </w:tcPr>
          <w:p w14:paraId="2052D7AC">
            <w:pPr>
              <w:rPr>
                <w:rFonts w:ascii="仿宋" w:hAnsi="仿宋" w:eastAsia="仿宋" w:cs="仿宋"/>
                <w:color w:val="auto"/>
                <w:highlight w:val="none"/>
              </w:rPr>
            </w:pPr>
          </w:p>
        </w:tc>
      </w:tr>
      <w:tr w14:paraId="78066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4BC809A0">
            <w:pPr>
              <w:rPr>
                <w:rFonts w:ascii="仿宋" w:hAnsi="仿宋" w:eastAsia="仿宋" w:cs="仿宋"/>
                <w:color w:val="auto"/>
                <w:highlight w:val="none"/>
              </w:rPr>
            </w:pPr>
          </w:p>
        </w:tc>
        <w:tc>
          <w:tcPr>
            <w:tcW w:w="2493" w:type="dxa"/>
          </w:tcPr>
          <w:p w14:paraId="00EF4C48">
            <w:pPr>
              <w:rPr>
                <w:rFonts w:ascii="仿宋" w:hAnsi="仿宋" w:eastAsia="仿宋" w:cs="仿宋"/>
                <w:color w:val="auto"/>
                <w:highlight w:val="none"/>
              </w:rPr>
            </w:pPr>
          </w:p>
        </w:tc>
        <w:tc>
          <w:tcPr>
            <w:tcW w:w="1830" w:type="dxa"/>
          </w:tcPr>
          <w:p w14:paraId="35EB2900">
            <w:pPr>
              <w:rPr>
                <w:rFonts w:ascii="仿宋" w:hAnsi="仿宋" w:eastAsia="仿宋" w:cs="仿宋"/>
                <w:color w:val="auto"/>
                <w:highlight w:val="none"/>
              </w:rPr>
            </w:pPr>
          </w:p>
        </w:tc>
        <w:tc>
          <w:tcPr>
            <w:tcW w:w="1658" w:type="dxa"/>
          </w:tcPr>
          <w:p w14:paraId="5249EC7C">
            <w:pPr>
              <w:rPr>
                <w:rFonts w:ascii="仿宋" w:hAnsi="仿宋" w:eastAsia="仿宋" w:cs="仿宋"/>
                <w:color w:val="auto"/>
                <w:highlight w:val="none"/>
              </w:rPr>
            </w:pPr>
          </w:p>
        </w:tc>
        <w:tc>
          <w:tcPr>
            <w:tcW w:w="1875" w:type="dxa"/>
          </w:tcPr>
          <w:p w14:paraId="6DF8FF16">
            <w:pPr>
              <w:rPr>
                <w:rFonts w:ascii="仿宋" w:hAnsi="仿宋" w:eastAsia="仿宋" w:cs="仿宋"/>
                <w:color w:val="auto"/>
                <w:highlight w:val="none"/>
              </w:rPr>
            </w:pPr>
          </w:p>
        </w:tc>
      </w:tr>
      <w:tr w14:paraId="7918B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6E3DD072">
            <w:pPr>
              <w:rPr>
                <w:rFonts w:ascii="仿宋" w:hAnsi="仿宋" w:eastAsia="仿宋" w:cs="仿宋"/>
                <w:color w:val="auto"/>
                <w:highlight w:val="none"/>
              </w:rPr>
            </w:pPr>
          </w:p>
        </w:tc>
        <w:tc>
          <w:tcPr>
            <w:tcW w:w="2493" w:type="dxa"/>
          </w:tcPr>
          <w:p w14:paraId="58A1E446">
            <w:pPr>
              <w:rPr>
                <w:rFonts w:ascii="仿宋" w:hAnsi="仿宋" w:eastAsia="仿宋" w:cs="仿宋"/>
                <w:color w:val="auto"/>
                <w:highlight w:val="none"/>
              </w:rPr>
            </w:pPr>
          </w:p>
        </w:tc>
        <w:tc>
          <w:tcPr>
            <w:tcW w:w="1830" w:type="dxa"/>
          </w:tcPr>
          <w:p w14:paraId="23D4BD91">
            <w:pPr>
              <w:rPr>
                <w:rFonts w:ascii="仿宋" w:hAnsi="仿宋" w:eastAsia="仿宋" w:cs="仿宋"/>
                <w:color w:val="auto"/>
                <w:highlight w:val="none"/>
              </w:rPr>
            </w:pPr>
          </w:p>
        </w:tc>
        <w:tc>
          <w:tcPr>
            <w:tcW w:w="1658" w:type="dxa"/>
          </w:tcPr>
          <w:p w14:paraId="1BA2769D">
            <w:pPr>
              <w:rPr>
                <w:rFonts w:ascii="仿宋" w:hAnsi="仿宋" w:eastAsia="仿宋" w:cs="仿宋"/>
                <w:color w:val="auto"/>
                <w:highlight w:val="none"/>
              </w:rPr>
            </w:pPr>
          </w:p>
        </w:tc>
        <w:tc>
          <w:tcPr>
            <w:tcW w:w="1875" w:type="dxa"/>
          </w:tcPr>
          <w:p w14:paraId="1F52C724">
            <w:pPr>
              <w:rPr>
                <w:rFonts w:ascii="仿宋" w:hAnsi="仿宋" w:eastAsia="仿宋" w:cs="仿宋"/>
                <w:color w:val="auto"/>
                <w:highlight w:val="none"/>
              </w:rPr>
            </w:pPr>
          </w:p>
        </w:tc>
      </w:tr>
      <w:tr w14:paraId="42661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4A0464BB">
            <w:pPr>
              <w:rPr>
                <w:rFonts w:ascii="仿宋" w:hAnsi="仿宋" w:eastAsia="仿宋" w:cs="仿宋"/>
                <w:color w:val="auto"/>
                <w:highlight w:val="none"/>
              </w:rPr>
            </w:pPr>
          </w:p>
        </w:tc>
        <w:tc>
          <w:tcPr>
            <w:tcW w:w="2493" w:type="dxa"/>
          </w:tcPr>
          <w:p w14:paraId="684E3101">
            <w:pPr>
              <w:rPr>
                <w:rFonts w:ascii="仿宋" w:hAnsi="仿宋" w:eastAsia="仿宋" w:cs="仿宋"/>
                <w:color w:val="auto"/>
                <w:highlight w:val="none"/>
              </w:rPr>
            </w:pPr>
          </w:p>
        </w:tc>
        <w:tc>
          <w:tcPr>
            <w:tcW w:w="1830" w:type="dxa"/>
          </w:tcPr>
          <w:p w14:paraId="2C8EB584">
            <w:pPr>
              <w:rPr>
                <w:rFonts w:ascii="仿宋" w:hAnsi="仿宋" w:eastAsia="仿宋" w:cs="仿宋"/>
                <w:color w:val="auto"/>
                <w:highlight w:val="none"/>
              </w:rPr>
            </w:pPr>
          </w:p>
        </w:tc>
        <w:tc>
          <w:tcPr>
            <w:tcW w:w="1658" w:type="dxa"/>
          </w:tcPr>
          <w:p w14:paraId="57376DAC">
            <w:pPr>
              <w:rPr>
                <w:rFonts w:ascii="仿宋" w:hAnsi="仿宋" w:eastAsia="仿宋" w:cs="仿宋"/>
                <w:color w:val="auto"/>
                <w:highlight w:val="none"/>
              </w:rPr>
            </w:pPr>
          </w:p>
        </w:tc>
        <w:tc>
          <w:tcPr>
            <w:tcW w:w="1875" w:type="dxa"/>
          </w:tcPr>
          <w:p w14:paraId="589811A1">
            <w:pPr>
              <w:rPr>
                <w:rFonts w:ascii="仿宋" w:hAnsi="仿宋" w:eastAsia="仿宋" w:cs="仿宋"/>
                <w:color w:val="auto"/>
                <w:highlight w:val="none"/>
              </w:rPr>
            </w:pPr>
          </w:p>
        </w:tc>
      </w:tr>
      <w:tr w14:paraId="20ECD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15BFF5BA">
            <w:pPr>
              <w:rPr>
                <w:rFonts w:ascii="仿宋" w:hAnsi="仿宋" w:eastAsia="仿宋" w:cs="仿宋"/>
                <w:color w:val="auto"/>
                <w:highlight w:val="none"/>
              </w:rPr>
            </w:pPr>
          </w:p>
        </w:tc>
        <w:tc>
          <w:tcPr>
            <w:tcW w:w="2493" w:type="dxa"/>
          </w:tcPr>
          <w:p w14:paraId="47FEF905">
            <w:pPr>
              <w:rPr>
                <w:rFonts w:ascii="仿宋" w:hAnsi="仿宋" w:eastAsia="仿宋" w:cs="仿宋"/>
                <w:color w:val="auto"/>
                <w:highlight w:val="none"/>
              </w:rPr>
            </w:pPr>
          </w:p>
        </w:tc>
        <w:tc>
          <w:tcPr>
            <w:tcW w:w="1830" w:type="dxa"/>
          </w:tcPr>
          <w:p w14:paraId="3C95ADC4">
            <w:pPr>
              <w:rPr>
                <w:rFonts w:ascii="仿宋" w:hAnsi="仿宋" w:eastAsia="仿宋" w:cs="仿宋"/>
                <w:color w:val="auto"/>
                <w:highlight w:val="none"/>
              </w:rPr>
            </w:pPr>
          </w:p>
        </w:tc>
        <w:tc>
          <w:tcPr>
            <w:tcW w:w="1658" w:type="dxa"/>
          </w:tcPr>
          <w:p w14:paraId="23F77F13">
            <w:pPr>
              <w:rPr>
                <w:rFonts w:ascii="仿宋" w:hAnsi="仿宋" w:eastAsia="仿宋" w:cs="仿宋"/>
                <w:color w:val="auto"/>
                <w:highlight w:val="none"/>
              </w:rPr>
            </w:pPr>
          </w:p>
        </w:tc>
        <w:tc>
          <w:tcPr>
            <w:tcW w:w="1875" w:type="dxa"/>
          </w:tcPr>
          <w:p w14:paraId="5375B89C">
            <w:pPr>
              <w:rPr>
                <w:rFonts w:ascii="仿宋" w:hAnsi="仿宋" w:eastAsia="仿宋" w:cs="仿宋"/>
                <w:color w:val="auto"/>
                <w:highlight w:val="none"/>
              </w:rPr>
            </w:pPr>
          </w:p>
        </w:tc>
      </w:tr>
      <w:tr w14:paraId="227F0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5C376862">
            <w:pPr>
              <w:rPr>
                <w:rFonts w:ascii="仿宋" w:hAnsi="仿宋" w:eastAsia="仿宋" w:cs="仿宋"/>
                <w:color w:val="auto"/>
                <w:highlight w:val="none"/>
              </w:rPr>
            </w:pPr>
          </w:p>
        </w:tc>
        <w:tc>
          <w:tcPr>
            <w:tcW w:w="2493" w:type="dxa"/>
          </w:tcPr>
          <w:p w14:paraId="41AA33CE">
            <w:pPr>
              <w:rPr>
                <w:rFonts w:ascii="仿宋" w:hAnsi="仿宋" w:eastAsia="仿宋" w:cs="仿宋"/>
                <w:color w:val="auto"/>
                <w:highlight w:val="none"/>
              </w:rPr>
            </w:pPr>
          </w:p>
        </w:tc>
        <w:tc>
          <w:tcPr>
            <w:tcW w:w="1830" w:type="dxa"/>
          </w:tcPr>
          <w:p w14:paraId="47F54A44">
            <w:pPr>
              <w:rPr>
                <w:rFonts w:ascii="仿宋" w:hAnsi="仿宋" w:eastAsia="仿宋" w:cs="仿宋"/>
                <w:color w:val="auto"/>
                <w:highlight w:val="none"/>
              </w:rPr>
            </w:pPr>
          </w:p>
        </w:tc>
        <w:tc>
          <w:tcPr>
            <w:tcW w:w="1658" w:type="dxa"/>
          </w:tcPr>
          <w:p w14:paraId="7EC6BFE1">
            <w:pPr>
              <w:rPr>
                <w:rFonts w:ascii="仿宋" w:hAnsi="仿宋" w:eastAsia="仿宋" w:cs="仿宋"/>
                <w:color w:val="auto"/>
                <w:highlight w:val="none"/>
              </w:rPr>
            </w:pPr>
          </w:p>
        </w:tc>
        <w:tc>
          <w:tcPr>
            <w:tcW w:w="1875" w:type="dxa"/>
          </w:tcPr>
          <w:p w14:paraId="231F67EC">
            <w:pPr>
              <w:rPr>
                <w:rFonts w:ascii="仿宋" w:hAnsi="仿宋" w:eastAsia="仿宋" w:cs="仿宋"/>
                <w:color w:val="auto"/>
                <w:highlight w:val="none"/>
              </w:rPr>
            </w:pPr>
          </w:p>
        </w:tc>
      </w:tr>
      <w:tr w14:paraId="477C0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3" w:hRule="atLeast"/>
        </w:trPr>
        <w:tc>
          <w:tcPr>
            <w:tcW w:w="725" w:type="dxa"/>
          </w:tcPr>
          <w:p w14:paraId="7A65F169">
            <w:pPr>
              <w:pStyle w:val="28"/>
              <w:spacing w:before="112" w:line="340" w:lineRule="exact"/>
              <w:ind w:left="144"/>
              <w:rPr>
                <w:rFonts w:ascii="仿宋" w:hAnsi="仿宋" w:eastAsia="仿宋" w:cs="仿宋"/>
                <w:color w:val="auto"/>
                <w:highlight w:val="none"/>
              </w:rPr>
            </w:pPr>
            <w:r>
              <w:rPr>
                <w:rFonts w:hint="eastAsia" w:ascii="仿宋" w:hAnsi="仿宋" w:eastAsia="仿宋" w:cs="仿宋"/>
                <w:color w:val="auto"/>
                <w:spacing w:val="-13"/>
                <w:position w:val="2"/>
                <w:highlight w:val="none"/>
              </w:rPr>
              <w:t>……</w:t>
            </w:r>
          </w:p>
        </w:tc>
        <w:tc>
          <w:tcPr>
            <w:tcW w:w="2493" w:type="dxa"/>
          </w:tcPr>
          <w:p w14:paraId="2DBC4BB0">
            <w:pPr>
              <w:pStyle w:val="28"/>
              <w:spacing w:before="112" w:line="340" w:lineRule="exact"/>
              <w:ind w:left="736"/>
              <w:rPr>
                <w:rFonts w:ascii="仿宋" w:hAnsi="仿宋" w:eastAsia="仿宋" w:cs="仿宋"/>
                <w:color w:val="auto"/>
                <w:highlight w:val="none"/>
              </w:rPr>
            </w:pPr>
            <w:r>
              <w:rPr>
                <w:rFonts w:hint="eastAsia" w:ascii="仿宋" w:hAnsi="仿宋" w:eastAsia="仿宋" w:cs="仿宋"/>
                <w:color w:val="auto"/>
                <w:spacing w:val="-7"/>
                <w:position w:val="2"/>
                <w:highlight w:val="none"/>
              </w:rPr>
              <w:t>…………</w:t>
            </w:r>
          </w:p>
        </w:tc>
        <w:tc>
          <w:tcPr>
            <w:tcW w:w="1830" w:type="dxa"/>
          </w:tcPr>
          <w:p w14:paraId="092ABBE2">
            <w:pPr>
              <w:pStyle w:val="28"/>
              <w:spacing w:before="112" w:line="340" w:lineRule="exact"/>
              <w:ind w:left="401"/>
              <w:rPr>
                <w:rFonts w:ascii="仿宋" w:hAnsi="仿宋" w:eastAsia="仿宋" w:cs="仿宋"/>
                <w:color w:val="auto"/>
                <w:highlight w:val="none"/>
              </w:rPr>
            </w:pPr>
            <w:r>
              <w:rPr>
                <w:rFonts w:hint="eastAsia" w:ascii="仿宋" w:hAnsi="仿宋" w:eastAsia="仿宋" w:cs="仿宋"/>
                <w:color w:val="auto"/>
                <w:spacing w:val="-7"/>
                <w:position w:val="2"/>
                <w:highlight w:val="none"/>
              </w:rPr>
              <w:t>…………</w:t>
            </w:r>
          </w:p>
        </w:tc>
        <w:tc>
          <w:tcPr>
            <w:tcW w:w="1658" w:type="dxa"/>
          </w:tcPr>
          <w:p w14:paraId="77475896">
            <w:pPr>
              <w:pStyle w:val="28"/>
              <w:spacing w:before="112" w:line="340" w:lineRule="exact"/>
              <w:ind w:left="717"/>
              <w:rPr>
                <w:rFonts w:ascii="仿宋" w:hAnsi="仿宋" w:eastAsia="仿宋" w:cs="仿宋"/>
                <w:color w:val="auto"/>
                <w:highlight w:val="none"/>
              </w:rPr>
            </w:pPr>
            <w:r>
              <w:rPr>
                <w:rFonts w:hint="eastAsia" w:ascii="仿宋" w:hAnsi="仿宋" w:eastAsia="仿宋" w:cs="仿宋"/>
                <w:color w:val="auto"/>
                <w:spacing w:val="-13"/>
                <w:position w:val="2"/>
                <w:highlight w:val="none"/>
              </w:rPr>
              <w:t>……</w:t>
            </w:r>
          </w:p>
        </w:tc>
        <w:tc>
          <w:tcPr>
            <w:tcW w:w="1875" w:type="dxa"/>
          </w:tcPr>
          <w:p w14:paraId="3D98E306">
            <w:pPr>
              <w:rPr>
                <w:rFonts w:ascii="仿宋" w:hAnsi="仿宋" w:eastAsia="仿宋" w:cs="仿宋"/>
                <w:color w:val="auto"/>
                <w:highlight w:val="none"/>
              </w:rPr>
            </w:pPr>
          </w:p>
        </w:tc>
      </w:tr>
    </w:tbl>
    <w:p w14:paraId="6DE5983C">
      <w:pPr>
        <w:spacing w:before="115" w:line="224" w:lineRule="auto"/>
        <w:ind w:left="602"/>
        <w:rPr>
          <w:rFonts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注：</w:t>
      </w:r>
    </w:p>
    <w:p w14:paraId="18F2029B">
      <w:pPr>
        <w:spacing w:before="177" w:line="219" w:lineRule="auto"/>
        <w:ind w:left="605"/>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投标人应按照招标文件“第三章 采购需求”</w:t>
      </w:r>
      <w:r>
        <w:rPr>
          <w:rFonts w:hint="eastAsia" w:ascii="仿宋" w:hAnsi="仿宋" w:eastAsia="仿宋" w:cs="仿宋"/>
          <w:color w:val="auto"/>
          <w:spacing w:val="-2"/>
          <w:sz w:val="24"/>
          <w:szCs w:val="24"/>
          <w:highlight w:val="none"/>
          <w:lang w:eastAsia="zh-CN"/>
        </w:rPr>
        <w:t>要求填写，“响应/</w:t>
      </w:r>
      <w:r>
        <w:rPr>
          <w:rFonts w:hint="eastAsia" w:ascii="仿宋" w:hAnsi="仿宋" w:eastAsia="仿宋" w:cs="仿宋"/>
          <w:color w:val="auto"/>
          <w:spacing w:val="-4"/>
          <w:sz w:val="24"/>
          <w:szCs w:val="24"/>
          <w:highlight w:val="none"/>
          <w:lang w:eastAsia="zh-CN"/>
        </w:rPr>
        <w:t>偏离”应据实填写“响应”、“正偏离”或</w:t>
      </w:r>
      <w:r>
        <w:rPr>
          <w:rFonts w:hint="eastAsia" w:ascii="仿宋" w:hAnsi="仿宋" w:eastAsia="仿宋" w:cs="仿宋"/>
          <w:color w:val="auto"/>
          <w:spacing w:val="-5"/>
          <w:sz w:val="24"/>
          <w:szCs w:val="24"/>
          <w:highlight w:val="none"/>
          <w:lang w:eastAsia="zh-CN"/>
        </w:rPr>
        <w:t>“负偏离”。</w:t>
      </w:r>
    </w:p>
    <w:p w14:paraId="0A7DD16C">
      <w:pPr>
        <w:spacing w:line="258" w:lineRule="auto"/>
        <w:rPr>
          <w:rFonts w:ascii="仿宋" w:hAnsi="仿宋" w:eastAsia="仿宋" w:cs="仿宋"/>
          <w:color w:val="auto"/>
          <w:highlight w:val="none"/>
          <w:lang w:eastAsia="zh-CN"/>
        </w:rPr>
      </w:pPr>
    </w:p>
    <w:p w14:paraId="410786A7">
      <w:pPr>
        <w:spacing w:line="258" w:lineRule="auto"/>
        <w:rPr>
          <w:rFonts w:ascii="仿宋" w:hAnsi="仿宋" w:eastAsia="仿宋" w:cs="仿宋"/>
          <w:color w:val="auto"/>
          <w:highlight w:val="none"/>
          <w:lang w:eastAsia="zh-CN"/>
        </w:rPr>
      </w:pPr>
    </w:p>
    <w:p w14:paraId="384DE22B">
      <w:pPr>
        <w:spacing w:line="259" w:lineRule="auto"/>
        <w:rPr>
          <w:rFonts w:ascii="仿宋" w:hAnsi="仿宋" w:eastAsia="仿宋" w:cs="仿宋"/>
          <w:color w:val="auto"/>
          <w:highlight w:val="none"/>
          <w:lang w:eastAsia="zh-CN"/>
        </w:rPr>
      </w:pPr>
    </w:p>
    <w:p w14:paraId="246292A9">
      <w:pPr>
        <w:spacing w:line="259" w:lineRule="auto"/>
        <w:rPr>
          <w:rFonts w:ascii="仿宋" w:hAnsi="仿宋" w:eastAsia="仿宋" w:cs="仿宋"/>
          <w:color w:val="auto"/>
          <w:highlight w:val="none"/>
          <w:lang w:eastAsia="zh-CN"/>
        </w:rPr>
      </w:pPr>
    </w:p>
    <w:p w14:paraId="7D89960C">
      <w:pPr>
        <w:spacing w:before="79" w:line="347" w:lineRule="auto"/>
        <w:ind w:left="583" w:right="-30" w:firstLine="21"/>
        <w:rPr>
          <w:rFonts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投标人名称（公章)：</w:t>
      </w:r>
    </w:p>
    <w:p w14:paraId="361FD4EA">
      <w:pPr>
        <w:spacing w:before="79" w:line="347" w:lineRule="auto"/>
        <w:ind w:left="583" w:right="5774" w:firstLine="21"/>
        <w:rPr>
          <w:rFonts w:ascii="仿宋" w:hAnsi="仿宋" w:eastAsia="仿宋" w:cs="仿宋"/>
          <w:color w:val="auto"/>
          <w:sz w:val="24"/>
          <w:szCs w:val="24"/>
          <w:highlight w:val="none"/>
          <w:lang w:eastAsia="zh-CN"/>
        </w:rPr>
      </w:pPr>
      <w:r>
        <w:rPr>
          <w:rFonts w:hint="eastAsia" w:ascii="仿宋" w:hAnsi="仿宋" w:eastAsia="仿宋" w:cs="仿宋"/>
          <w:color w:val="auto"/>
          <w:spacing w:val="-21"/>
          <w:sz w:val="24"/>
          <w:szCs w:val="24"/>
          <w:highlight w:val="none"/>
          <w:lang w:eastAsia="zh-CN"/>
        </w:rPr>
        <w:t>日期：</w:t>
      </w:r>
    </w:p>
    <w:p w14:paraId="30194040">
      <w:pPr>
        <w:spacing w:line="289" w:lineRule="auto"/>
        <w:rPr>
          <w:rFonts w:ascii="仿宋" w:hAnsi="仿宋" w:eastAsia="仿宋" w:cs="仿宋"/>
          <w:color w:val="auto"/>
          <w:highlight w:val="none"/>
          <w:lang w:eastAsia="zh-CN"/>
        </w:rPr>
      </w:pPr>
    </w:p>
    <w:p w14:paraId="0D95A889">
      <w:pPr>
        <w:spacing w:line="290" w:lineRule="auto"/>
        <w:rPr>
          <w:rFonts w:ascii="仿宋" w:hAnsi="仿宋" w:eastAsia="仿宋" w:cs="仿宋"/>
          <w:color w:val="auto"/>
          <w:highlight w:val="none"/>
          <w:lang w:eastAsia="zh-CN"/>
        </w:rPr>
      </w:pPr>
    </w:p>
    <w:p w14:paraId="70BCD929">
      <w:pPr>
        <w:spacing w:line="290" w:lineRule="auto"/>
        <w:rPr>
          <w:rFonts w:ascii="仿宋" w:hAnsi="仿宋" w:eastAsia="仿宋" w:cs="仿宋"/>
          <w:color w:val="auto"/>
          <w:highlight w:val="none"/>
          <w:lang w:eastAsia="zh-CN"/>
        </w:rPr>
      </w:pPr>
    </w:p>
    <w:p w14:paraId="2527549E">
      <w:pPr>
        <w:pageBreakBefore/>
        <w:spacing w:before="101" w:line="226" w:lineRule="auto"/>
        <w:jc w:val="center"/>
        <w:outlineLvl w:val="2"/>
        <w:rPr>
          <w:rFonts w:ascii="仿宋" w:hAnsi="仿宋" w:eastAsia="仿宋" w:cs="仿宋"/>
          <w:b/>
          <w:bCs/>
          <w:color w:val="auto"/>
          <w:spacing w:val="1"/>
          <w:sz w:val="31"/>
          <w:szCs w:val="31"/>
          <w:highlight w:val="none"/>
          <w:lang w:eastAsia="zh-CN"/>
        </w:rPr>
      </w:pPr>
      <w:bookmarkStart w:id="486" w:name="bookmark268"/>
      <w:bookmarkEnd w:id="486"/>
      <w:bookmarkStart w:id="487" w:name="bookmark267"/>
      <w:bookmarkEnd w:id="487"/>
      <w:bookmarkStart w:id="488" w:name="_Toc186477819"/>
      <w:bookmarkStart w:id="489" w:name="_Toc12335"/>
      <w:r>
        <w:rPr>
          <w:rFonts w:hint="eastAsia" w:ascii="仿宋" w:hAnsi="仿宋" w:eastAsia="仿宋" w:cs="仿宋"/>
          <w:b/>
          <w:bCs/>
          <w:color w:val="auto"/>
          <w:spacing w:val="1"/>
          <w:sz w:val="31"/>
          <w:szCs w:val="31"/>
          <w:highlight w:val="none"/>
          <w:lang w:eastAsia="zh-CN"/>
        </w:rPr>
        <w:t>六、业绩证明文件</w:t>
      </w:r>
      <w:bookmarkEnd w:id="488"/>
      <w:bookmarkEnd w:id="489"/>
    </w:p>
    <w:p w14:paraId="1C8FF2A0">
      <w:pPr>
        <w:spacing w:before="307" w:line="220" w:lineRule="auto"/>
        <w:ind w:left="42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项目名称：</w:t>
      </w:r>
    </w:p>
    <w:p w14:paraId="7D63CC4F">
      <w:pPr>
        <w:spacing w:before="182" w:line="219" w:lineRule="auto"/>
        <w:ind w:left="426"/>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项目（包）编号：</w:t>
      </w:r>
    </w:p>
    <w:p w14:paraId="7F3A9E19">
      <w:pPr>
        <w:spacing w:line="68" w:lineRule="exact"/>
        <w:rPr>
          <w:rFonts w:ascii="仿宋" w:hAnsi="仿宋" w:eastAsia="仿宋" w:cs="仿宋"/>
          <w:color w:val="auto"/>
          <w:highlight w:val="none"/>
        </w:rPr>
      </w:pPr>
    </w:p>
    <w:tbl>
      <w:tblPr>
        <w:tblStyle w:val="20"/>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3"/>
        <w:gridCol w:w="1134"/>
        <w:gridCol w:w="1276"/>
        <w:gridCol w:w="1134"/>
        <w:gridCol w:w="1418"/>
        <w:gridCol w:w="1134"/>
        <w:gridCol w:w="992"/>
        <w:gridCol w:w="1134"/>
      </w:tblGrid>
      <w:tr w14:paraId="134CA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5" w:hRule="atLeast"/>
        </w:trPr>
        <w:tc>
          <w:tcPr>
            <w:tcW w:w="673" w:type="dxa"/>
            <w:vAlign w:val="center"/>
          </w:tcPr>
          <w:p w14:paraId="334A4F02">
            <w:pPr>
              <w:pStyle w:val="28"/>
              <w:spacing w:before="78" w:line="221" w:lineRule="auto"/>
              <w:jc w:val="center"/>
              <w:rPr>
                <w:rFonts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序号</w:t>
            </w:r>
          </w:p>
        </w:tc>
        <w:tc>
          <w:tcPr>
            <w:tcW w:w="1134" w:type="dxa"/>
            <w:vAlign w:val="center"/>
          </w:tcPr>
          <w:p w14:paraId="19EDDF81">
            <w:pPr>
              <w:pStyle w:val="28"/>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完成时间</w:t>
            </w:r>
          </w:p>
        </w:tc>
        <w:tc>
          <w:tcPr>
            <w:tcW w:w="1276" w:type="dxa"/>
            <w:vAlign w:val="center"/>
          </w:tcPr>
          <w:p w14:paraId="2DDE3496">
            <w:pPr>
              <w:pStyle w:val="28"/>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项目名称</w:t>
            </w:r>
          </w:p>
        </w:tc>
        <w:tc>
          <w:tcPr>
            <w:tcW w:w="1134" w:type="dxa"/>
            <w:vAlign w:val="center"/>
          </w:tcPr>
          <w:p w14:paraId="1B4A7A4C">
            <w:pPr>
              <w:pStyle w:val="28"/>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标的内容</w:t>
            </w:r>
          </w:p>
        </w:tc>
        <w:tc>
          <w:tcPr>
            <w:tcW w:w="1418" w:type="dxa"/>
            <w:vAlign w:val="center"/>
          </w:tcPr>
          <w:p w14:paraId="4A6D31CD">
            <w:pPr>
              <w:pStyle w:val="28"/>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采购人名称</w:t>
            </w:r>
          </w:p>
        </w:tc>
        <w:tc>
          <w:tcPr>
            <w:tcW w:w="1134" w:type="dxa"/>
            <w:vAlign w:val="center"/>
          </w:tcPr>
          <w:p w14:paraId="7A7C45F3">
            <w:pPr>
              <w:pStyle w:val="28"/>
              <w:spacing w:before="118" w:line="221" w:lineRule="auto"/>
              <w:ind w:right="4"/>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中标（成交）金额</w:t>
            </w:r>
          </w:p>
        </w:tc>
        <w:tc>
          <w:tcPr>
            <w:tcW w:w="992" w:type="dxa"/>
            <w:vAlign w:val="center"/>
          </w:tcPr>
          <w:p w14:paraId="7DD2389B">
            <w:pPr>
              <w:pStyle w:val="28"/>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联系人</w:t>
            </w:r>
          </w:p>
        </w:tc>
        <w:tc>
          <w:tcPr>
            <w:tcW w:w="1134" w:type="dxa"/>
            <w:vAlign w:val="center"/>
          </w:tcPr>
          <w:p w14:paraId="313B86A6">
            <w:pPr>
              <w:pStyle w:val="28"/>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联系电话</w:t>
            </w:r>
          </w:p>
        </w:tc>
      </w:tr>
      <w:tr w14:paraId="69C5A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378F0C8A">
            <w:pPr>
              <w:pStyle w:val="28"/>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34" w:type="dxa"/>
          </w:tcPr>
          <w:p w14:paraId="2879E631">
            <w:pPr>
              <w:rPr>
                <w:rFonts w:ascii="仿宋" w:hAnsi="仿宋" w:eastAsia="仿宋" w:cs="仿宋"/>
                <w:color w:val="auto"/>
                <w:highlight w:val="none"/>
              </w:rPr>
            </w:pPr>
          </w:p>
        </w:tc>
        <w:tc>
          <w:tcPr>
            <w:tcW w:w="1276" w:type="dxa"/>
          </w:tcPr>
          <w:p w14:paraId="451CAFC9">
            <w:pPr>
              <w:rPr>
                <w:rFonts w:ascii="仿宋" w:hAnsi="仿宋" w:eastAsia="仿宋" w:cs="仿宋"/>
                <w:color w:val="auto"/>
                <w:highlight w:val="none"/>
              </w:rPr>
            </w:pPr>
          </w:p>
        </w:tc>
        <w:tc>
          <w:tcPr>
            <w:tcW w:w="1134" w:type="dxa"/>
          </w:tcPr>
          <w:p w14:paraId="692F3529">
            <w:pPr>
              <w:rPr>
                <w:rFonts w:ascii="仿宋" w:hAnsi="仿宋" w:eastAsia="仿宋" w:cs="仿宋"/>
                <w:color w:val="auto"/>
                <w:highlight w:val="none"/>
              </w:rPr>
            </w:pPr>
          </w:p>
        </w:tc>
        <w:tc>
          <w:tcPr>
            <w:tcW w:w="1418" w:type="dxa"/>
          </w:tcPr>
          <w:p w14:paraId="7DF05AEC">
            <w:pPr>
              <w:rPr>
                <w:rFonts w:ascii="仿宋" w:hAnsi="仿宋" w:eastAsia="仿宋" w:cs="仿宋"/>
                <w:color w:val="auto"/>
                <w:highlight w:val="none"/>
              </w:rPr>
            </w:pPr>
          </w:p>
        </w:tc>
        <w:tc>
          <w:tcPr>
            <w:tcW w:w="1134" w:type="dxa"/>
          </w:tcPr>
          <w:p w14:paraId="60CF2615">
            <w:pPr>
              <w:rPr>
                <w:rFonts w:ascii="仿宋" w:hAnsi="仿宋" w:eastAsia="仿宋" w:cs="仿宋"/>
                <w:color w:val="auto"/>
                <w:highlight w:val="none"/>
              </w:rPr>
            </w:pPr>
          </w:p>
        </w:tc>
        <w:tc>
          <w:tcPr>
            <w:tcW w:w="992" w:type="dxa"/>
          </w:tcPr>
          <w:p w14:paraId="678B3A1F">
            <w:pPr>
              <w:rPr>
                <w:rFonts w:ascii="仿宋" w:hAnsi="仿宋" w:eastAsia="仿宋" w:cs="仿宋"/>
                <w:color w:val="auto"/>
                <w:highlight w:val="none"/>
              </w:rPr>
            </w:pPr>
          </w:p>
        </w:tc>
        <w:tc>
          <w:tcPr>
            <w:tcW w:w="1134" w:type="dxa"/>
          </w:tcPr>
          <w:p w14:paraId="3EFB2169">
            <w:pPr>
              <w:rPr>
                <w:rFonts w:ascii="仿宋" w:hAnsi="仿宋" w:eastAsia="仿宋" w:cs="仿宋"/>
                <w:color w:val="auto"/>
                <w:highlight w:val="none"/>
              </w:rPr>
            </w:pPr>
          </w:p>
        </w:tc>
      </w:tr>
      <w:tr w14:paraId="62FBE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6" w:hRule="atLeast"/>
        </w:trPr>
        <w:tc>
          <w:tcPr>
            <w:tcW w:w="673" w:type="dxa"/>
          </w:tcPr>
          <w:p w14:paraId="1DB66228">
            <w:pPr>
              <w:pStyle w:val="28"/>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134" w:type="dxa"/>
          </w:tcPr>
          <w:p w14:paraId="5A087651">
            <w:pPr>
              <w:rPr>
                <w:rFonts w:ascii="仿宋" w:hAnsi="仿宋" w:eastAsia="仿宋" w:cs="仿宋"/>
                <w:color w:val="auto"/>
                <w:highlight w:val="none"/>
              </w:rPr>
            </w:pPr>
          </w:p>
        </w:tc>
        <w:tc>
          <w:tcPr>
            <w:tcW w:w="1276" w:type="dxa"/>
          </w:tcPr>
          <w:p w14:paraId="3009A884">
            <w:pPr>
              <w:rPr>
                <w:rFonts w:ascii="仿宋" w:hAnsi="仿宋" w:eastAsia="仿宋" w:cs="仿宋"/>
                <w:color w:val="auto"/>
                <w:highlight w:val="none"/>
              </w:rPr>
            </w:pPr>
          </w:p>
        </w:tc>
        <w:tc>
          <w:tcPr>
            <w:tcW w:w="1134" w:type="dxa"/>
          </w:tcPr>
          <w:p w14:paraId="2E4C1DDF">
            <w:pPr>
              <w:rPr>
                <w:rFonts w:ascii="仿宋" w:hAnsi="仿宋" w:eastAsia="仿宋" w:cs="仿宋"/>
                <w:color w:val="auto"/>
                <w:highlight w:val="none"/>
              </w:rPr>
            </w:pPr>
          </w:p>
        </w:tc>
        <w:tc>
          <w:tcPr>
            <w:tcW w:w="1418" w:type="dxa"/>
          </w:tcPr>
          <w:p w14:paraId="6F761B74">
            <w:pPr>
              <w:rPr>
                <w:rFonts w:ascii="仿宋" w:hAnsi="仿宋" w:eastAsia="仿宋" w:cs="仿宋"/>
                <w:color w:val="auto"/>
                <w:highlight w:val="none"/>
              </w:rPr>
            </w:pPr>
          </w:p>
        </w:tc>
        <w:tc>
          <w:tcPr>
            <w:tcW w:w="1134" w:type="dxa"/>
          </w:tcPr>
          <w:p w14:paraId="36DF4054">
            <w:pPr>
              <w:rPr>
                <w:rFonts w:ascii="仿宋" w:hAnsi="仿宋" w:eastAsia="仿宋" w:cs="仿宋"/>
                <w:color w:val="auto"/>
                <w:highlight w:val="none"/>
              </w:rPr>
            </w:pPr>
          </w:p>
        </w:tc>
        <w:tc>
          <w:tcPr>
            <w:tcW w:w="992" w:type="dxa"/>
          </w:tcPr>
          <w:p w14:paraId="4C7FA6EF">
            <w:pPr>
              <w:rPr>
                <w:rFonts w:ascii="仿宋" w:hAnsi="仿宋" w:eastAsia="仿宋" w:cs="仿宋"/>
                <w:color w:val="auto"/>
                <w:highlight w:val="none"/>
              </w:rPr>
            </w:pPr>
          </w:p>
        </w:tc>
        <w:tc>
          <w:tcPr>
            <w:tcW w:w="1134" w:type="dxa"/>
          </w:tcPr>
          <w:p w14:paraId="50AE3181">
            <w:pPr>
              <w:rPr>
                <w:rFonts w:ascii="仿宋" w:hAnsi="仿宋" w:eastAsia="仿宋" w:cs="仿宋"/>
                <w:color w:val="auto"/>
                <w:highlight w:val="none"/>
              </w:rPr>
            </w:pPr>
          </w:p>
        </w:tc>
      </w:tr>
      <w:tr w14:paraId="34D66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75A41060">
            <w:pPr>
              <w:pStyle w:val="28"/>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134" w:type="dxa"/>
          </w:tcPr>
          <w:p w14:paraId="74026B07">
            <w:pPr>
              <w:rPr>
                <w:rFonts w:ascii="仿宋" w:hAnsi="仿宋" w:eastAsia="仿宋" w:cs="仿宋"/>
                <w:color w:val="auto"/>
                <w:highlight w:val="none"/>
              </w:rPr>
            </w:pPr>
          </w:p>
        </w:tc>
        <w:tc>
          <w:tcPr>
            <w:tcW w:w="1276" w:type="dxa"/>
          </w:tcPr>
          <w:p w14:paraId="6ACAD360">
            <w:pPr>
              <w:rPr>
                <w:rFonts w:ascii="仿宋" w:hAnsi="仿宋" w:eastAsia="仿宋" w:cs="仿宋"/>
                <w:color w:val="auto"/>
                <w:highlight w:val="none"/>
              </w:rPr>
            </w:pPr>
          </w:p>
        </w:tc>
        <w:tc>
          <w:tcPr>
            <w:tcW w:w="1134" w:type="dxa"/>
          </w:tcPr>
          <w:p w14:paraId="6223A8D5">
            <w:pPr>
              <w:rPr>
                <w:rFonts w:ascii="仿宋" w:hAnsi="仿宋" w:eastAsia="仿宋" w:cs="仿宋"/>
                <w:color w:val="auto"/>
                <w:highlight w:val="none"/>
              </w:rPr>
            </w:pPr>
          </w:p>
        </w:tc>
        <w:tc>
          <w:tcPr>
            <w:tcW w:w="1418" w:type="dxa"/>
          </w:tcPr>
          <w:p w14:paraId="31D6E6E5">
            <w:pPr>
              <w:rPr>
                <w:rFonts w:ascii="仿宋" w:hAnsi="仿宋" w:eastAsia="仿宋" w:cs="仿宋"/>
                <w:color w:val="auto"/>
                <w:highlight w:val="none"/>
              </w:rPr>
            </w:pPr>
          </w:p>
        </w:tc>
        <w:tc>
          <w:tcPr>
            <w:tcW w:w="1134" w:type="dxa"/>
          </w:tcPr>
          <w:p w14:paraId="1DBCC4A3">
            <w:pPr>
              <w:rPr>
                <w:rFonts w:ascii="仿宋" w:hAnsi="仿宋" w:eastAsia="仿宋" w:cs="仿宋"/>
                <w:color w:val="auto"/>
                <w:highlight w:val="none"/>
              </w:rPr>
            </w:pPr>
          </w:p>
        </w:tc>
        <w:tc>
          <w:tcPr>
            <w:tcW w:w="992" w:type="dxa"/>
          </w:tcPr>
          <w:p w14:paraId="1F9F1499">
            <w:pPr>
              <w:rPr>
                <w:rFonts w:ascii="仿宋" w:hAnsi="仿宋" w:eastAsia="仿宋" w:cs="仿宋"/>
                <w:color w:val="auto"/>
                <w:highlight w:val="none"/>
              </w:rPr>
            </w:pPr>
          </w:p>
        </w:tc>
        <w:tc>
          <w:tcPr>
            <w:tcW w:w="1134" w:type="dxa"/>
          </w:tcPr>
          <w:p w14:paraId="7D6DF698">
            <w:pPr>
              <w:rPr>
                <w:rFonts w:ascii="仿宋" w:hAnsi="仿宋" w:eastAsia="仿宋" w:cs="仿宋"/>
                <w:color w:val="auto"/>
                <w:highlight w:val="none"/>
              </w:rPr>
            </w:pPr>
          </w:p>
        </w:tc>
      </w:tr>
      <w:tr w14:paraId="440DE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297E9FCA">
            <w:pPr>
              <w:pStyle w:val="28"/>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134" w:type="dxa"/>
          </w:tcPr>
          <w:p w14:paraId="4F2BB7F1">
            <w:pPr>
              <w:rPr>
                <w:rFonts w:ascii="仿宋" w:hAnsi="仿宋" w:eastAsia="仿宋" w:cs="仿宋"/>
                <w:color w:val="auto"/>
                <w:highlight w:val="none"/>
              </w:rPr>
            </w:pPr>
          </w:p>
        </w:tc>
        <w:tc>
          <w:tcPr>
            <w:tcW w:w="1276" w:type="dxa"/>
          </w:tcPr>
          <w:p w14:paraId="469DE65B">
            <w:pPr>
              <w:rPr>
                <w:rFonts w:ascii="仿宋" w:hAnsi="仿宋" w:eastAsia="仿宋" w:cs="仿宋"/>
                <w:color w:val="auto"/>
                <w:highlight w:val="none"/>
              </w:rPr>
            </w:pPr>
          </w:p>
        </w:tc>
        <w:tc>
          <w:tcPr>
            <w:tcW w:w="1134" w:type="dxa"/>
          </w:tcPr>
          <w:p w14:paraId="409CA264">
            <w:pPr>
              <w:rPr>
                <w:rFonts w:ascii="仿宋" w:hAnsi="仿宋" w:eastAsia="仿宋" w:cs="仿宋"/>
                <w:color w:val="auto"/>
                <w:highlight w:val="none"/>
              </w:rPr>
            </w:pPr>
          </w:p>
        </w:tc>
        <w:tc>
          <w:tcPr>
            <w:tcW w:w="1418" w:type="dxa"/>
          </w:tcPr>
          <w:p w14:paraId="6D0702C3">
            <w:pPr>
              <w:rPr>
                <w:rFonts w:ascii="仿宋" w:hAnsi="仿宋" w:eastAsia="仿宋" w:cs="仿宋"/>
                <w:color w:val="auto"/>
                <w:highlight w:val="none"/>
              </w:rPr>
            </w:pPr>
          </w:p>
        </w:tc>
        <w:tc>
          <w:tcPr>
            <w:tcW w:w="1134" w:type="dxa"/>
          </w:tcPr>
          <w:p w14:paraId="45A9F203">
            <w:pPr>
              <w:rPr>
                <w:rFonts w:ascii="仿宋" w:hAnsi="仿宋" w:eastAsia="仿宋" w:cs="仿宋"/>
                <w:color w:val="auto"/>
                <w:highlight w:val="none"/>
              </w:rPr>
            </w:pPr>
          </w:p>
        </w:tc>
        <w:tc>
          <w:tcPr>
            <w:tcW w:w="992" w:type="dxa"/>
          </w:tcPr>
          <w:p w14:paraId="451A19D7">
            <w:pPr>
              <w:rPr>
                <w:rFonts w:ascii="仿宋" w:hAnsi="仿宋" w:eastAsia="仿宋" w:cs="仿宋"/>
                <w:color w:val="auto"/>
                <w:highlight w:val="none"/>
              </w:rPr>
            </w:pPr>
          </w:p>
        </w:tc>
        <w:tc>
          <w:tcPr>
            <w:tcW w:w="1134" w:type="dxa"/>
          </w:tcPr>
          <w:p w14:paraId="3D582DC5">
            <w:pPr>
              <w:rPr>
                <w:rFonts w:ascii="仿宋" w:hAnsi="仿宋" w:eastAsia="仿宋" w:cs="仿宋"/>
                <w:color w:val="auto"/>
                <w:highlight w:val="none"/>
              </w:rPr>
            </w:pPr>
          </w:p>
        </w:tc>
      </w:tr>
      <w:tr w14:paraId="369B3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1420BFCD">
            <w:pPr>
              <w:pStyle w:val="28"/>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134" w:type="dxa"/>
          </w:tcPr>
          <w:p w14:paraId="44CCB356">
            <w:pPr>
              <w:rPr>
                <w:rFonts w:ascii="仿宋" w:hAnsi="仿宋" w:eastAsia="仿宋" w:cs="仿宋"/>
                <w:color w:val="auto"/>
                <w:highlight w:val="none"/>
              </w:rPr>
            </w:pPr>
          </w:p>
        </w:tc>
        <w:tc>
          <w:tcPr>
            <w:tcW w:w="1276" w:type="dxa"/>
          </w:tcPr>
          <w:p w14:paraId="0425FA7C">
            <w:pPr>
              <w:rPr>
                <w:rFonts w:ascii="仿宋" w:hAnsi="仿宋" w:eastAsia="仿宋" w:cs="仿宋"/>
                <w:color w:val="auto"/>
                <w:highlight w:val="none"/>
              </w:rPr>
            </w:pPr>
          </w:p>
        </w:tc>
        <w:tc>
          <w:tcPr>
            <w:tcW w:w="1134" w:type="dxa"/>
          </w:tcPr>
          <w:p w14:paraId="55FF69C5">
            <w:pPr>
              <w:rPr>
                <w:rFonts w:ascii="仿宋" w:hAnsi="仿宋" w:eastAsia="仿宋" w:cs="仿宋"/>
                <w:color w:val="auto"/>
                <w:highlight w:val="none"/>
              </w:rPr>
            </w:pPr>
          </w:p>
        </w:tc>
        <w:tc>
          <w:tcPr>
            <w:tcW w:w="1418" w:type="dxa"/>
          </w:tcPr>
          <w:p w14:paraId="1AF31156">
            <w:pPr>
              <w:rPr>
                <w:rFonts w:ascii="仿宋" w:hAnsi="仿宋" w:eastAsia="仿宋" w:cs="仿宋"/>
                <w:color w:val="auto"/>
                <w:highlight w:val="none"/>
              </w:rPr>
            </w:pPr>
          </w:p>
        </w:tc>
        <w:tc>
          <w:tcPr>
            <w:tcW w:w="1134" w:type="dxa"/>
          </w:tcPr>
          <w:p w14:paraId="29B5F337">
            <w:pPr>
              <w:rPr>
                <w:rFonts w:ascii="仿宋" w:hAnsi="仿宋" w:eastAsia="仿宋" w:cs="仿宋"/>
                <w:color w:val="auto"/>
                <w:highlight w:val="none"/>
              </w:rPr>
            </w:pPr>
          </w:p>
        </w:tc>
        <w:tc>
          <w:tcPr>
            <w:tcW w:w="992" w:type="dxa"/>
          </w:tcPr>
          <w:p w14:paraId="401E12F0">
            <w:pPr>
              <w:rPr>
                <w:rFonts w:ascii="仿宋" w:hAnsi="仿宋" w:eastAsia="仿宋" w:cs="仿宋"/>
                <w:color w:val="auto"/>
                <w:highlight w:val="none"/>
              </w:rPr>
            </w:pPr>
          </w:p>
        </w:tc>
        <w:tc>
          <w:tcPr>
            <w:tcW w:w="1134" w:type="dxa"/>
          </w:tcPr>
          <w:p w14:paraId="3D3F9D54">
            <w:pPr>
              <w:rPr>
                <w:rFonts w:ascii="仿宋" w:hAnsi="仿宋" w:eastAsia="仿宋" w:cs="仿宋"/>
                <w:color w:val="auto"/>
                <w:highlight w:val="none"/>
              </w:rPr>
            </w:pPr>
          </w:p>
        </w:tc>
      </w:tr>
      <w:tr w14:paraId="123FA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4" w:hRule="atLeast"/>
        </w:trPr>
        <w:tc>
          <w:tcPr>
            <w:tcW w:w="673" w:type="dxa"/>
          </w:tcPr>
          <w:p w14:paraId="0A2AD7B2">
            <w:pPr>
              <w:pStyle w:val="28"/>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134" w:type="dxa"/>
          </w:tcPr>
          <w:p w14:paraId="34C46AE3">
            <w:pPr>
              <w:rPr>
                <w:rFonts w:ascii="仿宋" w:hAnsi="仿宋" w:eastAsia="仿宋" w:cs="仿宋"/>
                <w:color w:val="auto"/>
                <w:highlight w:val="none"/>
              </w:rPr>
            </w:pPr>
          </w:p>
        </w:tc>
        <w:tc>
          <w:tcPr>
            <w:tcW w:w="1276" w:type="dxa"/>
          </w:tcPr>
          <w:p w14:paraId="6A1F6782">
            <w:pPr>
              <w:rPr>
                <w:rFonts w:ascii="仿宋" w:hAnsi="仿宋" w:eastAsia="仿宋" w:cs="仿宋"/>
                <w:color w:val="auto"/>
                <w:highlight w:val="none"/>
              </w:rPr>
            </w:pPr>
          </w:p>
        </w:tc>
        <w:tc>
          <w:tcPr>
            <w:tcW w:w="1134" w:type="dxa"/>
          </w:tcPr>
          <w:p w14:paraId="041EE201">
            <w:pPr>
              <w:rPr>
                <w:rFonts w:ascii="仿宋" w:hAnsi="仿宋" w:eastAsia="仿宋" w:cs="仿宋"/>
                <w:color w:val="auto"/>
                <w:highlight w:val="none"/>
              </w:rPr>
            </w:pPr>
          </w:p>
        </w:tc>
        <w:tc>
          <w:tcPr>
            <w:tcW w:w="1418" w:type="dxa"/>
          </w:tcPr>
          <w:p w14:paraId="6D21DA09">
            <w:pPr>
              <w:rPr>
                <w:rFonts w:ascii="仿宋" w:hAnsi="仿宋" w:eastAsia="仿宋" w:cs="仿宋"/>
                <w:color w:val="auto"/>
                <w:highlight w:val="none"/>
              </w:rPr>
            </w:pPr>
          </w:p>
        </w:tc>
        <w:tc>
          <w:tcPr>
            <w:tcW w:w="1134" w:type="dxa"/>
          </w:tcPr>
          <w:p w14:paraId="0A103DFE">
            <w:pPr>
              <w:rPr>
                <w:rFonts w:ascii="仿宋" w:hAnsi="仿宋" w:eastAsia="仿宋" w:cs="仿宋"/>
                <w:color w:val="auto"/>
                <w:highlight w:val="none"/>
              </w:rPr>
            </w:pPr>
          </w:p>
        </w:tc>
        <w:tc>
          <w:tcPr>
            <w:tcW w:w="992" w:type="dxa"/>
          </w:tcPr>
          <w:p w14:paraId="40245336">
            <w:pPr>
              <w:rPr>
                <w:rFonts w:ascii="仿宋" w:hAnsi="仿宋" w:eastAsia="仿宋" w:cs="仿宋"/>
                <w:color w:val="auto"/>
                <w:highlight w:val="none"/>
              </w:rPr>
            </w:pPr>
          </w:p>
        </w:tc>
        <w:tc>
          <w:tcPr>
            <w:tcW w:w="1134" w:type="dxa"/>
          </w:tcPr>
          <w:p w14:paraId="0BB3FA5A">
            <w:pPr>
              <w:rPr>
                <w:rFonts w:ascii="仿宋" w:hAnsi="仿宋" w:eastAsia="仿宋" w:cs="仿宋"/>
                <w:color w:val="auto"/>
                <w:highlight w:val="none"/>
              </w:rPr>
            </w:pPr>
          </w:p>
        </w:tc>
      </w:tr>
    </w:tbl>
    <w:p w14:paraId="17ECF2EA">
      <w:pPr>
        <w:spacing w:before="116" w:line="347" w:lineRule="auto"/>
        <w:ind w:right="-30" w:hanging="10"/>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注：投标人须按相关要求提供相应的合同的复印件，合同须附合同首页、标的清单页、合同金额页、双方签字盖章页），不提供或提供不清晰导致专家无法判断的不得分。</w:t>
      </w:r>
    </w:p>
    <w:p w14:paraId="2DF9AAF3">
      <w:pPr>
        <w:spacing w:line="244" w:lineRule="auto"/>
        <w:rPr>
          <w:rFonts w:ascii="仿宋" w:hAnsi="仿宋" w:eastAsia="仿宋" w:cs="仿宋"/>
          <w:color w:val="auto"/>
          <w:highlight w:val="none"/>
          <w:lang w:eastAsia="zh-CN"/>
        </w:rPr>
      </w:pPr>
    </w:p>
    <w:p w14:paraId="029EE22D">
      <w:pPr>
        <w:spacing w:line="244" w:lineRule="auto"/>
        <w:rPr>
          <w:rFonts w:ascii="仿宋" w:hAnsi="仿宋" w:eastAsia="仿宋" w:cs="仿宋"/>
          <w:color w:val="auto"/>
          <w:highlight w:val="none"/>
          <w:lang w:eastAsia="zh-CN"/>
        </w:rPr>
      </w:pPr>
    </w:p>
    <w:p w14:paraId="14AED610">
      <w:pPr>
        <w:spacing w:line="244" w:lineRule="auto"/>
        <w:rPr>
          <w:rFonts w:ascii="仿宋" w:hAnsi="仿宋" w:eastAsia="仿宋" w:cs="仿宋"/>
          <w:color w:val="auto"/>
          <w:highlight w:val="none"/>
          <w:lang w:eastAsia="zh-CN"/>
        </w:rPr>
      </w:pPr>
    </w:p>
    <w:p w14:paraId="5B6F98C1">
      <w:pPr>
        <w:spacing w:line="244" w:lineRule="auto"/>
        <w:rPr>
          <w:rFonts w:ascii="仿宋" w:hAnsi="仿宋" w:eastAsia="仿宋" w:cs="仿宋"/>
          <w:color w:val="auto"/>
          <w:highlight w:val="none"/>
          <w:lang w:eastAsia="zh-CN"/>
        </w:rPr>
      </w:pPr>
    </w:p>
    <w:p w14:paraId="079EE1EE">
      <w:pPr>
        <w:spacing w:before="78" w:line="347" w:lineRule="auto"/>
        <w:ind w:left="567" w:right="-30"/>
        <w:rPr>
          <w:rFonts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投标人名称（公章)：</w:t>
      </w:r>
    </w:p>
    <w:p w14:paraId="5730331B">
      <w:pPr>
        <w:spacing w:before="78" w:line="347" w:lineRule="auto"/>
        <w:ind w:left="567" w:right="-30"/>
        <w:rPr>
          <w:rFonts w:ascii="仿宋" w:hAnsi="仿宋" w:eastAsia="仿宋" w:cs="仿宋"/>
          <w:color w:val="auto"/>
          <w:sz w:val="24"/>
          <w:szCs w:val="24"/>
          <w:highlight w:val="none"/>
          <w:lang w:eastAsia="zh-CN"/>
        </w:rPr>
      </w:pPr>
      <w:r>
        <w:rPr>
          <w:rFonts w:hint="eastAsia" w:ascii="仿宋" w:hAnsi="仿宋" w:eastAsia="仿宋" w:cs="仿宋"/>
          <w:color w:val="auto"/>
          <w:spacing w:val="-21"/>
          <w:sz w:val="24"/>
          <w:szCs w:val="24"/>
          <w:highlight w:val="none"/>
          <w:lang w:eastAsia="zh-CN"/>
        </w:rPr>
        <w:t>日期：</w:t>
      </w:r>
    </w:p>
    <w:p w14:paraId="77160F0C">
      <w:pPr>
        <w:spacing w:line="273" w:lineRule="auto"/>
        <w:rPr>
          <w:rFonts w:ascii="仿宋" w:hAnsi="仿宋" w:eastAsia="仿宋" w:cs="仿宋"/>
          <w:color w:val="auto"/>
          <w:highlight w:val="none"/>
          <w:lang w:eastAsia="zh-CN"/>
        </w:rPr>
      </w:pPr>
    </w:p>
    <w:p w14:paraId="2E0CF20A">
      <w:pPr>
        <w:pageBreakBefore/>
        <w:spacing w:before="101" w:line="226" w:lineRule="auto"/>
        <w:jc w:val="center"/>
        <w:outlineLvl w:val="2"/>
        <w:rPr>
          <w:rFonts w:ascii="仿宋" w:hAnsi="仿宋" w:eastAsia="仿宋" w:cs="仿宋"/>
          <w:b/>
          <w:bCs/>
          <w:color w:val="auto"/>
          <w:spacing w:val="1"/>
          <w:sz w:val="31"/>
          <w:szCs w:val="31"/>
          <w:highlight w:val="none"/>
          <w:lang w:eastAsia="zh-CN"/>
        </w:rPr>
      </w:pPr>
      <w:bookmarkStart w:id="490" w:name="bookmark270"/>
      <w:bookmarkEnd w:id="490"/>
      <w:bookmarkStart w:id="491" w:name="bookmark269"/>
      <w:bookmarkEnd w:id="491"/>
      <w:bookmarkStart w:id="492" w:name="_Toc27032"/>
      <w:bookmarkStart w:id="493" w:name="_Toc186477820"/>
      <w:r>
        <w:rPr>
          <w:rFonts w:hint="eastAsia" w:ascii="仿宋" w:hAnsi="仿宋" w:eastAsia="仿宋" w:cs="仿宋"/>
          <w:b/>
          <w:bCs/>
          <w:color w:val="auto"/>
          <w:spacing w:val="1"/>
          <w:sz w:val="31"/>
          <w:szCs w:val="31"/>
          <w:highlight w:val="none"/>
          <w:lang w:eastAsia="zh-CN"/>
        </w:rPr>
        <w:t>七、拟派项目团队</w:t>
      </w:r>
      <w:bookmarkEnd w:id="492"/>
      <w:bookmarkEnd w:id="493"/>
    </w:p>
    <w:p w14:paraId="0F791E48">
      <w:pPr>
        <w:spacing w:line="193" w:lineRule="exact"/>
        <w:rPr>
          <w:rFonts w:ascii="仿宋" w:hAnsi="仿宋" w:eastAsia="仿宋" w:cs="仿宋"/>
          <w:color w:val="auto"/>
          <w:highlight w:val="none"/>
        </w:rPr>
      </w:pPr>
    </w:p>
    <w:tbl>
      <w:tblPr>
        <w:tblStyle w:val="20"/>
        <w:tblW w:w="92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78"/>
        <w:gridCol w:w="1266"/>
        <w:gridCol w:w="1295"/>
        <w:gridCol w:w="1772"/>
        <w:gridCol w:w="1887"/>
        <w:gridCol w:w="1438"/>
        <w:gridCol w:w="820"/>
      </w:tblGrid>
      <w:tr w14:paraId="308D7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5" w:hRule="atLeast"/>
        </w:trPr>
        <w:tc>
          <w:tcPr>
            <w:tcW w:w="778" w:type="dxa"/>
            <w:vAlign w:val="center"/>
          </w:tcPr>
          <w:p w14:paraId="4EC7344B">
            <w:pPr>
              <w:pStyle w:val="28"/>
              <w:spacing w:before="197" w:line="230" w:lineRule="auto"/>
              <w:ind w:left="-71" w:right="-13"/>
              <w:jc w:val="center"/>
              <w:rPr>
                <w:rFonts w:ascii="仿宋" w:hAnsi="仿宋" w:eastAsia="仿宋" w:cs="仿宋"/>
                <w:color w:val="auto"/>
                <w:spacing w:val="-8"/>
                <w:highlight w:val="none"/>
              </w:rPr>
            </w:pPr>
            <w:r>
              <w:rPr>
                <w:rFonts w:hint="eastAsia" w:ascii="仿宋" w:hAnsi="仿宋" w:eastAsia="仿宋" w:cs="仿宋"/>
                <w:color w:val="auto"/>
                <w:spacing w:val="-8"/>
                <w:highlight w:val="none"/>
              </w:rPr>
              <w:t>序号</w:t>
            </w:r>
          </w:p>
        </w:tc>
        <w:tc>
          <w:tcPr>
            <w:tcW w:w="1266" w:type="dxa"/>
            <w:vAlign w:val="center"/>
          </w:tcPr>
          <w:p w14:paraId="064591A7">
            <w:pPr>
              <w:pStyle w:val="28"/>
              <w:spacing w:before="197" w:line="230" w:lineRule="auto"/>
              <w:ind w:left="-71" w:right="-13"/>
              <w:jc w:val="center"/>
              <w:rPr>
                <w:rFonts w:ascii="仿宋" w:hAnsi="仿宋" w:eastAsia="仿宋" w:cs="仿宋"/>
                <w:color w:val="auto"/>
                <w:spacing w:val="-8"/>
                <w:highlight w:val="none"/>
              </w:rPr>
            </w:pPr>
            <w:r>
              <w:rPr>
                <w:rFonts w:hint="eastAsia" w:ascii="仿宋" w:hAnsi="仿宋" w:eastAsia="仿宋" w:cs="仿宋"/>
                <w:color w:val="auto"/>
                <w:spacing w:val="-8"/>
                <w:highlight w:val="none"/>
              </w:rPr>
              <w:t>团队成员姓名</w:t>
            </w:r>
          </w:p>
        </w:tc>
        <w:tc>
          <w:tcPr>
            <w:tcW w:w="1295" w:type="dxa"/>
            <w:vAlign w:val="center"/>
          </w:tcPr>
          <w:p w14:paraId="79652F29">
            <w:pPr>
              <w:pStyle w:val="28"/>
              <w:spacing w:before="197" w:line="230" w:lineRule="auto"/>
              <w:ind w:left="-71" w:right="-13"/>
              <w:jc w:val="center"/>
              <w:rPr>
                <w:rFonts w:ascii="仿宋" w:hAnsi="仿宋" w:eastAsia="仿宋" w:cs="仿宋"/>
                <w:color w:val="auto"/>
                <w:spacing w:val="-8"/>
                <w:highlight w:val="none"/>
              </w:rPr>
            </w:pPr>
            <w:r>
              <w:rPr>
                <w:rFonts w:hint="eastAsia" w:ascii="仿宋" w:hAnsi="仿宋" w:eastAsia="仿宋" w:cs="仿宋"/>
                <w:color w:val="auto"/>
                <w:spacing w:val="-8"/>
                <w:highlight w:val="none"/>
              </w:rPr>
              <w:t>工作单位</w:t>
            </w:r>
          </w:p>
        </w:tc>
        <w:tc>
          <w:tcPr>
            <w:tcW w:w="1772" w:type="dxa"/>
            <w:vAlign w:val="center"/>
          </w:tcPr>
          <w:p w14:paraId="5BE2E79D">
            <w:pPr>
              <w:pStyle w:val="28"/>
              <w:spacing w:before="197" w:line="230" w:lineRule="auto"/>
              <w:ind w:left="-71" w:right="-13"/>
              <w:jc w:val="center"/>
              <w:rPr>
                <w:rFonts w:ascii="仿宋" w:hAnsi="仿宋" w:eastAsia="仿宋" w:cs="仿宋"/>
                <w:color w:val="auto"/>
                <w:spacing w:val="-8"/>
                <w:highlight w:val="none"/>
              </w:rPr>
            </w:pPr>
            <w:r>
              <w:rPr>
                <w:rFonts w:hint="eastAsia" w:ascii="仿宋" w:hAnsi="仿宋" w:eastAsia="仿宋" w:cs="仿宋"/>
                <w:color w:val="auto"/>
                <w:spacing w:val="-8"/>
                <w:highlight w:val="none"/>
              </w:rPr>
              <w:t>身份证号</w:t>
            </w:r>
          </w:p>
        </w:tc>
        <w:tc>
          <w:tcPr>
            <w:tcW w:w="1887" w:type="dxa"/>
            <w:vAlign w:val="center"/>
          </w:tcPr>
          <w:p w14:paraId="69675BB8">
            <w:pPr>
              <w:pStyle w:val="28"/>
              <w:spacing w:before="197" w:line="230" w:lineRule="auto"/>
              <w:ind w:left="-71" w:right="-13"/>
              <w:jc w:val="center"/>
              <w:rPr>
                <w:rFonts w:ascii="仿宋" w:hAnsi="仿宋" w:eastAsia="仿宋" w:cs="仿宋"/>
                <w:color w:val="auto"/>
                <w:spacing w:val="-8"/>
                <w:highlight w:val="none"/>
                <w:lang w:eastAsia="zh-CN"/>
              </w:rPr>
            </w:pPr>
            <w:r>
              <w:rPr>
                <w:rFonts w:hint="eastAsia" w:ascii="仿宋" w:hAnsi="仿宋" w:eastAsia="仿宋" w:cs="仿宋"/>
                <w:color w:val="auto"/>
                <w:spacing w:val="-8"/>
                <w:highlight w:val="none"/>
                <w:lang w:eastAsia="zh-CN"/>
              </w:rPr>
              <w:t>证书名称及编号</w:t>
            </w:r>
          </w:p>
        </w:tc>
        <w:tc>
          <w:tcPr>
            <w:tcW w:w="1438" w:type="dxa"/>
            <w:vAlign w:val="center"/>
          </w:tcPr>
          <w:p w14:paraId="34E21805">
            <w:pPr>
              <w:pStyle w:val="28"/>
              <w:spacing w:before="197" w:line="230" w:lineRule="auto"/>
              <w:ind w:left="-71" w:right="-13" w:hanging="2"/>
              <w:jc w:val="center"/>
              <w:rPr>
                <w:rFonts w:ascii="仿宋" w:hAnsi="仿宋" w:eastAsia="仿宋" w:cs="仿宋"/>
                <w:color w:val="auto"/>
                <w:spacing w:val="-8"/>
                <w:highlight w:val="none"/>
                <w:lang w:eastAsia="zh-CN"/>
              </w:rPr>
            </w:pPr>
            <w:r>
              <w:rPr>
                <w:rFonts w:hint="eastAsia" w:ascii="仿宋" w:hAnsi="仿宋" w:eastAsia="仿宋" w:cs="仿宋"/>
                <w:color w:val="auto"/>
                <w:spacing w:val="-8"/>
                <w:highlight w:val="none"/>
                <w:lang w:eastAsia="zh-CN"/>
              </w:rPr>
              <w:t>在团队中职务（岗位）</w:t>
            </w:r>
          </w:p>
        </w:tc>
        <w:tc>
          <w:tcPr>
            <w:tcW w:w="820" w:type="dxa"/>
            <w:vAlign w:val="center"/>
          </w:tcPr>
          <w:p w14:paraId="4270D315">
            <w:pPr>
              <w:pStyle w:val="28"/>
              <w:spacing w:before="197" w:line="230" w:lineRule="auto"/>
              <w:ind w:left="-71" w:right="-13" w:hanging="25"/>
              <w:jc w:val="center"/>
              <w:rPr>
                <w:rFonts w:ascii="仿宋" w:hAnsi="仿宋" w:eastAsia="仿宋" w:cs="仿宋"/>
                <w:color w:val="auto"/>
                <w:spacing w:val="-8"/>
                <w:highlight w:val="none"/>
              </w:rPr>
            </w:pPr>
            <w:r>
              <w:rPr>
                <w:rFonts w:hint="eastAsia" w:ascii="仿宋" w:hAnsi="仿宋" w:eastAsia="仿宋" w:cs="仿宋"/>
                <w:color w:val="auto"/>
                <w:spacing w:val="-8"/>
                <w:highlight w:val="none"/>
              </w:rPr>
              <w:t>自有/外聘</w:t>
            </w:r>
          </w:p>
        </w:tc>
      </w:tr>
      <w:tr w14:paraId="26048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0CD9E750">
            <w:pPr>
              <w:pStyle w:val="28"/>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266" w:type="dxa"/>
            <w:vAlign w:val="center"/>
          </w:tcPr>
          <w:p w14:paraId="1838BD6E">
            <w:pPr>
              <w:jc w:val="center"/>
              <w:rPr>
                <w:rFonts w:ascii="仿宋" w:hAnsi="仿宋" w:eastAsia="仿宋" w:cs="仿宋"/>
                <w:color w:val="auto"/>
                <w:sz w:val="24"/>
                <w:szCs w:val="24"/>
                <w:highlight w:val="none"/>
              </w:rPr>
            </w:pPr>
          </w:p>
        </w:tc>
        <w:tc>
          <w:tcPr>
            <w:tcW w:w="1295" w:type="dxa"/>
            <w:vAlign w:val="center"/>
          </w:tcPr>
          <w:p w14:paraId="54DCA189">
            <w:pPr>
              <w:jc w:val="center"/>
              <w:rPr>
                <w:rFonts w:ascii="仿宋" w:hAnsi="仿宋" w:eastAsia="仿宋" w:cs="仿宋"/>
                <w:color w:val="auto"/>
                <w:sz w:val="24"/>
                <w:szCs w:val="24"/>
                <w:highlight w:val="none"/>
              </w:rPr>
            </w:pPr>
          </w:p>
        </w:tc>
        <w:tc>
          <w:tcPr>
            <w:tcW w:w="1772" w:type="dxa"/>
            <w:vAlign w:val="center"/>
          </w:tcPr>
          <w:p w14:paraId="72151360">
            <w:pPr>
              <w:jc w:val="center"/>
              <w:rPr>
                <w:rFonts w:ascii="仿宋" w:hAnsi="仿宋" w:eastAsia="仿宋" w:cs="仿宋"/>
                <w:color w:val="auto"/>
                <w:sz w:val="24"/>
                <w:szCs w:val="24"/>
                <w:highlight w:val="none"/>
              </w:rPr>
            </w:pPr>
          </w:p>
        </w:tc>
        <w:tc>
          <w:tcPr>
            <w:tcW w:w="1887" w:type="dxa"/>
            <w:vAlign w:val="center"/>
          </w:tcPr>
          <w:p w14:paraId="4D554BE2">
            <w:pPr>
              <w:jc w:val="center"/>
              <w:rPr>
                <w:rFonts w:ascii="仿宋" w:hAnsi="仿宋" w:eastAsia="仿宋" w:cs="仿宋"/>
                <w:color w:val="auto"/>
                <w:sz w:val="24"/>
                <w:szCs w:val="24"/>
                <w:highlight w:val="none"/>
              </w:rPr>
            </w:pPr>
          </w:p>
        </w:tc>
        <w:tc>
          <w:tcPr>
            <w:tcW w:w="1438" w:type="dxa"/>
            <w:vAlign w:val="center"/>
          </w:tcPr>
          <w:p w14:paraId="39AB9342">
            <w:pPr>
              <w:jc w:val="center"/>
              <w:rPr>
                <w:rFonts w:ascii="仿宋" w:hAnsi="仿宋" w:eastAsia="仿宋" w:cs="仿宋"/>
                <w:color w:val="auto"/>
                <w:sz w:val="24"/>
                <w:szCs w:val="24"/>
                <w:highlight w:val="none"/>
              </w:rPr>
            </w:pPr>
          </w:p>
        </w:tc>
        <w:tc>
          <w:tcPr>
            <w:tcW w:w="820" w:type="dxa"/>
            <w:vAlign w:val="center"/>
          </w:tcPr>
          <w:p w14:paraId="7670A2B0">
            <w:pPr>
              <w:jc w:val="center"/>
              <w:rPr>
                <w:rFonts w:ascii="仿宋" w:hAnsi="仿宋" w:eastAsia="仿宋" w:cs="仿宋"/>
                <w:color w:val="auto"/>
                <w:sz w:val="24"/>
                <w:szCs w:val="24"/>
                <w:highlight w:val="none"/>
              </w:rPr>
            </w:pPr>
          </w:p>
        </w:tc>
      </w:tr>
      <w:tr w14:paraId="16FC2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24A1E930">
            <w:pPr>
              <w:pStyle w:val="28"/>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266" w:type="dxa"/>
            <w:vAlign w:val="center"/>
          </w:tcPr>
          <w:p w14:paraId="1169A247">
            <w:pPr>
              <w:jc w:val="center"/>
              <w:rPr>
                <w:rFonts w:ascii="仿宋" w:hAnsi="仿宋" w:eastAsia="仿宋" w:cs="仿宋"/>
                <w:color w:val="auto"/>
                <w:sz w:val="24"/>
                <w:szCs w:val="24"/>
                <w:highlight w:val="none"/>
              </w:rPr>
            </w:pPr>
          </w:p>
        </w:tc>
        <w:tc>
          <w:tcPr>
            <w:tcW w:w="1295" w:type="dxa"/>
            <w:vAlign w:val="center"/>
          </w:tcPr>
          <w:p w14:paraId="0CAF374F">
            <w:pPr>
              <w:jc w:val="center"/>
              <w:rPr>
                <w:rFonts w:ascii="仿宋" w:hAnsi="仿宋" w:eastAsia="仿宋" w:cs="仿宋"/>
                <w:color w:val="auto"/>
                <w:sz w:val="24"/>
                <w:szCs w:val="24"/>
                <w:highlight w:val="none"/>
              </w:rPr>
            </w:pPr>
          </w:p>
        </w:tc>
        <w:tc>
          <w:tcPr>
            <w:tcW w:w="1772" w:type="dxa"/>
            <w:vAlign w:val="center"/>
          </w:tcPr>
          <w:p w14:paraId="712FB5CA">
            <w:pPr>
              <w:jc w:val="center"/>
              <w:rPr>
                <w:rFonts w:ascii="仿宋" w:hAnsi="仿宋" w:eastAsia="仿宋" w:cs="仿宋"/>
                <w:color w:val="auto"/>
                <w:sz w:val="24"/>
                <w:szCs w:val="24"/>
                <w:highlight w:val="none"/>
              </w:rPr>
            </w:pPr>
          </w:p>
        </w:tc>
        <w:tc>
          <w:tcPr>
            <w:tcW w:w="1887" w:type="dxa"/>
            <w:vAlign w:val="center"/>
          </w:tcPr>
          <w:p w14:paraId="4A5A104A">
            <w:pPr>
              <w:jc w:val="center"/>
              <w:rPr>
                <w:rFonts w:ascii="仿宋" w:hAnsi="仿宋" w:eastAsia="仿宋" w:cs="仿宋"/>
                <w:color w:val="auto"/>
                <w:sz w:val="24"/>
                <w:szCs w:val="24"/>
                <w:highlight w:val="none"/>
              </w:rPr>
            </w:pPr>
          </w:p>
        </w:tc>
        <w:tc>
          <w:tcPr>
            <w:tcW w:w="1438" w:type="dxa"/>
            <w:vAlign w:val="center"/>
          </w:tcPr>
          <w:p w14:paraId="28C82A95">
            <w:pPr>
              <w:jc w:val="center"/>
              <w:rPr>
                <w:rFonts w:ascii="仿宋" w:hAnsi="仿宋" w:eastAsia="仿宋" w:cs="仿宋"/>
                <w:color w:val="auto"/>
                <w:sz w:val="24"/>
                <w:szCs w:val="24"/>
                <w:highlight w:val="none"/>
              </w:rPr>
            </w:pPr>
          </w:p>
        </w:tc>
        <w:tc>
          <w:tcPr>
            <w:tcW w:w="820" w:type="dxa"/>
            <w:vAlign w:val="center"/>
          </w:tcPr>
          <w:p w14:paraId="71BF5777">
            <w:pPr>
              <w:jc w:val="center"/>
              <w:rPr>
                <w:rFonts w:ascii="仿宋" w:hAnsi="仿宋" w:eastAsia="仿宋" w:cs="仿宋"/>
                <w:color w:val="auto"/>
                <w:sz w:val="24"/>
                <w:szCs w:val="24"/>
                <w:highlight w:val="none"/>
              </w:rPr>
            </w:pPr>
          </w:p>
        </w:tc>
      </w:tr>
      <w:tr w14:paraId="62724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76A69FE8">
            <w:pPr>
              <w:pStyle w:val="28"/>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266" w:type="dxa"/>
            <w:vAlign w:val="center"/>
          </w:tcPr>
          <w:p w14:paraId="26FD5DA8">
            <w:pPr>
              <w:jc w:val="center"/>
              <w:rPr>
                <w:rFonts w:ascii="仿宋" w:hAnsi="仿宋" w:eastAsia="仿宋" w:cs="仿宋"/>
                <w:color w:val="auto"/>
                <w:sz w:val="24"/>
                <w:szCs w:val="24"/>
                <w:highlight w:val="none"/>
              </w:rPr>
            </w:pPr>
          </w:p>
        </w:tc>
        <w:tc>
          <w:tcPr>
            <w:tcW w:w="1295" w:type="dxa"/>
            <w:vAlign w:val="center"/>
          </w:tcPr>
          <w:p w14:paraId="01F02157">
            <w:pPr>
              <w:jc w:val="center"/>
              <w:rPr>
                <w:rFonts w:ascii="仿宋" w:hAnsi="仿宋" w:eastAsia="仿宋" w:cs="仿宋"/>
                <w:color w:val="auto"/>
                <w:sz w:val="24"/>
                <w:szCs w:val="24"/>
                <w:highlight w:val="none"/>
              </w:rPr>
            </w:pPr>
          </w:p>
        </w:tc>
        <w:tc>
          <w:tcPr>
            <w:tcW w:w="1772" w:type="dxa"/>
            <w:vAlign w:val="center"/>
          </w:tcPr>
          <w:p w14:paraId="1C2E8122">
            <w:pPr>
              <w:jc w:val="center"/>
              <w:rPr>
                <w:rFonts w:ascii="仿宋" w:hAnsi="仿宋" w:eastAsia="仿宋" w:cs="仿宋"/>
                <w:color w:val="auto"/>
                <w:sz w:val="24"/>
                <w:szCs w:val="24"/>
                <w:highlight w:val="none"/>
              </w:rPr>
            </w:pPr>
          </w:p>
        </w:tc>
        <w:tc>
          <w:tcPr>
            <w:tcW w:w="1887" w:type="dxa"/>
            <w:vAlign w:val="center"/>
          </w:tcPr>
          <w:p w14:paraId="496627D4">
            <w:pPr>
              <w:jc w:val="center"/>
              <w:rPr>
                <w:rFonts w:ascii="仿宋" w:hAnsi="仿宋" w:eastAsia="仿宋" w:cs="仿宋"/>
                <w:color w:val="auto"/>
                <w:sz w:val="24"/>
                <w:szCs w:val="24"/>
                <w:highlight w:val="none"/>
              </w:rPr>
            </w:pPr>
          </w:p>
        </w:tc>
        <w:tc>
          <w:tcPr>
            <w:tcW w:w="1438" w:type="dxa"/>
            <w:vAlign w:val="center"/>
          </w:tcPr>
          <w:p w14:paraId="3C3CE3F5">
            <w:pPr>
              <w:jc w:val="center"/>
              <w:rPr>
                <w:rFonts w:ascii="仿宋" w:hAnsi="仿宋" w:eastAsia="仿宋" w:cs="仿宋"/>
                <w:color w:val="auto"/>
                <w:sz w:val="24"/>
                <w:szCs w:val="24"/>
                <w:highlight w:val="none"/>
              </w:rPr>
            </w:pPr>
          </w:p>
        </w:tc>
        <w:tc>
          <w:tcPr>
            <w:tcW w:w="820" w:type="dxa"/>
            <w:vAlign w:val="center"/>
          </w:tcPr>
          <w:p w14:paraId="51B9B5D9">
            <w:pPr>
              <w:jc w:val="center"/>
              <w:rPr>
                <w:rFonts w:ascii="仿宋" w:hAnsi="仿宋" w:eastAsia="仿宋" w:cs="仿宋"/>
                <w:color w:val="auto"/>
                <w:sz w:val="24"/>
                <w:szCs w:val="24"/>
                <w:highlight w:val="none"/>
              </w:rPr>
            </w:pPr>
          </w:p>
        </w:tc>
      </w:tr>
      <w:tr w14:paraId="76619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280678BC">
            <w:pPr>
              <w:pStyle w:val="28"/>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266" w:type="dxa"/>
            <w:vAlign w:val="center"/>
          </w:tcPr>
          <w:p w14:paraId="0A397AE3">
            <w:pPr>
              <w:jc w:val="center"/>
              <w:rPr>
                <w:rFonts w:ascii="仿宋" w:hAnsi="仿宋" w:eastAsia="仿宋" w:cs="仿宋"/>
                <w:color w:val="auto"/>
                <w:sz w:val="24"/>
                <w:szCs w:val="24"/>
                <w:highlight w:val="none"/>
              </w:rPr>
            </w:pPr>
          </w:p>
        </w:tc>
        <w:tc>
          <w:tcPr>
            <w:tcW w:w="1295" w:type="dxa"/>
            <w:vAlign w:val="center"/>
          </w:tcPr>
          <w:p w14:paraId="165E77C0">
            <w:pPr>
              <w:jc w:val="center"/>
              <w:rPr>
                <w:rFonts w:ascii="仿宋" w:hAnsi="仿宋" w:eastAsia="仿宋" w:cs="仿宋"/>
                <w:color w:val="auto"/>
                <w:sz w:val="24"/>
                <w:szCs w:val="24"/>
                <w:highlight w:val="none"/>
              </w:rPr>
            </w:pPr>
          </w:p>
        </w:tc>
        <w:tc>
          <w:tcPr>
            <w:tcW w:w="1772" w:type="dxa"/>
            <w:vAlign w:val="center"/>
          </w:tcPr>
          <w:p w14:paraId="49B55EDD">
            <w:pPr>
              <w:jc w:val="center"/>
              <w:rPr>
                <w:rFonts w:ascii="仿宋" w:hAnsi="仿宋" w:eastAsia="仿宋" w:cs="仿宋"/>
                <w:color w:val="auto"/>
                <w:sz w:val="24"/>
                <w:szCs w:val="24"/>
                <w:highlight w:val="none"/>
              </w:rPr>
            </w:pPr>
          </w:p>
        </w:tc>
        <w:tc>
          <w:tcPr>
            <w:tcW w:w="1887" w:type="dxa"/>
            <w:vAlign w:val="center"/>
          </w:tcPr>
          <w:p w14:paraId="412B471F">
            <w:pPr>
              <w:jc w:val="center"/>
              <w:rPr>
                <w:rFonts w:ascii="仿宋" w:hAnsi="仿宋" w:eastAsia="仿宋" w:cs="仿宋"/>
                <w:color w:val="auto"/>
                <w:sz w:val="24"/>
                <w:szCs w:val="24"/>
                <w:highlight w:val="none"/>
              </w:rPr>
            </w:pPr>
          </w:p>
        </w:tc>
        <w:tc>
          <w:tcPr>
            <w:tcW w:w="1438" w:type="dxa"/>
            <w:vAlign w:val="center"/>
          </w:tcPr>
          <w:p w14:paraId="0F9AB348">
            <w:pPr>
              <w:jc w:val="center"/>
              <w:rPr>
                <w:rFonts w:ascii="仿宋" w:hAnsi="仿宋" w:eastAsia="仿宋" w:cs="仿宋"/>
                <w:color w:val="auto"/>
                <w:sz w:val="24"/>
                <w:szCs w:val="24"/>
                <w:highlight w:val="none"/>
              </w:rPr>
            </w:pPr>
          </w:p>
        </w:tc>
        <w:tc>
          <w:tcPr>
            <w:tcW w:w="820" w:type="dxa"/>
            <w:vAlign w:val="center"/>
          </w:tcPr>
          <w:p w14:paraId="460E365A">
            <w:pPr>
              <w:jc w:val="center"/>
              <w:rPr>
                <w:rFonts w:ascii="仿宋" w:hAnsi="仿宋" w:eastAsia="仿宋" w:cs="仿宋"/>
                <w:color w:val="auto"/>
                <w:sz w:val="24"/>
                <w:szCs w:val="24"/>
                <w:highlight w:val="none"/>
              </w:rPr>
            </w:pPr>
          </w:p>
        </w:tc>
      </w:tr>
      <w:tr w14:paraId="4B54E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008D18E4">
            <w:pPr>
              <w:pStyle w:val="28"/>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266" w:type="dxa"/>
            <w:vAlign w:val="center"/>
          </w:tcPr>
          <w:p w14:paraId="53807736">
            <w:pPr>
              <w:jc w:val="center"/>
              <w:rPr>
                <w:rFonts w:ascii="仿宋" w:hAnsi="仿宋" w:eastAsia="仿宋" w:cs="仿宋"/>
                <w:color w:val="auto"/>
                <w:sz w:val="24"/>
                <w:szCs w:val="24"/>
                <w:highlight w:val="none"/>
              </w:rPr>
            </w:pPr>
          </w:p>
        </w:tc>
        <w:tc>
          <w:tcPr>
            <w:tcW w:w="1295" w:type="dxa"/>
            <w:vAlign w:val="center"/>
          </w:tcPr>
          <w:p w14:paraId="3D755094">
            <w:pPr>
              <w:jc w:val="center"/>
              <w:rPr>
                <w:rFonts w:ascii="仿宋" w:hAnsi="仿宋" w:eastAsia="仿宋" w:cs="仿宋"/>
                <w:color w:val="auto"/>
                <w:sz w:val="24"/>
                <w:szCs w:val="24"/>
                <w:highlight w:val="none"/>
              </w:rPr>
            </w:pPr>
          </w:p>
        </w:tc>
        <w:tc>
          <w:tcPr>
            <w:tcW w:w="1772" w:type="dxa"/>
            <w:vAlign w:val="center"/>
          </w:tcPr>
          <w:p w14:paraId="751DC137">
            <w:pPr>
              <w:jc w:val="center"/>
              <w:rPr>
                <w:rFonts w:ascii="仿宋" w:hAnsi="仿宋" w:eastAsia="仿宋" w:cs="仿宋"/>
                <w:color w:val="auto"/>
                <w:sz w:val="24"/>
                <w:szCs w:val="24"/>
                <w:highlight w:val="none"/>
              </w:rPr>
            </w:pPr>
          </w:p>
        </w:tc>
        <w:tc>
          <w:tcPr>
            <w:tcW w:w="1887" w:type="dxa"/>
            <w:vAlign w:val="center"/>
          </w:tcPr>
          <w:p w14:paraId="7BC556B4">
            <w:pPr>
              <w:jc w:val="center"/>
              <w:rPr>
                <w:rFonts w:ascii="仿宋" w:hAnsi="仿宋" w:eastAsia="仿宋" w:cs="仿宋"/>
                <w:color w:val="auto"/>
                <w:sz w:val="24"/>
                <w:szCs w:val="24"/>
                <w:highlight w:val="none"/>
              </w:rPr>
            </w:pPr>
          </w:p>
        </w:tc>
        <w:tc>
          <w:tcPr>
            <w:tcW w:w="1438" w:type="dxa"/>
            <w:vAlign w:val="center"/>
          </w:tcPr>
          <w:p w14:paraId="464DDD2D">
            <w:pPr>
              <w:jc w:val="center"/>
              <w:rPr>
                <w:rFonts w:ascii="仿宋" w:hAnsi="仿宋" w:eastAsia="仿宋" w:cs="仿宋"/>
                <w:color w:val="auto"/>
                <w:sz w:val="24"/>
                <w:szCs w:val="24"/>
                <w:highlight w:val="none"/>
              </w:rPr>
            </w:pPr>
          </w:p>
        </w:tc>
        <w:tc>
          <w:tcPr>
            <w:tcW w:w="820" w:type="dxa"/>
            <w:vAlign w:val="center"/>
          </w:tcPr>
          <w:p w14:paraId="41597923">
            <w:pPr>
              <w:jc w:val="center"/>
              <w:rPr>
                <w:rFonts w:ascii="仿宋" w:hAnsi="仿宋" w:eastAsia="仿宋" w:cs="仿宋"/>
                <w:color w:val="auto"/>
                <w:sz w:val="24"/>
                <w:szCs w:val="24"/>
                <w:highlight w:val="none"/>
              </w:rPr>
            </w:pPr>
          </w:p>
        </w:tc>
      </w:tr>
      <w:tr w14:paraId="728C2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4467AEFB">
            <w:pPr>
              <w:pStyle w:val="28"/>
              <w:spacing w:before="257" w:line="184" w:lineRule="auto"/>
              <w:ind w:left="-144" w:right="-2" w:rightChars="-1"/>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tc>
        <w:tc>
          <w:tcPr>
            <w:tcW w:w="1266" w:type="dxa"/>
            <w:vAlign w:val="center"/>
          </w:tcPr>
          <w:p w14:paraId="64783AC8">
            <w:pPr>
              <w:jc w:val="center"/>
              <w:rPr>
                <w:rFonts w:ascii="仿宋" w:hAnsi="仿宋" w:eastAsia="仿宋" w:cs="仿宋"/>
                <w:color w:val="auto"/>
                <w:sz w:val="24"/>
                <w:szCs w:val="24"/>
                <w:highlight w:val="none"/>
              </w:rPr>
            </w:pPr>
          </w:p>
        </w:tc>
        <w:tc>
          <w:tcPr>
            <w:tcW w:w="1295" w:type="dxa"/>
            <w:vAlign w:val="center"/>
          </w:tcPr>
          <w:p w14:paraId="1CDC0CF2">
            <w:pPr>
              <w:jc w:val="center"/>
              <w:rPr>
                <w:rFonts w:ascii="仿宋" w:hAnsi="仿宋" w:eastAsia="仿宋" w:cs="仿宋"/>
                <w:color w:val="auto"/>
                <w:sz w:val="24"/>
                <w:szCs w:val="24"/>
                <w:highlight w:val="none"/>
              </w:rPr>
            </w:pPr>
          </w:p>
        </w:tc>
        <w:tc>
          <w:tcPr>
            <w:tcW w:w="1772" w:type="dxa"/>
            <w:vAlign w:val="center"/>
          </w:tcPr>
          <w:p w14:paraId="73862914">
            <w:pPr>
              <w:jc w:val="center"/>
              <w:rPr>
                <w:rFonts w:ascii="仿宋" w:hAnsi="仿宋" w:eastAsia="仿宋" w:cs="仿宋"/>
                <w:color w:val="auto"/>
                <w:sz w:val="24"/>
                <w:szCs w:val="24"/>
                <w:highlight w:val="none"/>
              </w:rPr>
            </w:pPr>
          </w:p>
        </w:tc>
        <w:tc>
          <w:tcPr>
            <w:tcW w:w="1887" w:type="dxa"/>
            <w:vAlign w:val="center"/>
          </w:tcPr>
          <w:p w14:paraId="18EF3083">
            <w:pPr>
              <w:jc w:val="center"/>
              <w:rPr>
                <w:rFonts w:ascii="仿宋" w:hAnsi="仿宋" w:eastAsia="仿宋" w:cs="仿宋"/>
                <w:color w:val="auto"/>
                <w:sz w:val="24"/>
                <w:szCs w:val="24"/>
                <w:highlight w:val="none"/>
              </w:rPr>
            </w:pPr>
          </w:p>
        </w:tc>
        <w:tc>
          <w:tcPr>
            <w:tcW w:w="1438" w:type="dxa"/>
            <w:vAlign w:val="center"/>
          </w:tcPr>
          <w:p w14:paraId="22973F6A">
            <w:pPr>
              <w:jc w:val="center"/>
              <w:rPr>
                <w:rFonts w:ascii="仿宋" w:hAnsi="仿宋" w:eastAsia="仿宋" w:cs="仿宋"/>
                <w:color w:val="auto"/>
                <w:sz w:val="24"/>
                <w:szCs w:val="24"/>
                <w:highlight w:val="none"/>
              </w:rPr>
            </w:pPr>
          </w:p>
        </w:tc>
        <w:tc>
          <w:tcPr>
            <w:tcW w:w="820" w:type="dxa"/>
            <w:vAlign w:val="center"/>
          </w:tcPr>
          <w:p w14:paraId="44B58539">
            <w:pPr>
              <w:jc w:val="center"/>
              <w:rPr>
                <w:rFonts w:ascii="仿宋" w:hAnsi="仿宋" w:eastAsia="仿宋" w:cs="仿宋"/>
                <w:color w:val="auto"/>
                <w:sz w:val="24"/>
                <w:szCs w:val="24"/>
                <w:highlight w:val="none"/>
              </w:rPr>
            </w:pPr>
          </w:p>
        </w:tc>
      </w:tr>
      <w:tr w14:paraId="67E65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3E473CD0">
            <w:pPr>
              <w:pStyle w:val="28"/>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lang w:eastAsia="zh-CN"/>
              </w:rPr>
              <w:t>..</w:t>
            </w:r>
          </w:p>
        </w:tc>
        <w:tc>
          <w:tcPr>
            <w:tcW w:w="1266" w:type="dxa"/>
            <w:vAlign w:val="center"/>
          </w:tcPr>
          <w:p w14:paraId="365218D3">
            <w:pPr>
              <w:jc w:val="center"/>
              <w:rPr>
                <w:rFonts w:ascii="仿宋" w:hAnsi="仿宋" w:eastAsia="仿宋" w:cs="仿宋"/>
                <w:color w:val="auto"/>
                <w:sz w:val="24"/>
                <w:szCs w:val="24"/>
                <w:highlight w:val="none"/>
              </w:rPr>
            </w:pPr>
          </w:p>
        </w:tc>
        <w:tc>
          <w:tcPr>
            <w:tcW w:w="1295" w:type="dxa"/>
            <w:vAlign w:val="center"/>
          </w:tcPr>
          <w:p w14:paraId="2DD93F3F">
            <w:pPr>
              <w:jc w:val="center"/>
              <w:rPr>
                <w:rFonts w:ascii="仿宋" w:hAnsi="仿宋" w:eastAsia="仿宋" w:cs="仿宋"/>
                <w:color w:val="auto"/>
                <w:sz w:val="24"/>
                <w:szCs w:val="24"/>
                <w:highlight w:val="none"/>
              </w:rPr>
            </w:pPr>
          </w:p>
        </w:tc>
        <w:tc>
          <w:tcPr>
            <w:tcW w:w="1772" w:type="dxa"/>
            <w:vAlign w:val="center"/>
          </w:tcPr>
          <w:p w14:paraId="598D991A">
            <w:pPr>
              <w:jc w:val="center"/>
              <w:rPr>
                <w:rFonts w:ascii="仿宋" w:hAnsi="仿宋" w:eastAsia="仿宋" w:cs="仿宋"/>
                <w:color w:val="auto"/>
                <w:sz w:val="24"/>
                <w:szCs w:val="24"/>
                <w:highlight w:val="none"/>
              </w:rPr>
            </w:pPr>
          </w:p>
        </w:tc>
        <w:tc>
          <w:tcPr>
            <w:tcW w:w="1887" w:type="dxa"/>
            <w:vAlign w:val="center"/>
          </w:tcPr>
          <w:p w14:paraId="3F017A5C">
            <w:pPr>
              <w:jc w:val="center"/>
              <w:rPr>
                <w:rFonts w:ascii="仿宋" w:hAnsi="仿宋" w:eastAsia="仿宋" w:cs="仿宋"/>
                <w:color w:val="auto"/>
                <w:sz w:val="24"/>
                <w:szCs w:val="24"/>
                <w:highlight w:val="none"/>
              </w:rPr>
            </w:pPr>
          </w:p>
        </w:tc>
        <w:tc>
          <w:tcPr>
            <w:tcW w:w="1438" w:type="dxa"/>
            <w:vAlign w:val="center"/>
          </w:tcPr>
          <w:p w14:paraId="3DA2EE45">
            <w:pPr>
              <w:jc w:val="center"/>
              <w:rPr>
                <w:rFonts w:ascii="仿宋" w:hAnsi="仿宋" w:eastAsia="仿宋" w:cs="仿宋"/>
                <w:color w:val="auto"/>
                <w:sz w:val="24"/>
                <w:szCs w:val="24"/>
                <w:highlight w:val="none"/>
              </w:rPr>
            </w:pPr>
          </w:p>
        </w:tc>
        <w:tc>
          <w:tcPr>
            <w:tcW w:w="820" w:type="dxa"/>
            <w:vAlign w:val="center"/>
          </w:tcPr>
          <w:p w14:paraId="3F444C42">
            <w:pPr>
              <w:jc w:val="center"/>
              <w:rPr>
                <w:rFonts w:ascii="仿宋" w:hAnsi="仿宋" w:eastAsia="仿宋" w:cs="仿宋"/>
                <w:color w:val="auto"/>
                <w:sz w:val="24"/>
                <w:szCs w:val="24"/>
                <w:highlight w:val="none"/>
              </w:rPr>
            </w:pPr>
          </w:p>
        </w:tc>
      </w:tr>
      <w:tr w14:paraId="77C15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180DD6D7">
            <w:pPr>
              <w:pStyle w:val="28"/>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lang w:eastAsia="zh-CN"/>
              </w:rPr>
              <w:t>..</w:t>
            </w:r>
          </w:p>
        </w:tc>
        <w:tc>
          <w:tcPr>
            <w:tcW w:w="1266" w:type="dxa"/>
            <w:vAlign w:val="center"/>
          </w:tcPr>
          <w:p w14:paraId="5FC30C64">
            <w:pPr>
              <w:jc w:val="center"/>
              <w:rPr>
                <w:rFonts w:ascii="仿宋" w:hAnsi="仿宋" w:eastAsia="仿宋" w:cs="仿宋"/>
                <w:color w:val="auto"/>
                <w:sz w:val="24"/>
                <w:szCs w:val="24"/>
                <w:highlight w:val="none"/>
              </w:rPr>
            </w:pPr>
          </w:p>
        </w:tc>
        <w:tc>
          <w:tcPr>
            <w:tcW w:w="1295" w:type="dxa"/>
            <w:vAlign w:val="center"/>
          </w:tcPr>
          <w:p w14:paraId="79C4761C">
            <w:pPr>
              <w:jc w:val="center"/>
              <w:rPr>
                <w:rFonts w:ascii="仿宋" w:hAnsi="仿宋" w:eastAsia="仿宋" w:cs="仿宋"/>
                <w:color w:val="auto"/>
                <w:sz w:val="24"/>
                <w:szCs w:val="24"/>
                <w:highlight w:val="none"/>
              </w:rPr>
            </w:pPr>
          </w:p>
        </w:tc>
        <w:tc>
          <w:tcPr>
            <w:tcW w:w="1772" w:type="dxa"/>
            <w:vAlign w:val="center"/>
          </w:tcPr>
          <w:p w14:paraId="74516A15">
            <w:pPr>
              <w:jc w:val="center"/>
              <w:rPr>
                <w:rFonts w:ascii="仿宋" w:hAnsi="仿宋" w:eastAsia="仿宋" w:cs="仿宋"/>
                <w:color w:val="auto"/>
                <w:sz w:val="24"/>
                <w:szCs w:val="24"/>
                <w:highlight w:val="none"/>
              </w:rPr>
            </w:pPr>
          </w:p>
        </w:tc>
        <w:tc>
          <w:tcPr>
            <w:tcW w:w="1887" w:type="dxa"/>
            <w:vAlign w:val="center"/>
          </w:tcPr>
          <w:p w14:paraId="4E921388">
            <w:pPr>
              <w:jc w:val="center"/>
              <w:rPr>
                <w:rFonts w:ascii="仿宋" w:hAnsi="仿宋" w:eastAsia="仿宋" w:cs="仿宋"/>
                <w:color w:val="auto"/>
                <w:sz w:val="24"/>
                <w:szCs w:val="24"/>
                <w:highlight w:val="none"/>
              </w:rPr>
            </w:pPr>
          </w:p>
        </w:tc>
        <w:tc>
          <w:tcPr>
            <w:tcW w:w="1438" w:type="dxa"/>
            <w:vAlign w:val="center"/>
          </w:tcPr>
          <w:p w14:paraId="6839E434">
            <w:pPr>
              <w:jc w:val="center"/>
              <w:rPr>
                <w:rFonts w:ascii="仿宋" w:hAnsi="仿宋" w:eastAsia="仿宋" w:cs="仿宋"/>
                <w:color w:val="auto"/>
                <w:sz w:val="24"/>
                <w:szCs w:val="24"/>
                <w:highlight w:val="none"/>
              </w:rPr>
            </w:pPr>
          </w:p>
        </w:tc>
        <w:tc>
          <w:tcPr>
            <w:tcW w:w="820" w:type="dxa"/>
            <w:vAlign w:val="center"/>
          </w:tcPr>
          <w:p w14:paraId="6A5E26BA">
            <w:pPr>
              <w:jc w:val="center"/>
              <w:rPr>
                <w:rFonts w:ascii="仿宋" w:hAnsi="仿宋" w:eastAsia="仿宋" w:cs="仿宋"/>
                <w:color w:val="auto"/>
                <w:sz w:val="24"/>
                <w:szCs w:val="24"/>
                <w:highlight w:val="none"/>
              </w:rPr>
            </w:pPr>
          </w:p>
        </w:tc>
      </w:tr>
      <w:tr w14:paraId="474A8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5F337488">
            <w:pPr>
              <w:pStyle w:val="28"/>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lang w:eastAsia="zh-CN"/>
              </w:rPr>
              <w:t>..</w:t>
            </w:r>
          </w:p>
        </w:tc>
        <w:tc>
          <w:tcPr>
            <w:tcW w:w="1266" w:type="dxa"/>
            <w:vAlign w:val="center"/>
          </w:tcPr>
          <w:p w14:paraId="26869A10">
            <w:pPr>
              <w:jc w:val="center"/>
              <w:rPr>
                <w:rFonts w:ascii="仿宋" w:hAnsi="仿宋" w:eastAsia="仿宋" w:cs="仿宋"/>
                <w:color w:val="auto"/>
                <w:sz w:val="24"/>
                <w:szCs w:val="24"/>
                <w:highlight w:val="none"/>
              </w:rPr>
            </w:pPr>
          </w:p>
        </w:tc>
        <w:tc>
          <w:tcPr>
            <w:tcW w:w="1295" w:type="dxa"/>
            <w:vAlign w:val="center"/>
          </w:tcPr>
          <w:p w14:paraId="5CB5708B">
            <w:pPr>
              <w:jc w:val="center"/>
              <w:rPr>
                <w:rFonts w:ascii="仿宋" w:hAnsi="仿宋" w:eastAsia="仿宋" w:cs="仿宋"/>
                <w:color w:val="auto"/>
                <w:sz w:val="24"/>
                <w:szCs w:val="24"/>
                <w:highlight w:val="none"/>
              </w:rPr>
            </w:pPr>
          </w:p>
        </w:tc>
        <w:tc>
          <w:tcPr>
            <w:tcW w:w="1772" w:type="dxa"/>
            <w:vAlign w:val="center"/>
          </w:tcPr>
          <w:p w14:paraId="51225ED4">
            <w:pPr>
              <w:jc w:val="center"/>
              <w:rPr>
                <w:rFonts w:ascii="仿宋" w:hAnsi="仿宋" w:eastAsia="仿宋" w:cs="仿宋"/>
                <w:color w:val="auto"/>
                <w:sz w:val="24"/>
                <w:szCs w:val="24"/>
                <w:highlight w:val="none"/>
              </w:rPr>
            </w:pPr>
          </w:p>
        </w:tc>
        <w:tc>
          <w:tcPr>
            <w:tcW w:w="1887" w:type="dxa"/>
            <w:vAlign w:val="center"/>
          </w:tcPr>
          <w:p w14:paraId="6F4D9749">
            <w:pPr>
              <w:jc w:val="center"/>
              <w:rPr>
                <w:rFonts w:ascii="仿宋" w:hAnsi="仿宋" w:eastAsia="仿宋" w:cs="仿宋"/>
                <w:color w:val="auto"/>
                <w:sz w:val="24"/>
                <w:szCs w:val="24"/>
                <w:highlight w:val="none"/>
              </w:rPr>
            </w:pPr>
          </w:p>
        </w:tc>
        <w:tc>
          <w:tcPr>
            <w:tcW w:w="1438" w:type="dxa"/>
            <w:vAlign w:val="center"/>
          </w:tcPr>
          <w:p w14:paraId="2588B9E1">
            <w:pPr>
              <w:jc w:val="center"/>
              <w:rPr>
                <w:rFonts w:ascii="仿宋" w:hAnsi="仿宋" w:eastAsia="仿宋" w:cs="仿宋"/>
                <w:color w:val="auto"/>
                <w:sz w:val="24"/>
                <w:szCs w:val="24"/>
                <w:highlight w:val="none"/>
              </w:rPr>
            </w:pPr>
          </w:p>
        </w:tc>
        <w:tc>
          <w:tcPr>
            <w:tcW w:w="820" w:type="dxa"/>
            <w:vAlign w:val="center"/>
          </w:tcPr>
          <w:p w14:paraId="125DAFE1">
            <w:pPr>
              <w:jc w:val="center"/>
              <w:rPr>
                <w:rFonts w:ascii="仿宋" w:hAnsi="仿宋" w:eastAsia="仿宋" w:cs="仿宋"/>
                <w:color w:val="auto"/>
                <w:sz w:val="24"/>
                <w:szCs w:val="24"/>
                <w:highlight w:val="none"/>
              </w:rPr>
            </w:pPr>
          </w:p>
        </w:tc>
      </w:tr>
      <w:tr w14:paraId="77BD3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8" w:hRule="atLeast"/>
        </w:trPr>
        <w:tc>
          <w:tcPr>
            <w:tcW w:w="778" w:type="dxa"/>
            <w:vAlign w:val="center"/>
          </w:tcPr>
          <w:p w14:paraId="208E7630">
            <w:pPr>
              <w:pStyle w:val="28"/>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lang w:eastAsia="zh-CN"/>
              </w:rPr>
              <w:t>..</w:t>
            </w:r>
          </w:p>
        </w:tc>
        <w:tc>
          <w:tcPr>
            <w:tcW w:w="1266" w:type="dxa"/>
            <w:vAlign w:val="center"/>
          </w:tcPr>
          <w:p w14:paraId="21A7CC3B">
            <w:pPr>
              <w:jc w:val="center"/>
              <w:rPr>
                <w:rFonts w:ascii="仿宋" w:hAnsi="仿宋" w:eastAsia="仿宋" w:cs="仿宋"/>
                <w:color w:val="auto"/>
                <w:sz w:val="24"/>
                <w:szCs w:val="24"/>
                <w:highlight w:val="none"/>
              </w:rPr>
            </w:pPr>
          </w:p>
        </w:tc>
        <w:tc>
          <w:tcPr>
            <w:tcW w:w="1295" w:type="dxa"/>
            <w:vAlign w:val="center"/>
          </w:tcPr>
          <w:p w14:paraId="66CB8911">
            <w:pPr>
              <w:jc w:val="center"/>
              <w:rPr>
                <w:rFonts w:ascii="仿宋" w:hAnsi="仿宋" w:eastAsia="仿宋" w:cs="仿宋"/>
                <w:color w:val="auto"/>
                <w:sz w:val="24"/>
                <w:szCs w:val="24"/>
                <w:highlight w:val="none"/>
              </w:rPr>
            </w:pPr>
          </w:p>
        </w:tc>
        <w:tc>
          <w:tcPr>
            <w:tcW w:w="1772" w:type="dxa"/>
            <w:vAlign w:val="center"/>
          </w:tcPr>
          <w:p w14:paraId="2E775FF6">
            <w:pPr>
              <w:jc w:val="center"/>
              <w:rPr>
                <w:rFonts w:ascii="仿宋" w:hAnsi="仿宋" w:eastAsia="仿宋" w:cs="仿宋"/>
                <w:color w:val="auto"/>
                <w:sz w:val="24"/>
                <w:szCs w:val="24"/>
                <w:highlight w:val="none"/>
              </w:rPr>
            </w:pPr>
          </w:p>
        </w:tc>
        <w:tc>
          <w:tcPr>
            <w:tcW w:w="1887" w:type="dxa"/>
            <w:vAlign w:val="center"/>
          </w:tcPr>
          <w:p w14:paraId="26A76887">
            <w:pPr>
              <w:jc w:val="center"/>
              <w:rPr>
                <w:rFonts w:ascii="仿宋" w:hAnsi="仿宋" w:eastAsia="仿宋" w:cs="仿宋"/>
                <w:color w:val="auto"/>
                <w:sz w:val="24"/>
                <w:szCs w:val="24"/>
                <w:highlight w:val="none"/>
              </w:rPr>
            </w:pPr>
          </w:p>
        </w:tc>
        <w:tc>
          <w:tcPr>
            <w:tcW w:w="1438" w:type="dxa"/>
            <w:vAlign w:val="center"/>
          </w:tcPr>
          <w:p w14:paraId="18238746">
            <w:pPr>
              <w:jc w:val="center"/>
              <w:rPr>
                <w:rFonts w:ascii="仿宋" w:hAnsi="仿宋" w:eastAsia="仿宋" w:cs="仿宋"/>
                <w:color w:val="auto"/>
                <w:sz w:val="24"/>
                <w:szCs w:val="24"/>
                <w:highlight w:val="none"/>
              </w:rPr>
            </w:pPr>
          </w:p>
        </w:tc>
        <w:tc>
          <w:tcPr>
            <w:tcW w:w="820" w:type="dxa"/>
            <w:vAlign w:val="center"/>
          </w:tcPr>
          <w:p w14:paraId="7F4B9E6A">
            <w:pPr>
              <w:jc w:val="center"/>
              <w:rPr>
                <w:rFonts w:ascii="仿宋" w:hAnsi="仿宋" w:eastAsia="仿宋" w:cs="仿宋"/>
                <w:color w:val="auto"/>
                <w:sz w:val="24"/>
                <w:szCs w:val="24"/>
                <w:highlight w:val="none"/>
              </w:rPr>
            </w:pPr>
          </w:p>
        </w:tc>
      </w:tr>
    </w:tbl>
    <w:p w14:paraId="2E4DF9EE">
      <w:pPr>
        <w:rPr>
          <w:rFonts w:ascii="仿宋" w:hAnsi="仿宋" w:eastAsia="仿宋" w:cs="仿宋"/>
          <w:color w:val="auto"/>
          <w:highlight w:val="none"/>
        </w:rPr>
      </w:pPr>
    </w:p>
    <w:p w14:paraId="3E58FFD6">
      <w:pPr>
        <w:spacing w:line="273" w:lineRule="auto"/>
        <w:rPr>
          <w:rFonts w:ascii="仿宋" w:hAnsi="仿宋" w:eastAsia="仿宋" w:cs="仿宋"/>
          <w:color w:val="auto"/>
          <w:highlight w:val="none"/>
        </w:rPr>
      </w:pPr>
    </w:p>
    <w:p w14:paraId="6F38F3AB">
      <w:pPr>
        <w:spacing w:line="248" w:lineRule="auto"/>
        <w:rPr>
          <w:rFonts w:ascii="仿宋" w:hAnsi="仿宋" w:eastAsia="仿宋" w:cs="仿宋"/>
          <w:color w:val="auto"/>
          <w:highlight w:val="none"/>
          <w:lang w:eastAsia="zh-CN"/>
        </w:rPr>
      </w:pPr>
      <w:bookmarkStart w:id="494" w:name="bookmark272"/>
      <w:bookmarkEnd w:id="494"/>
      <w:bookmarkStart w:id="495" w:name="bookmark271"/>
      <w:bookmarkEnd w:id="495"/>
    </w:p>
    <w:p w14:paraId="0FAEDBB2">
      <w:pPr>
        <w:spacing w:line="248" w:lineRule="auto"/>
        <w:rPr>
          <w:rFonts w:ascii="仿宋" w:hAnsi="仿宋" w:eastAsia="仿宋" w:cs="仿宋"/>
          <w:color w:val="auto"/>
          <w:highlight w:val="none"/>
          <w:lang w:eastAsia="zh-CN"/>
        </w:rPr>
      </w:pPr>
    </w:p>
    <w:p w14:paraId="59E0CF2F">
      <w:pPr>
        <w:spacing w:line="248" w:lineRule="auto"/>
        <w:rPr>
          <w:rFonts w:ascii="仿宋" w:hAnsi="仿宋" w:eastAsia="仿宋" w:cs="仿宋"/>
          <w:color w:val="auto"/>
          <w:highlight w:val="none"/>
          <w:lang w:eastAsia="zh-CN"/>
        </w:rPr>
      </w:pPr>
    </w:p>
    <w:p w14:paraId="04EFD223">
      <w:pPr>
        <w:spacing w:line="249" w:lineRule="auto"/>
        <w:rPr>
          <w:rFonts w:ascii="仿宋" w:hAnsi="仿宋" w:eastAsia="仿宋" w:cs="仿宋"/>
          <w:color w:val="auto"/>
          <w:highlight w:val="none"/>
          <w:lang w:eastAsia="zh-CN"/>
        </w:rPr>
      </w:pPr>
    </w:p>
    <w:p w14:paraId="0ADAD9AA">
      <w:pPr>
        <w:rPr>
          <w:rFonts w:ascii="仿宋" w:hAnsi="仿宋" w:eastAsia="仿宋" w:cs="仿宋"/>
          <w:b/>
          <w:bCs/>
          <w:color w:val="auto"/>
          <w:spacing w:val="4"/>
          <w:sz w:val="31"/>
          <w:szCs w:val="31"/>
          <w:highlight w:val="none"/>
          <w:lang w:eastAsia="zh-CN"/>
        </w:rPr>
      </w:pPr>
      <w:bookmarkStart w:id="496" w:name="bookmark273"/>
      <w:bookmarkEnd w:id="496"/>
      <w:bookmarkStart w:id="497" w:name="bookmark274"/>
      <w:bookmarkEnd w:id="497"/>
      <w:bookmarkStart w:id="498" w:name="_Toc11103"/>
      <w:bookmarkStart w:id="499" w:name="_Toc186477822"/>
      <w:r>
        <w:rPr>
          <w:rFonts w:hint="eastAsia" w:ascii="仿宋" w:hAnsi="仿宋" w:eastAsia="仿宋" w:cs="仿宋"/>
          <w:b/>
          <w:bCs/>
          <w:color w:val="auto"/>
          <w:spacing w:val="4"/>
          <w:sz w:val="31"/>
          <w:szCs w:val="31"/>
          <w:highlight w:val="none"/>
          <w:lang w:eastAsia="zh-CN"/>
        </w:rPr>
        <w:br w:type="page"/>
      </w:r>
    </w:p>
    <w:p w14:paraId="31F249B1">
      <w:pPr>
        <w:spacing w:before="101" w:line="225" w:lineRule="auto"/>
        <w:ind w:left="3217"/>
        <w:outlineLvl w:val="1"/>
        <w:rPr>
          <w:rFonts w:ascii="仿宋" w:hAnsi="仿宋" w:eastAsia="仿宋" w:cs="仿宋"/>
          <w:color w:val="auto"/>
          <w:sz w:val="31"/>
          <w:szCs w:val="31"/>
          <w:highlight w:val="none"/>
          <w:lang w:eastAsia="zh-CN"/>
        </w:rPr>
      </w:pPr>
      <w:r>
        <w:rPr>
          <w:rFonts w:hint="eastAsia" w:ascii="仿宋" w:hAnsi="仿宋" w:eastAsia="仿宋" w:cs="仿宋"/>
          <w:b/>
          <w:bCs/>
          <w:color w:val="auto"/>
          <w:spacing w:val="4"/>
          <w:sz w:val="31"/>
          <w:szCs w:val="31"/>
          <w:highlight w:val="none"/>
          <w:lang w:eastAsia="zh-CN"/>
        </w:rPr>
        <w:t>八、技术方案</w:t>
      </w:r>
      <w:bookmarkEnd w:id="498"/>
      <w:bookmarkEnd w:id="499"/>
    </w:p>
    <w:p w14:paraId="50E3C704">
      <w:pPr>
        <w:spacing w:before="308" w:line="346" w:lineRule="auto"/>
        <w:ind w:left="25" w:right="13"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投标人应按照招标文件的要求，提供详细的供货及相关服</w:t>
      </w:r>
      <w:r>
        <w:rPr>
          <w:rFonts w:hint="eastAsia" w:ascii="仿宋" w:hAnsi="仿宋" w:eastAsia="仿宋" w:cs="仿宋"/>
          <w:color w:val="auto"/>
          <w:spacing w:val="-4"/>
          <w:sz w:val="24"/>
          <w:szCs w:val="24"/>
          <w:highlight w:val="none"/>
          <w:lang w:eastAsia="zh-CN"/>
        </w:rPr>
        <w:t>务方案，包括文字</w:t>
      </w:r>
      <w:r>
        <w:rPr>
          <w:rFonts w:hint="eastAsia" w:ascii="仿宋" w:hAnsi="仿宋" w:eastAsia="仿宋" w:cs="仿宋"/>
          <w:color w:val="auto"/>
          <w:spacing w:val="-1"/>
          <w:sz w:val="24"/>
          <w:szCs w:val="24"/>
          <w:highlight w:val="none"/>
          <w:lang w:eastAsia="zh-CN"/>
        </w:rPr>
        <w:t>描述或图表显示。格式自拟。</w:t>
      </w:r>
    </w:p>
    <w:p w14:paraId="48BF91E7">
      <w:pPr>
        <w:spacing w:line="248" w:lineRule="auto"/>
        <w:rPr>
          <w:rFonts w:ascii="仿宋" w:hAnsi="仿宋" w:eastAsia="仿宋" w:cs="仿宋"/>
          <w:color w:val="auto"/>
          <w:highlight w:val="none"/>
          <w:lang w:eastAsia="zh-CN"/>
        </w:rPr>
      </w:pPr>
    </w:p>
    <w:p w14:paraId="27A22B43">
      <w:pPr>
        <w:spacing w:before="101" w:line="225" w:lineRule="auto"/>
        <w:ind w:left="3056"/>
        <w:outlineLvl w:val="1"/>
        <w:rPr>
          <w:rFonts w:ascii="仿宋" w:hAnsi="仿宋" w:eastAsia="仿宋" w:cs="仿宋"/>
          <w:color w:val="auto"/>
          <w:sz w:val="31"/>
          <w:szCs w:val="31"/>
          <w:highlight w:val="none"/>
          <w:lang w:eastAsia="zh-CN"/>
        </w:rPr>
      </w:pPr>
      <w:bookmarkStart w:id="500" w:name="bookmark276"/>
      <w:bookmarkEnd w:id="500"/>
      <w:bookmarkStart w:id="501" w:name="_Toc29725"/>
      <w:bookmarkStart w:id="502" w:name="_Toc186477823"/>
      <w:r>
        <w:rPr>
          <w:rFonts w:hint="eastAsia" w:ascii="仿宋" w:hAnsi="仿宋" w:eastAsia="仿宋" w:cs="仿宋"/>
          <w:b/>
          <w:bCs/>
          <w:color w:val="auto"/>
          <w:spacing w:val="5"/>
          <w:sz w:val="31"/>
          <w:szCs w:val="31"/>
          <w:highlight w:val="none"/>
          <w:lang w:eastAsia="zh-CN"/>
        </w:rPr>
        <w:t>九、其他文件</w:t>
      </w:r>
      <w:bookmarkEnd w:id="501"/>
      <w:bookmarkEnd w:id="502"/>
    </w:p>
    <w:p w14:paraId="00656653">
      <w:pPr>
        <w:spacing w:line="271" w:lineRule="auto"/>
        <w:rPr>
          <w:rFonts w:ascii="仿宋" w:hAnsi="仿宋" w:eastAsia="仿宋" w:cs="仿宋"/>
          <w:color w:val="auto"/>
          <w:highlight w:val="none"/>
          <w:lang w:eastAsia="zh-CN"/>
        </w:rPr>
      </w:pPr>
    </w:p>
    <w:p w14:paraId="0436E2A6">
      <w:pPr>
        <w:spacing w:before="91" w:line="360" w:lineRule="auto"/>
        <w:ind w:left="33"/>
        <w:rPr>
          <w:rFonts w:ascii="仿宋" w:hAnsi="仿宋" w:eastAsia="仿宋" w:cs="仿宋"/>
          <w:color w:val="auto"/>
          <w:sz w:val="28"/>
          <w:szCs w:val="28"/>
          <w:highlight w:val="none"/>
          <w:lang w:eastAsia="zh-CN"/>
        </w:rPr>
      </w:pPr>
      <w:r>
        <w:rPr>
          <w:rFonts w:hint="eastAsia" w:ascii="仿宋" w:hAnsi="仿宋" w:eastAsia="仿宋" w:cs="仿宋"/>
          <w:b/>
          <w:bCs/>
          <w:color w:val="auto"/>
          <w:spacing w:val="-3"/>
          <w:sz w:val="28"/>
          <w:szCs w:val="28"/>
          <w:highlight w:val="none"/>
          <w:lang w:eastAsia="zh-CN"/>
        </w:rPr>
        <w:t>（一）招标文件要求提供的其它商务、技术资料和证明材料；</w:t>
      </w:r>
    </w:p>
    <w:p w14:paraId="2BE88584">
      <w:pPr>
        <w:spacing w:before="91" w:line="360" w:lineRule="auto"/>
        <w:ind w:left="33"/>
        <w:rPr>
          <w:rFonts w:ascii="仿宋" w:hAnsi="仿宋" w:eastAsia="仿宋" w:cs="仿宋"/>
          <w:bCs/>
          <w:color w:val="auto"/>
          <w:spacing w:val="-3"/>
          <w:sz w:val="28"/>
          <w:szCs w:val="28"/>
          <w:highlight w:val="none"/>
          <w:lang w:eastAsia="zh-CN"/>
        </w:rPr>
      </w:pPr>
      <w:r>
        <w:rPr>
          <w:rFonts w:hint="eastAsia" w:ascii="仿宋" w:hAnsi="仿宋" w:eastAsia="仿宋" w:cs="仿宋"/>
          <w:bCs/>
          <w:color w:val="auto"/>
          <w:spacing w:val="-3"/>
          <w:sz w:val="28"/>
          <w:szCs w:val="28"/>
          <w:highlight w:val="none"/>
          <w:lang w:eastAsia="zh-CN"/>
        </w:rPr>
        <w:t>1、投标（磋商）保证金缴纳凭证/保函</w:t>
      </w:r>
    </w:p>
    <w:p w14:paraId="251B3A2D">
      <w:pPr>
        <w:spacing w:before="91" w:line="360" w:lineRule="auto"/>
        <w:ind w:left="33"/>
        <w:rPr>
          <w:rFonts w:ascii="仿宋" w:hAnsi="仿宋" w:eastAsia="仿宋" w:cs="仿宋"/>
          <w:bCs/>
          <w:color w:val="auto"/>
          <w:spacing w:val="-3"/>
          <w:sz w:val="28"/>
          <w:szCs w:val="28"/>
          <w:highlight w:val="none"/>
          <w:lang w:eastAsia="zh-CN"/>
        </w:rPr>
      </w:pPr>
      <w:r>
        <w:rPr>
          <w:rFonts w:hint="eastAsia" w:ascii="仿宋" w:hAnsi="仿宋" w:eastAsia="仿宋" w:cs="仿宋"/>
          <w:bCs/>
          <w:color w:val="auto"/>
          <w:spacing w:val="-3"/>
          <w:sz w:val="28"/>
          <w:szCs w:val="28"/>
          <w:highlight w:val="none"/>
          <w:lang w:eastAsia="zh-CN"/>
        </w:rPr>
        <w:t>……</w:t>
      </w:r>
    </w:p>
    <w:p w14:paraId="7A48F1B9">
      <w:pPr>
        <w:spacing w:before="91" w:line="360" w:lineRule="auto"/>
        <w:ind w:left="33"/>
        <w:rPr>
          <w:rFonts w:ascii="仿宋" w:hAnsi="仿宋" w:eastAsia="仿宋" w:cs="仿宋"/>
          <w:bCs/>
          <w:color w:val="auto"/>
          <w:spacing w:val="-3"/>
          <w:sz w:val="28"/>
          <w:szCs w:val="28"/>
          <w:highlight w:val="none"/>
          <w:lang w:eastAsia="zh-CN"/>
        </w:rPr>
      </w:pPr>
    </w:p>
    <w:p w14:paraId="7C7D9E36">
      <w:pPr>
        <w:spacing w:before="91" w:line="360" w:lineRule="auto"/>
        <w:ind w:left="33"/>
        <w:rPr>
          <w:rFonts w:ascii="仿宋" w:hAnsi="仿宋" w:eastAsia="仿宋" w:cs="仿宋"/>
          <w:bCs/>
          <w:color w:val="auto"/>
          <w:spacing w:val="-3"/>
          <w:sz w:val="28"/>
          <w:szCs w:val="28"/>
          <w:highlight w:val="none"/>
          <w:lang w:eastAsia="zh-CN"/>
        </w:rPr>
      </w:pPr>
    </w:p>
    <w:p w14:paraId="0AD74012">
      <w:pPr>
        <w:spacing w:before="91" w:line="219" w:lineRule="auto"/>
        <w:ind w:left="33"/>
        <w:rPr>
          <w:rFonts w:ascii="仿宋" w:hAnsi="仿宋" w:eastAsia="仿宋" w:cs="仿宋"/>
          <w:b/>
          <w:bCs/>
          <w:color w:val="auto"/>
          <w:spacing w:val="-3"/>
          <w:sz w:val="28"/>
          <w:szCs w:val="28"/>
          <w:highlight w:val="none"/>
          <w:lang w:eastAsia="zh-CN"/>
        </w:rPr>
      </w:pPr>
      <w:r>
        <w:rPr>
          <w:rFonts w:hint="eastAsia" w:ascii="仿宋" w:hAnsi="仿宋" w:eastAsia="仿宋" w:cs="仿宋"/>
          <w:b/>
          <w:bCs/>
          <w:color w:val="auto"/>
          <w:spacing w:val="-3"/>
          <w:sz w:val="28"/>
          <w:szCs w:val="28"/>
          <w:highlight w:val="none"/>
          <w:lang w:eastAsia="zh-CN"/>
        </w:rPr>
        <w:t>（二）</w:t>
      </w:r>
      <w:bookmarkStart w:id="503" w:name="OLE_LINK51"/>
      <w:bookmarkStart w:id="504" w:name="OLE_LINK52"/>
      <w:r>
        <w:rPr>
          <w:rFonts w:hint="eastAsia" w:ascii="仿宋" w:hAnsi="仿宋" w:eastAsia="仿宋" w:cs="仿宋"/>
          <w:b/>
          <w:bCs/>
          <w:color w:val="auto"/>
          <w:spacing w:val="-3"/>
          <w:sz w:val="28"/>
          <w:szCs w:val="28"/>
          <w:highlight w:val="none"/>
          <w:lang w:eastAsia="zh-CN"/>
        </w:rPr>
        <w:t>投标人认为需要提供的其它商务、技术资料和说明。</w:t>
      </w:r>
      <w:bookmarkEnd w:id="503"/>
      <w:bookmarkEnd w:id="504"/>
    </w:p>
    <w:p w14:paraId="39C7C43A">
      <w:pPr>
        <w:widowControl w:val="0"/>
        <w:spacing w:after="240" w:line="264" w:lineRule="auto"/>
        <w:jc w:val="center"/>
        <w:rPr>
          <w:color w:val="auto"/>
          <w:highlight w:val="none"/>
          <w:lang w:eastAsia="zh-CN"/>
        </w:rPr>
      </w:pPr>
    </w:p>
    <w:sectPr>
      <w:pgSz w:w="11906" w:h="16839"/>
      <w:pgMar w:top="1219" w:right="1416" w:bottom="1389" w:left="1786" w:header="868" w:footer="1185"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FAFD7">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A4785">
    <w:pPr>
      <w:pStyle w:val="14"/>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EA1F8">
    <w:pPr>
      <w:pStyle w:val="14"/>
      <w:rPr>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DCF0D4">
                          <w:pPr>
                            <w:pStyle w:val="14"/>
                          </w:pPr>
                          <w:r>
                            <w:fldChar w:fldCharType="begin"/>
                          </w:r>
                          <w:r>
                            <w:instrText xml:space="preserve"> PAGE  \* MERGEFORMAT </w:instrText>
                          </w:r>
                          <w:r>
                            <w:fldChar w:fldCharType="separate"/>
                          </w:r>
                          <w:r>
                            <w:t>- 91 -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24DCF0D4">
                    <w:pPr>
                      <w:pStyle w:val="14"/>
                    </w:pPr>
                    <w:r>
                      <w:fldChar w:fldCharType="begin"/>
                    </w:r>
                    <w:r>
                      <w:instrText xml:space="preserve"> PAGE  \* MERGEFORMAT </w:instrText>
                    </w:r>
                    <w:r>
                      <w:fldChar w:fldCharType="separate"/>
                    </w:r>
                    <w:r>
                      <w:t>- 91 -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5E6ED">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47467016"/>
                          </w:sdtPr>
                          <w:sdtContent>
                            <w:p w14:paraId="2B1514B5">
                              <w:pPr>
                                <w:pStyle w:val="14"/>
                                <w:jc w:val="center"/>
                              </w:pPr>
                              <w:r>
                                <w:fldChar w:fldCharType="begin"/>
                              </w:r>
                              <w:r>
                                <w:instrText xml:space="preserve"> PAGE   \* MERGEFORMAT </w:instrText>
                              </w:r>
                              <w:r>
                                <w:fldChar w:fldCharType="separate"/>
                              </w:r>
                              <w:r>
                                <w:rPr>
                                  <w:lang w:val="zh-CN"/>
                                </w:rPr>
                                <w:t>-</w:t>
                              </w:r>
                              <w:r>
                                <w:t xml:space="preserve"> 160 -</w:t>
                              </w:r>
                              <w:r>
                                <w:rPr>
                                  <w:lang w:val="zh-CN"/>
                                </w:rPr>
                                <w:fldChar w:fldCharType="end"/>
                              </w:r>
                            </w:p>
                          </w:sdtContent>
                        </w:sdt>
                        <w:p w14:paraId="21847FC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sdt>
                    <w:sdtPr>
                      <w:id w:val="147467016"/>
                    </w:sdtPr>
                    <w:sdtContent>
                      <w:p w14:paraId="2B1514B5">
                        <w:pPr>
                          <w:pStyle w:val="14"/>
                          <w:jc w:val="center"/>
                        </w:pPr>
                        <w:r>
                          <w:fldChar w:fldCharType="begin"/>
                        </w:r>
                        <w:r>
                          <w:instrText xml:space="preserve"> PAGE   \* MERGEFORMAT </w:instrText>
                        </w:r>
                        <w:r>
                          <w:fldChar w:fldCharType="separate"/>
                        </w:r>
                        <w:r>
                          <w:rPr>
                            <w:lang w:val="zh-CN"/>
                          </w:rPr>
                          <w:t>-</w:t>
                        </w:r>
                        <w:r>
                          <w:t xml:space="preserve"> 160 -</w:t>
                        </w:r>
                        <w:r>
                          <w:rPr>
                            <w:lang w:val="zh-CN"/>
                          </w:rPr>
                          <w:fldChar w:fldCharType="end"/>
                        </w:r>
                      </w:p>
                    </w:sdtContent>
                  </w:sdt>
                  <w:p w14:paraId="21847FCC"/>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6B926">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C054D">
    <w:pPr>
      <w:pStyle w:val="15"/>
      <w:ind w:firstLine="540" w:firstLineChars="300"/>
      <w:jc w:val="both"/>
      <w:rPr>
        <w:lang w:eastAsia="zh-CN"/>
      </w:rPr>
    </w:pPr>
    <w:r>
      <w:rPr>
        <w:lang w:eastAsia="zh-CN"/>
      </w:rPr>
      <w:drawing>
        <wp:anchor distT="0" distB="0" distL="114300" distR="114300" simplePos="0" relativeHeight="251659264" behindDoc="0" locked="0" layoutInCell="1" allowOverlap="1">
          <wp:simplePos x="0" y="0"/>
          <wp:positionH relativeFrom="column">
            <wp:posOffset>25400</wp:posOffset>
          </wp:positionH>
          <wp:positionV relativeFrom="paragraph">
            <wp:posOffset>-62865</wp:posOffset>
          </wp:positionV>
          <wp:extent cx="267335" cy="225425"/>
          <wp:effectExtent l="0" t="0" r="18415"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67335" cy="225425"/>
                  </a:xfrm>
                  <a:prstGeom prst="rect">
                    <a:avLst/>
                  </a:prstGeom>
                  <a:noFill/>
                  <a:ln>
                    <a:noFill/>
                  </a:ln>
                </pic:spPr>
              </pic:pic>
            </a:graphicData>
          </a:graphic>
        </wp:anchor>
      </w:drawing>
    </w:r>
    <w:r>
      <w:rPr>
        <w:rFonts w:hint="eastAsia" w:ascii="仿宋" w:hAnsi="仿宋" w:eastAsia="仿宋"/>
        <w:b/>
        <w:bCs/>
        <w:sz w:val="21"/>
        <w:szCs w:val="21"/>
        <w:lang w:eastAsia="zh-CN"/>
      </w:rPr>
      <w:t>新疆新诚泰工程咨询有限公司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1EDA">
    <w:pPr>
      <w:pStyle w:val="15"/>
      <w:jc w:val="right"/>
      <w:rPr>
        <w:lang w:eastAsia="zh-CN"/>
      </w:rPr>
    </w:pPr>
    <w:r>
      <w:rPr>
        <w:rFonts w:hint="eastAsia"/>
        <w:lang w:eastAsia="zh-CN"/>
      </w:rPr>
      <w:t>新疆新诚泰工程咨询有限公司</w:t>
    </w:r>
  </w:p>
  <w:p w14:paraId="3C0CB60D">
    <w:pPr>
      <w:spacing w:before="21" w:line="219" w:lineRule="auto"/>
      <w:ind w:right="28"/>
      <w:jc w:val="right"/>
      <w:rPr>
        <w:rFonts w:ascii="宋体" w:hAnsi="宋体" w:eastAsia="宋体" w:cs="宋体"/>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220A2"/>
    <w:multiLevelType w:val="singleLevel"/>
    <w:tmpl w:val="868220A2"/>
    <w:lvl w:ilvl="0" w:tentative="0">
      <w:start w:val="17"/>
      <w:numFmt w:val="decimal"/>
      <w:lvlText w:val="%1."/>
      <w:lvlJc w:val="left"/>
      <w:pPr>
        <w:tabs>
          <w:tab w:val="left" w:pos="312"/>
        </w:tabs>
      </w:pPr>
    </w:lvl>
  </w:abstractNum>
  <w:abstractNum w:abstractNumId="1">
    <w:nsid w:val="AB41943D"/>
    <w:multiLevelType w:val="singleLevel"/>
    <w:tmpl w:val="AB41943D"/>
    <w:lvl w:ilvl="0" w:tentative="0">
      <w:start w:val="4"/>
      <w:numFmt w:val="decimal"/>
      <w:lvlText w:val="%1."/>
      <w:lvlJc w:val="left"/>
      <w:pPr>
        <w:tabs>
          <w:tab w:val="left" w:pos="312"/>
        </w:tabs>
      </w:pPr>
    </w:lvl>
  </w:abstractNum>
  <w:abstractNum w:abstractNumId="2">
    <w:nsid w:val="B6EB12C8"/>
    <w:multiLevelType w:val="singleLevel"/>
    <w:tmpl w:val="B6EB12C8"/>
    <w:lvl w:ilvl="0" w:tentative="0">
      <w:start w:val="23"/>
      <w:numFmt w:val="decimal"/>
      <w:lvlText w:val="%1."/>
      <w:lvlJc w:val="left"/>
      <w:pPr>
        <w:tabs>
          <w:tab w:val="left" w:pos="312"/>
        </w:tabs>
      </w:pPr>
    </w:lvl>
  </w:abstractNum>
  <w:abstractNum w:abstractNumId="3">
    <w:nsid w:val="BE254887"/>
    <w:multiLevelType w:val="singleLevel"/>
    <w:tmpl w:val="BE254887"/>
    <w:lvl w:ilvl="0" w:tentative="0">
      <w:start w:val="1"/>
      <w:numFmt w:val="decimal"/>
      <w:lvlText w:val="%1."/>
      <w:lvlJc w:val="left"/>
      <w:pPr>
        <w:tabs>
          <w:tab w:val="left" w:pos="312"/>
        </w:tabs>
      </w:pPr>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615DA15"/>
    <w:multiLevelType w:val="singleLevel"/>
    <w:tmpl w:val="C615DA15"/>
    <w:lvl w:ilvl="0" w:tentative="0">
      <w:start w:val="1"/>
      <w:numFmt w:val="decimal"/>
      <w:lvlText w:val="%1."/>
      <w:lvlJc w:val="left"/>
      <w:pPr>
        <w:tabs>
          <w:tab w:val="left" w:pos="312"/>
        </w:tabs>
      </w:pPr>
    </w:lvl>
  </w:abstractNum>
  <w:abstractNum w:abstractNumId="6">
    <w:nsid w:val="CEC939A0"/>
    <w:multiLevelType w:val="singleLevel"/>
    <w:tmpl w:val="CEC939A0"/>
    <w:lvl w:ilvl="0" w:tentative="0">
      <w:start w:val="1"/>
      <w:numFmt w:val="decimal"/>
      <w:suff w:val="nothing"/>
      <w:lvlText w:val="%1、"/>
      <w:lvlJc w:val="left"/>
    </w:lvl>
  </w:abstractNum>
  <w:abstractNum w:abstractNumId="7">
    <w:nsid w:val="D4868D62"/>
    <w:multiLevelType w:val="singleLevel"/>
    <w:tmpl w:val="D4868D62"/>
    <w:lvl w:ilvl="0" w:tentative="0">
      <w:start w:val="1"/>
      <w:numFmt w:val="decimal"/>
      <w:suff w:val="nothing"/>
      <w:lvlText w:val="%1、"/>
      <w:lvlJc w:val="left"/>
    </w:lvl>
  </w:abstractNum>
  <w:abstractNum w:abstractNumId="8">
    <w:nsid w:val="DDECD3BC"/>
    <w:multiLevelType w:val="singleLevel"/>
    <w:tmpl w:val="DDECD3BC"/>
    <w:lvl w:ilvl="0" w:tentative="0">
      <w:start w:val="6"/>
      <w:numFmt w:val="decimal"/>
      <w:suff w:val="space"/>
      <w:lvlText w:val="%1."/>
      <w:lvlJc w:val="left"/>
    </w:lvl>
  </w:abstractNum>
  <w:abstractNum w:abstractNumId="9">
    <w:nsid w:val="DE759F4B"/>
    <w:multiLevelType w:val="singleLevel"/>
    <w:tmpl w:val="DE759F4B"/>
    <w:lvl w:ilvl="0" w:tentative="0">
      <w:start w:val="2"/>
      <w:numFmt w:val="decimal"/>
      <w:suff w:val="space"/>
      <w:lvlText w:val="%1."/>
      <w:lvlJc w:val="left"/>
    </w:lvl>
  </w:abstractNum>
  <w:abstractNum w:abstractNumId="10">
    <w:nsid w:val="DEABE1DB"/>
    <w:multiLevelType w:val="singleLevel"/>
    <w:tmpl w:val="DEABE1DB"/>
    <w:lvl w:ilvl="0" w:tentative="0">
      <w:start w:val="23"/>
      <w:numFmt w:val="decimal"/>
      <w:suff w:val="space"/>
      <w:lvlText w:val="%1."/>
      <w:lvlJc w:val="left"/>
    </w:lvl>
  </w:abstractNum>
  <w:abstractNum w:abstractNumId="11">
    <w:nsid w:val="E4F444E8"/>
    <w:multiLevelType w:val="singleLevel"/>
    <w:tmpl w:val="E4F444E8"/>
    <w:lvl w:ilvl="0" w:tentative="0">
      <w:start w:val="1"/>
      <w:numFmt w:val="chineseCounting"/>
      <w:suff w:val="nothing"/>
      <w:lvlText w:val="%1、"/>
      <w:lvlJc w:val="left"/>
      <w:rPr>
        <w:rFonts w:hint="eastAsia"/>
        <w:color w:val="auto"/>
      </w:rPr>
    </w:lvl>
  </w:abstractNum>
  <w:abstractNum w:abstractNumId="12">
    <w:nsid w:val="F981F65C"/>
    <w:multiLevelType w:val="singleLevel"/>
    <w:tmpl w:val="F981F65C"/>
    <w:lvl w:ilvl="0" w:tentative="0">
      <w:start w:val="1"/>
      <w:numFmt w:val="decimal"/>
      <w:lvlText w:val="%1."/>
      <w:lvlJc w:val="left"/>
      <w:pPr>
        <w:ind w:left="425" w:hanging="425"/>
      </w:pPr>
      <w:rPr>
        <w:rFonts w:hint="default"/>
      </w:rPr>
    </w:lvl>
  </w:abstractNum>
  <w:abstractNum w:abstractNumId="13">
    <w:nsid w:val="FFEFC674"/>
    <w:multiLevelType w:val="singleLevel"/>
    <w:tmpl w:val="FFEFC674"/>
    <w:lvl w:ilvl="0" w:tentative="0">
      <w:start w:val="1"/>
      <w:numFmt w:val="decimal"/>
      <w:suff w:val="nothing"/>
      <w:lvlText w:val="（%1）"/>
      <w:lvlJc w:val="left"/>
    </w:lvl>
  </w:abstractNum>
  <w:abstractNum w:abstractNumId="14">
    <w:nsid w:val="00E5CB9B"/>
    <w:multiLevelType w:val="singleLevel"/>
    <w:tmpl w:val="00E5CB9B"/>
    <w:lvl w:ilvl="0" w:tentative="0">
      <w:start w:val="2"/>
      <w:numFmt w:val="decimal"/>
      <w:suff w:val="space"/>
      <w:lvlText w:val="%1."/>
      <w:lvlJc w:val="left"/>
    </w:lvl>
  </w:abstractNum>
  <w:abstractNum w:abstractNumId="15">
    <w:nsid w:val="15AFFD9C"/>
    <w:multiLevelType w:val="singleLevel"/>
    <w:tmpl w:val="15AFFD9C"/>
    <w:lvl w:ilvl="0" w:tentative="0">
      <w:start w:val="14"/>
      <w:numFmt w:val="decimal"/>
      <w:lvlText w:val="%1."/>
      <w:lvlJc w:val="left"/>
      <w:pPr>
        <w:tabs>
          <w:tab w:val="left" w:pos="312"/>
        </w:tabs>
      </w:pPr>
    </w:lvl>
  </w:abstractNum>
  <w:abstractNum w:abstractNumId="16">
    <w:nsid w:val="22911BF8"/>
    <w:multiLevelType w:val="singleLevel"/>
    <w:tmpl w:val="22911BF8"/>
    <w:lvl w:ilvl="0" w:tentative="0">
      <w:start w:val="1"/>
      <w:numFmt w:val="decimal"/>
      <w:lvlText w:val="%1."/>
      <w:lvlJc w:val="left"/>
      <w:pPr>
        <w:tabs>
          <w:tab w:val="left" w:pos="312"/>
        </w:tabs>
      </w:pPr>
    </w:lvl>
  </w:abstractNum>
  <w:abstractNum w:abstractNumId="17">
    <w:nsid w:val="31634186"/>
    <w:multiLevelType w:val="singleLevel"/>
    <w:tmpl w:val="31634186"/>
    <w:lvl w:ilvl="0" w:tentative="0">
      <w:start w:val="2"/>
      <w:numFmt w:val="chineseCounting"/>
      <w:suff w:val="nothing"/>
      <w:lvlText w:val="%1、"/>
      <w:lvlJc w:val="left"/>
      <w:rPr>
        <w:rFonts w:hint="eastAsia"/>
      </w:rPr>
    </w:lvl>
  </w:abstractNum>
  <w:abstractNum w:abstractNumId="18">
    <w:nsid w:val="3520FD9A"/>
    <w:multiLevelType w:val="singleLevel"/>
    <w:tmpl w:val="3520FD9A"/>
    <w:lvl w:ilvl="0" w:tentative="0">
      <w:start w:val="1"/>
      <w:numFmt w:val="decimal"/>
      <w:suff w:val="nothing"/>
      <w:lvlText w:val="%1、"/>
      <w:lvlJc w:val="left"/>
    </w:lvl>
  </w:abstractNum>
  <w:abstractNum w:abstractNumId="19">
    <w:nsid w:val="3A41EC10"/>
    <w:multiLevelType w:val="singleLevel"/>
    <w:tmpl w:val="3A41EC10"/>
    <w:lvl w:ilvl="0" w:tentative="0">
      <w:start w:val="10"/>
      <w:numFmt w:val="decimal"/>
      <w:lvlText w:val="%1."/>
      <w:lvlJc w:val="left"/>
      <w:pPr>
        <w:tabs>
          <w:tab w:val="left" w:pos="312"/>
        </w:tabs>
      </w:pPr>
    </w:lvl>
  </w:abstractNum>
  <w:abstractNum w:abstractNumId="20">
    <w:nsid w:val="5113C8E8"/>
    <w:multiLevelType w:val="singleLevel"/>
    <w:tmpl w:val="5113C8E8"/>
    <w:lvl w:ilvl="0" w:tentative="0">
      <w:start w:val="1"/>
      <w:numFmt w:val="decimal"/>
      <w:lvlText w:val="%1."/>
      <w:lvlJc w:val="left"/>
      <w:pPr>
        <w:tabs>
          <w:tab w:val="left" w:pos="312"/>
        </w:tabs>
      </w:pPr>
    </w:lvl>
  </w:abstractNum>
  <w:abstractNum w:abstractNumId="21">
    <w:nsid w:val="51EA5993"/>
    <w:multiLevelType w:val="singleLevel"/>
    <w:tmpl w:val="51EA5993"/>
    <w:lvl w:ilvl="0" w:tentative="0">
      <w:start w:val="4"/>
      <w:numFmt w:val="decimal"/>
      <w:suff w:val="nothing"/>
      <w:lvlText w:val="（%1）"/>
      <w:lvlJc w:val="left"/>
    </w:lvl>
  </w:abstractNum>
  <w:abstractNum w:abstractNumId="22">
    <w:nsid w:val="6DB43D9B"/>
    <w:multiLevelType w:val="singleLevel"/>
    <w:tmpl w:val="6DB43D9B"/>
    <w:lvl w:ilvl="0" w:tentative="0">
      <w:start w:val="2"/>
      <w:numFmt w:val="decimal"/>
      <w:suff w:val="nothing"/>
      <w:lvlText w:val="（%1）"/>
      <w:lvlJc w:val="left"/>
    </w:lvl>
  </w:abstractNum>
  <w:abstractNum w:abstractNumId="23">
    <w:nsid w:val="6E54A65B"/>
    <w:multiLevelType w:val="singleLevel"/>
    <w:tmpl w:val="6E54A65B"/>
    <w:lvl w:ilvl="0" w:tentative="0">
      <w:start w:val="7"/>
      <w:numFmt w:val="decimal"/>
      <w:lvlText w:val="%1."/>
      <w:lvlJc w:val="left"/>
      <w:pPr>
        <w:tabs>
          <w:tab w:val="left" w:pos="312"/>
        </w:tabs>
      </w:pPr>
    </w:lvl>
  </w:abstractNum>
  <w:abstractNum w:abstractNumId="24">
    <w:nsid w:val="75505790"/>
    <w:multiLevelType w:val="singleLevel"/>
    <w:tmpl w:val="75505790"/>
    <w:lvl w:ilvl="0" w:tentative="0">
      <w:start w:val="1"/>
      <w:numFmt w:val="decimal"/>
      <w:lvlText w:val="%1."/>
      <w:lvlJc w:val="left"/>
      <w:pPr>
        <w:tabs>
          <w:tab w:val="left" w:pos="312"/>
        </w:tabs>
      </w:pPr>
    </w:lvl>
  </w:abstractNum>
  <w:num w:numId="1">
    <w:abstractNumId w:val="14"/>
  </w:num>
  <w:num w:numId="2">
    <w:abstractNumId w:val="22"/>
  </w:num>
  <w:num w:numId="3">
    <w:abstractNumId w:val="6"/>
  </w:num>
  <w:num w:numId="4">
    <w:abstractNumId w:val="11"/>
  </w:num>
  <w:num w:numId="5">
    <w:abstractNumId w:val="24"/>
  </w:num>
  <w:num w:numId="6">
    <w:abstractNumId w:val="16"/>
  </w:num>
  <w:num w:numId="7">
    <w:abstractNumId w:val="1"/>
  </w:num>
  <w:num w:numId="8">
    <w:abstractNumId w:val="0"/>
  </w:num>
  <w:num w:numId="9">
    <w:abstractNumId w:val="2"/>
  </w:num>
  <w:num w:numId="10">
    <w:abstractNumId w:val="3"/>
  </w:num>
  <w:num w:numId="11">
    <w:abstractNumId w:val="5"/>
  </w:num>
  <w:num w:numId="12">
    <w:abstractNumId w:val="20"/>
  </w:num>
  <w:num w:numId="13">
    <w:abstractNumId w:val="23"/>
  </w:num>
  <w:num w:numId="14">
    <w:abstractNumId w:val="19"/>
  </w:num>
  <w:num w:numId="15">
    <w:abstractNumId w:val="15"/>
  </w:num>
  <w:num w:numId="16">
    <w:abstractNumId w:val="18"/>
  </w:num>
  <w:num w:numId="17">
    <w:abstractNumId w:val="7"/>
  </w:num>
  <w:num w:numId="18">
    <w:abstractNumId w:val="12"/>
  </w:num>
  <w:num w:numId="19">
    <w:abstractNumId w:val="21"/>
  </w:num>
  <w:num w:numId="20">
    <w:abstractNumId w:val="13"/>
  </w:num>
  <w:num w:numId="21">
    <w:abstractNumId w:val="9"/>
  </w:num>
  <w:num w:numId="22">
    <w:abstractNumId w:val="8"/>
  </w:num>
  <w:num w:numId="23">
    <w:abstractNumId w:val="4"/>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doNotCompress"/>
  <w:hdrShapeDefaults>
    <o:shapelayout v:ext="edit">
      <o:idmap v:ext="edit" data="1,3"/>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DA2ZTkwMTMxY2Y4NDMxMjY5ZmIyOTY5ZWY5OGQifQ=="/>
  </w:docVars>
  <w:rsids>
    <w:rsidRoot w:val="00FB501B"/>
    <w:rsid w:val="00020C62"/>
    <w:rsid w:val="00020EF7"/>
    <w:rsid w:val="00024CAA"/>
    <w:rsid w:val="00025AEA"/>
    <w:rsid w:val="00035C43"/>
    <w:rsid w:val="0003706D"/>
    <w:rsid w:val="00045658"/>
    <w:rsid w:val="00066B6A"/>
    <w:rsid w:val="00071720"/>
    <w:rsid w:val="000767B8"/>
    <w:rsid w:val="00087EDB"/>
    <w:rsid w:val="000B3A42"/>
    <w:rsid w:val="000B3EF2"/>
    <w:rsid w:val="000E469B"/>
    <w:rsid w:val="000E7403"/>
    <w:rsid w:val="000F499F"/>
    <w:rsid w:val="00102413"/>
    <w:rsid w:val="00106D58"/>
    <w:rsid w:val="00122430"/>
    <w:rsid w:val="001338C0"/>
    <w:rsid w:val="001348CE"/>
    <w:rsid w:val="00154359"/>
    <w:rsid w:val="00161143"/>
    <w:rsid w:val="001612B8"/>
    <w:rsid w:val="00172780"/>
    <w:rsid w:val="00174815"/>
    <w:rsid w:val="00174989"/>
    <w:rsid w:val="00176FF7"/>
    <w:rsid w:val="001E3136"/>
    <w:rsid w:val="002028BB"/>
    <w:rsid w:val="00210B92"/>
    <w:rsid w:val="00212753"/>
    <w:rsid w:val="00214313"/>
    <w:rsid w:val="002214A4"/>
    <w:rsid w:val="00223327"/>
    <w:rsid w:val="00260392"/>
    <w:rsid w:val="002706DE"/>
    <w:rsid w:val="00292BAB"/>
    <w:rsid w:val="002B11E4"/>
    <w:rsid w:val="002B2209"/>
    <w:rsid w:val="002B61AC"/>
    <w:rsid w:val="002D46A9"/>
    <w:rsid w:val="002E142C"/>
    <w:rsid w:val="002E37F4"/>
    <w:rsid w:val="003055F5"/>
    <w:rsid w:val="0031714B"/>
    <w:rsid w:val="00347CB4"/>
    <w:rsid w:val="00350E5B"/>
    <w:rsid w:val="0035322C"/>
    <w:rsid w:val="003773AA"/>
    <w:rsid w:val="003937F2"/>
    <w:rsid w:val="003A300F"/>
    <w:rsid w:val="003C1F22"/>
    <w:rsid w:val="003C2729"/>
    <w:rsid w:val="003E17AE"/>
    <w:rsid w:val="003E33B1"/>
    <w:rsid w:val="003E5CE9"/>
    <w:rsid w:val="00405B1C"/>
    <w:rsid w:val="00425DD9"/>
    <w:rsid w:val="00436B8D"/>
    <w:rsid w:val="0044224D"/>
    <w:rsid w:val="00466466"/>
    <w:rsid w:val="004A465D"/>
    <w:rsid w:val="004A4EF9"/>
    <w:rsid w:val="004A6297"/>
    <w:rsid w:val="004C1086"/>
    <w:rsid w:val="004E349B"/>
    <w:rsid w:val="004E5F79"/>
    <w:rsid w:val="004F24D2"/>
    <w:rsid w:val="004F37D3"/>
    <w:rsid w:val="005073F4"/>
    <w:rsid w:val="00512AB7"/>
    <w:rsid w:val="00526408"/>
    <w:rsid w:val="00547ED5"/>
    <w:rsid w:val="00582081"/>
    <w:rsid w:val="005A64E9"/>
    <w:rsid w:val="005C154A"/>
    <w:rsid w:val="005D4349"/>
    <w:rsid w:val="005F3464"/>
    <w:rsid w:val="00606945"/>
    <w:rsid w:val="0061676A"/>
    <w:rsid w:val="006477AA"/>
    <w:rsid w:val="00651ED7"/>
    <w:rsid w:val="00652230"/>
    <w:rsid w:val="0067319F"/>
    <w:rsid w:val="00684DC9"/>
    <w:rsid w:val="006A1289"/>
    <w:rsid w:val="006A3C44"/>
    <w:rsid w:val="006B1EBE"/>
    <w:rsid w:val="006D06A4"/>
    <w:rsid w:val="006D18D4"/>
    <w:rsid w:val="006D6F00"/>
    <w:rsid w:val="00702FA7"/>
    <w:rsid w:val="007116D9"/>
    <w:rsid w:val="00736D20"/>
    <w:rsid w:val="0074427B"/>
    <w:rsid w:val="00760E05"/>
    <w:rsid w:val="00761110"/>
    <w:rsid w:val="00761F69"/>
    <w:rsid w:val="007679A2"/>
    <w:rsid w:val="00775A24"/>
    <w:rsid w:val="00781B06"/>
    <w:rsid w:val="00783F99"/>
    <w:rsid w:val="00787AA3"/>
    <w:rsid w:val="007903F5"/>
    <w:rsid w:val="00794046"/>
    <w:rsid w:val="007D3357"/>
    <w:rsid w:val="00806A58"/>
    <w:rsid w:val="00813464"/>
    <w:rsid w:val="00815DF1"/>
    <w:rsid w:val="008269EE"/>
    <w:rsid w:val="00850470"/>
    <w:rsid w:val="00853DD0"/>
    <w:rsid w:val="008600CC"/>
    <w:rsid w:val="008A2209"/>
    <w:rsid w:val="008A43B7"/>
    <w:rsid w:val="008F5E35"/>
    <w:rsid w:val="00925314"/>
    <w:rsid w:val="00936C21"/>
    <w:rsid w:val="00937494"/>
    <w:rsid w:val="00942585"/>
    <w:rsid w:val="0094292E"/>
    <w:rsid w:val="009533C0"/>
    <w:rsid w:val="00970C99"/>
    <w:rsid w:val="00972AFE"/>
    <w:rsid w:val="00977D72"/>
    <w:rsid w:val="0098296F"/>
    <w:rsid w:val="00982B9E"/>
    <w:rsid w:val="00991AC7"/>
    <w:rsid w:val="009926B4"/>
    <w:rsid w:val="00996850"/>
    <w:rsid w:val="009A045F"/>
    <w:rsid w:val="009A5FBA"/>
    <w:rsid w:val="009B2F3F"/>
    <w:rsid w:val="00A136F4"/>
    <w:rsid w:val="00A36A39"/>
    <w:rsid w:val="00A5533F"/>
    <w:rsid w:val="00A60ED0"/>
    <w:rsid w:val="00A8470E"/>
    <w:rsid w:val="00A97848"/>
    <w:rsid w:val="00AA5972"/>
    <w:rsid w:val="00AB4706"/>
    <w:rsid w:val="00AD5A2E"/>
    <w:rsid w:val="00AE7686"/>
    <w:rsid w:val="00AE7961"/>
    <w:rsid w:val="00AF5442"/>
    <w:rsid w:val="00AF5862"/>
    <w:rsid w:val="00B02EB8"/>
    <w:rsid w:val="00B37165"/>
    <w:rsid w:val="00B56612"/>
    <w:rsid w:val="00B607D3"/>
    <w:rsid w:val="00B86503"/>
    <w:rsid w:val="00B96AB4"/>
    <w:rsid w:val="00BB5E18"/>
    <w:rsid w:val="00BB7FC8"/>
    <w:rsid w:val="00BC50D9"/>
    <w:rsid w:val="00BD35F7"/>
    <w:rsid w:val="00BE6058"/>
    <w:rsid w:val="00C06CCD"/>
    <w:rsid w:val="00C21B9D"/>
    <w:rsid w:val="00C33BC2"/>
    <w:rsid w:val="00C549EC"/>
    <w:rsid w:val="00C85D56"/>
    <w:rsid w:val="00C95723"/>
    <w:rsid w:val="00CA68F2"/>
    <w:rsid w:val="00CB4532"/>
    <w:rsid w:val="00CC2729"/>
    <w:rsid w:val="00CC3DE0"/>
    <w:rsid w:val="00CC733F"/>
    <w:rsid w:val="00CE71B1"/>
    <w:rsid w:val="00CE7E48"/>
    <w:rsid w:val="00CF454C"/>
    <w:rsid w:val="00D12293"/>
    <w:rsid w:val="00D23C43"/>
    <w:rsid w:val="00D240E0"/>
    <w:rsid w:val="00D323C2"/>
    <w:rsid w:val="00D57338"/>
    <w:rsid w:val="00D61957"/>
    <w:rsid w:val="00D84154"/>
    <w:rsid w:val="00DC3430"/>
    <w:rsid w:val="00DC5080"/>
    <w:rsid w:val="00DD0D24"/>
    <w:rsid w:val="00DE290E"/>
    <w:rsid w:val="00DE4DF1"/>
    <w:rsid w:val="00E213F4"/>
    <w:rsid w:val="00E23E90"/>
    <w:rsid w:val="00E3510A"/>
    <w:rsid w:val="00E53C78"/>
    <w:rsid w:val="00EB6B73"/>
    <w:rsid w:val="00ED13AB"/>
    <w:rsid w:val="00F06185"/>
    <w:rsid w:val="00F0620E"/>
    <w:rsid w:val="00F101A7"/>
    <w:rsid w:val="00F2650B"/>
    <w:rsid w:val="00F3215A"/>
    <w:rsid w:val="00F5485E"/>
    <w:rsid w:val="00FA5F44"/>
    <w:rsid w:val="00FB501B"/>
    <w:rsid w:val="00FC5A69"/>
    <w:rsid w:val="01040F3A"/>
    <w:rsid w:val="01115B19"/>
    <w:rsid w:val="01374E54"/>
    <w:rsid w:val="0193370A"/>
    <w:rsid w:val="01A87AFF"/>
    <w:rsid w:val="01EE19B6"/>
    <w:rsid w:val="01FF3BC3"/>
    <w:rsid w:val="02070CCA"/>
    <w:rsid w:val="023575E5"/>
    <w:rsid w:val="028B36A9"/>
    <w:rsid w:val="02AD7AC3"/>
    <w:rsid w:val="02C1356F"/>
    <w:rsid w:val="02FA438B"/>
    <w:rsid w:val="03051533"/>
    <w:rsid w:val="035717DD"/>
    <w:rsid w:val="03802AE2"/>
    <w:rsid w:val="039F4141"/>
    <w:rsid w:val="03F359AA"/>
    <w:rsid w:val="0402799B"/>
    <w:rsid w:val="042B5143"/>
    <w:rsid w:val="0438160E"/>
    <w:rsid w:val="047F2D99"/>
    <w:rsid w:val="052D6C99"/>
    <w:rsid w:val="05832D5D"/>
    <w:rsid w:val="06021ED4"/>
    <w:rsid w:val="06222576"/>
    <w:rsid w:val="0626226F"/>
    <w:rsid w:val="066A1827"/>
    <w:rsid w:val="068723D9"/>
    <w:rsid w:val="06982838"/>
    <w:rsid w:val="06BE19DF"/>
    <w:rsid w:val="06C947A0"/>
    <w:rsid w:val="06F86E33"/>
    <w:rsid w:val="07320597"/>
    <w:rsid w:val="07BB058C"/>
    <w:rsid w:val="07E4402F"/>
    <w:rsid w:val="07E55609"/>
    <w:rsid w:val="07F341CA"/>
    <w:rsid w:val="087D7F38"/>
    <w:rsid w:val="08875B65"/>
    <w:rsid w:val="08AC6127"/>
    <w:rsid w:val="08D4742C"/>
    <w:rsid w:val="08E04023"/>
    <w:rsid w:val="08F0070A"/>
    <w:rsid w:val="08FF094D"/>
    <w:rsid w:val="096C3CFF"/>
    <w:rsid w:val="09C35E1E"/>
    <w:rsid w:val="09D75426"/>
    <w:rsid w:val="0A171CC6"/>
    <w:rsid w:val="0A1E4E03"/>
    <w:rsid w:val="0A5E16A3"/>
    <w:rsid w:val="0B0B182B"/>
    <w:rsid w:val="0B6149B5"/>
    <w:rsid w:val="0B705B32"/>
    <w:rsid w:val="0B9A2BAF"/>
    <w:rsid w:val="0B9F1F73"/>
    <w:rsid w:val="0BE45BD8"/>
    <w:rsid w:val="0CEC743A"/>
    <w:rsid w:val="0D152034"/>
    <w:rsid w:val="0D474670"/>
    <w:rsid w:val="0D7D30C5"/>
    <w:rsid w:val="0E1A3B33"/>
    <w:rsid w:val="0E227E00"/>
    <w:rsid w:val="0E5B4877"/>
    <w:rsid w:val="0EBB5316"/>
    <w:rsid w:val="0EF4320C"/>
    <w:rsid w:val="0F0547E3"/>
    <w:rsid w:val="0F29227F"/>
    <w:rsid w:val="0F4C73F7"/>
    <w:rsid w:val="0F543075"/>
    <w:rsid w:val="0F6A6B8F"/>
    <w:rsid w:val="0F9811B3"/>
    <w:rsid w:val="0FFA1E6E"/>
    <w:rsid w:val="10303AE2"/>
    <w:rsid w:val="10710382"/>
    <w:rsid w:val="10AD2CB9"/>
    <w:rsid w:val="10BE4C49"/>
    <w:rsid w:val="10D0497D"/>
    <w:rsid w:val="10DD46B8"/>
    <w:rsid w:val="11230F50"/>
    <w:rsid w:val="1173012A"/>
    <w:rsid w:val="117A3266"/>
    <w:rsid w:val="118C43EA"/>
    <w:rsid w:val="11B04EDA"/>
    <w:rsid w:val="11E20E0C"/>
    <w:rsid w:val="11EB5F12"/>
    <w:rsid w:val="120B0362"/>
    <w:rsid w:val="12204AD2"/>
    <w:rsid w:val="12307DC9"/>
    <w:rsid w:val="12714AC1"/>
    <w:rsid w:val="12971BF6"/>
    <w:rsid w:val="12BB7786"/>
    <w:rsid w:val="12DE7825"/>
    <w:rsid w:val="13085466"/>
    <w:rsid w:val="131C545C"/>
    <w:rsid w:val="13255454"/>
    <w:rsid w:val="13AD3054"/>
    <w:rsid w:val="13D1646B"/>
    <w:rsid w:val="142B6A9A"/>
    <w:rsid w:val="143F0797"/>
    <w:rsid w:val="14ED79F6"/>
    <w:rsid w:val="14F055ED"/>
    <w:rsid w:val="14F9476E"/>
    <w:rsid w:val="150572EB"/>
    <w:rsid w:val="15485429"/>
    <w:rsid w:val="154D0C92"/>
    <w:rsid w:val="15771433"/>
    <w:rsid w:val="15897F1C"/>
    <w:rsid w:val="15A00DC2"/>
    <w:rsid w:val="160C46A9"/>
    <w:rsid w:val="16777D74"/>
    <w:rsid w:val="167F4E7B"/>
    <w:rsid w:val="1701289B"/>
    <w:rsid w:val="171E4694"/>
    <w:rsid w:val="1740285C"/>
    <w:rsid w:val="1759391E"/>
    <w:rsid w:val="17F43DDB"/>
    <w:rsid w:val="18090783"/>
    <w:rsid w:val="185C36C6"/>
    <w:rsid w:val="18BF10D5"/>
    <w:rsid w:val="18EA3BD2"/>
    <w:rsid w:val="19424AEC"/>
    <w:rsid w:val="194B3E55"/>
    <w:rsid w:val="195E692B"/>
    <w:rsid w:val="198F1879"/>
    <w:rsid w:val="19B7492C"/>
    <w:rsid w:val="19CF7EC7"/>
    <w:rsid w:val="1A051B3B"/>
    <w:rsid w:val="1AD11A1D"/>
    <w:rsid w:val="1AEF022A"/>
    <w:rsid w:val="1AF42297"/>
    <w:rsid w:val="1B0E2C71"/>
    <w:rsid w:val="1B60171F"/>
    <w:rsid w:val="1BC03F6C"/>
    <w:rsid w:val="1C3D2F00"/>
    <w:rsid w:val="1C444B9D"/>
    <w:rsid w:val="1CC41839"/>
    <w:rsid w:val="1D100F23"/>
    <w:rsid w:val="1D2F75FB"/>
    <w:rsid w:val="1D4B5AB7"/>
    <w:rsid w:val="1D631052"/>
    <w:rsid w:val="1D8A2A83"/>
    <w:rsid w:val="1EA25BAA"/>
    <w:rsid w:val="1F4D1FBA"/>
    <w:rsid w:val="1FF52D69"/>
    <w:rsid w:val="202F346E"/>
    <w:rsid w:val="2040567B"/>
    <w:rsid w:val="205C7FDB"/>
    <w:rsid w:val="20B14509"/>
    <w:rsid w:val="20DB53A4"/>
    <w:rsid w:val="210668C5"/>
    <w:rsid w:val="21315582"/>
    <w:rsid w:val="214967B1"/>
    <w:rsid w:val="216E6218"/>
    <w:rsid w:val="21751354"/>
    <w:rsid w:val="21D7200F"/>
    <w:rsid w:val="221D66E6"/>
    <w:rsid w:val="224B0651"/>
    <w:rsid w:val="224B1156"/>
    <w:rsid w:val="22603DB2"/>
    <w:rsid w:val="227B6E3E"/>
    <w:rsid w:val="22C97BAA"/>
    <w:rsid w:val="236E0751"/>
    <w:rsid w:val="23700025"/>
    <w:rsid w:val="23B14FE2"/>
    <w:rsid w:val="23BF0FAD"/>
    <w:rsid w:val="23EC5627"/>
    <w:rsid w:val="23F52C20"/>
    <w:rsid w:val="248C70E1"/>
    <w:rsid w:val="24F627AC"/>
    <w:rsid w:val="25270278"/>
    <w:rsid w:val="25453733"/>
    <w:rsid w:val="258E22A9"/>
    <w:rsid w:val="2593624D"/>
    <w:rsid w:val="259D0E7A"/>
    <w:rsid w:val="25A22934"/>
    <w:rsid w:val="25B05051"/>
    <w:rsid w:val="25D60697"/>
    <w:rsid w:val="2628778F"/>
    <w:rsid w:val="2666570F"/>
    <w:rsid w:val="26747E2C"/>
    <w:rsid w:val="26775B6F"/>
    <w:rsid w:val="26C16DEA"/>
    <w:rsid w:val="27716A62"/>
    <w:rsid w:val="27EB2370"/>
    <w:rsid w:val="285056DB"/>
    <w:rsid w:val="28BA1D43"/>
    <w:rsid w:val="29074326"/>
    <w:rsid w:val="29325D7D"/>
    <w:rsid w:val="293B652A"/>
    <w:rsid w:val="299A22A0"/>
    <w:rsid w:val="29C25353"/>
    <w:rsid w:val="2A187669"/>
    <w:rsid w:val="2ABA427C"/>
    <w:rsid w:val="2AD52E64"/>
    <w:rsid w:val="2B6936E0"/>
    <w:rsid w:val="2B8F1C0B"/>
    <w:rsid w:val="2BAE2033"/>
    <w:rsid w:val="2BCC24B9"/>
    <w:rsid w:val="2BD82716"/>
    <w:rsid w:val="2C882884"/>
    <w:rsid w:val="2C8E776E"/>
    <w:rsid w:val="2C9A39C7"/>
    <w:rsid w:val="2CE7345E"/>
    <w:rsid w:val="2D590A57"/>
    <w:rsid w:val="2D97007F"/>
    <w:rsid w:val="2E0E734F"/>
    <w:rsid w:val="2E237CC3"/>
    <w:rsid w:val="2E4D14FF"/>
    <w:rsid w:val="2E5549E7"/>
    <w:rsid w:val="2EF064BE"/>
    <w:rsid w:val="2F5E5B1E"/>
    <w:rsid w:val="2F7F3B93"/>
    <w:rsid w:val="2F897553"/>
    <w:rsid w:val="2FBA62B6"/>
    <w:rsid w:val="2FBD053D"/>
    <w:rsid w:val="302420E6"/>
    <w:rsid w:val="305A21C4"/>
    <w:rsid w:val="30823A8E"/>
    <w:rsid w:val="311C15F2"/>
    <w:rsid w:val="31F462C5"/>
    <w:rsid w:val="32951A44"/>
    <w:rsid w:val="330864CC"/>
    <w:rsid w:val="33185FE3"/>
    <w:rsid w:val="33705E1F"/>
    <w:rsid w:val="33993051"/>
    <w:rsid w:val="33A166DF"/>
    <w:rsid w:val="34125129"/>
    <w:rsid w:val="3417273F"/>
    <w:rsid w:val="34BB5E21"/>
    <w:rsid w:val="34D4418C"/>
    <w:rsid w:val="34E72FB8"/>
    <w:rsid w:val="34F211E2"/>
    <w:rsid w:val="35246EC1"/>
    <w:rsid w:val="357A65E8"/>
    <w:rsid w:val="35B44D6B"/>
    <w:rsid w:val="35C80D67"/>
    <w:rsid w:val="360B4679"/>
    <w:rsid w:val="360F36CE"/>
    <w:rsid w:val="37054967"/>
    <w:rsid w:val="37425D25"/>
    <w:rsid w:val="376712E7"/>
    <w:rsid w:val="37A56D79"/>
    <w:rsid w:val="381F2104"/>
    <w:rsid w:val="38211DDE"/>
    <w:rsid w:val="38832151"/>
    <w:rsid w:val="38C855EC"/>
    <w:rsid w:val="38E76B84"/>
    <w:rsid w:val="39202096"/>
    <w:rsid w:val="3934169D"/>
    <w:rsid w:val="393F251C"/>
    <w:rsid w:val="396F64EF"/>
    <w:rsid w:val="3A3B13AA"/>
    <w:rsid w:val="3A4516F9"/>
    <w:rsid w:val="3A5E2E76"/>
    <w:rsid w:val="3A614714"/>
    <w:rsid w:val="3AD14E21"/>
    <w:rsid w:val="3B0C28D2"/>
    <w:rsid w:val="3B6B584A"/>
    <w:rsid w:val="3B8A07A5"/>
    <w:rsid w:val="3B8E778B"/>
    <w:rsid w:val="3BD31641"/>
    <w:rsid w:val="3C1E0B0E"/>
    <w:rsid w:val="3C6B3628"/>
    <w:rsid w:val="3C7324DC"/>
    <w:rsid w:val="3C917532"/>
    <w:rsid w:val="3CA134EE"/>
    <w:rsid w:val="3CD15B81"/>
    <w:rsid w:val="3CFB49AC"/>
    <w:rsid w:val="3D1C3D19"/>
    <w:rsid w:val="3DAF10A4"/>
    <w:rsid w:val="3E0C52B0"/>
    <w:rsid w:val="3E754715"/>
    <w:rsid w:val="3EEC4EF4"/>
    <w:rsid w:val="3F253F62"/>
    <w:rsid w:val="3F2645AD"/>
    <w:rsid w:val="3F281CA4"/>
    <w:rsid w:val="3F310B59"/>
    <w:rsid w:val="3F885650"/>
    <w:rsid w:val="3FA330D9"/>
    <w:rsid w:val="3FDE5539"/>
    <w:rsid w:val="402E3EBF"/>
    <w:rsid w:val="41055DF9"/>
    <w:rsid w:val="41171FD0"/>
    <w:rsid w:val="412F2E76"/>
    <w:rsid w:val="419D24D5"/>
    <w:rsid w:val="41CA7043"/>
    <w:rsid w:val="422F0AE0"/>
    <w:rsid w:val="42497F67"/>
    <w:rsid w:val="425D17D7"/>
    <w:rsid w:val="427D5E63"/>
    <w:rsid w:val="42E17DC7"/>
    <w:rsid w:val="43672D9B"/>
    <w:rsid w:val="4391606A"/>
    <w:rsid w:val="43AF35C4"/>
    <w:rsid w:val="44290050"/>
    <w:rsid w:val="44357175"/>
    <w:rsid w:val="44444E8A"/>
    <w:rsid w:val="444C01E3"/>
    <w:rsid w:val="44B71B00"/>
    <w:rsid w:val="44B9748E"/>
    <w:rsid w:val="44E16B7D"/>
    <w:rsid w:val="45012D7B"/>
    <w:rsid w:val="45062140"/>
    <w:rsid w:val="453411E9"/>
    <w:rsid w:val="4550160D"/>
    <w:rsid w:val="45774DEB"/>
    <w:rsid w:val="45C06792"/>
    <w:rsid w:val="45C81AEB"/>
    <w:rsid w:val="45F75F2C"/>
    <w:rsid w:val="468C2B19"/>
    <w:rsid w:val="46A00372"/>
    <w:rsid w:val="46A165C4"/>
    <w:rsid w:val="46C64C53"/>
    <w:rsid w:val="46E26BDC"/>
    <w:rsid w:val="46F04E55"/>
    <w:rsid w:val="47797541"/>
    <w:rsid w:val="47B2035D"/>
    <w:rsid w:val="48111527"/>
    <w:rsid w:val="481608EC"/>
    <w:rsid w:val="486024AF"/>
    <w:rsid w:val="487A557D"/>
    <w:rsid w:val="48DE3CFA"/>
    <w:rsid w:val="48E30E06"/>
    <w:rsid w:val="48F21359"/>
    <w:rsid w:val="490D5E06"/>
    <w:rsid w:val="493354CD"/>
    <w:rsid w:val="494A1775"/>
    <w:rsid w:val="497E0E3E"/>
    <w:rsid w:val="49964D67"/>
    <w:rsid w:val="4A08695A"/>
    <w:rsid w:val="4A1E7F2C"/>
    <w:rsid w:val="4ABB1C1E"/>
    <w:rsid w:val="4AD472AA"/>
    <w:rsid w:val="4B217CD3"/>
    <w:rsid w:val="4B296B88"/>
    <w:rsid w:val="4B487E57"/>
    <w:rsid w:val="4B6422B6"/>
    <w:rsid w:val="4B94349C"/>
    <w:rsid w:val="4BFC604B"/>
    <w:rsid w:val="4C161DA9"/>
    <w:rsid w:val="4C360DAD"/>
    <w:rsid w:val="4CAC650D"/>
    <w:rsid w:val="4CE30FB8"/>
    <w:rsid w:val="4CF95C45"/>
    <w:rsid w:val="4D186EB4"/>
    <w:rsid w:val="4D3F6B37"/>
    <w:rsid w:val="4D4E6D7A"/>
    <w:rsid w:val="4D666E75"/>
    <w:rsid w:val="4DE374C2"/>
    <w:rsid w:val="4E797E26"/>
    <w:rsid w:val="4ECD1F20"/>
    <w:rsid w:val="4F10078B"/>
    <w:rsid w:val="4F215CDA"/>
    <w:rsid w:val="4F990ECE"/>
    <w:rsid w:val="500B2D00"/>
    <w:rsid w:val="505F1553"/>
    <w:rsid w:val="50905620"/>
    <w:rsid w:val="509563EB"/>
    <w:rsid w:val="50EC48E0"/>
    <w:rsid w:val="51962A9D"/>
    <w:rsid w:val="51F24178"/>
    <w:rsid w:val="51F7167C"/>
    <w:rsid w:val="520B6FE7"/>
    <w:rsid w:val="52102850"/>
    <w:rsid w:val="523E560F"/>
    <w:rsid w:val="52B11EEF"/>
    <w:rsid w:val="52CA0C50"/>
    <w:rsid w:val="531B63B0"/>
    <w:rsid w:val="533273FB"/>
    <w:rsid w:val="5334176E"/>
    <w:rsid w:val="53B8319F"/>
    <w:rsid w:val="53F1045F"/>
    <w:rsid w:val="5472334E"/>
    <w:rsid w:val="547C5F7A"/>
    <w:rsid w:val="54B35714"/>
    <w:rsid w:val="54B716A8"/>
    <w:rsid w:val="54B73456"/>
    <w:rsid w:val="55990DAE"/>
    <w:rsid w:val="55A51501"/>
    <w:rsid w:val="564B20A8"/>
    <w:rsid w:val="56576C9F"/>
    <w:rsid w:val="567C6706"/>
    <w:rsid w:val="56F522BD"/>
    <w:rsid w:val="57341EB4"/>
    <w:rsid w:val="5738280F"/>
    <w:rsid w:val="57812BC2"/>
    <w:rsid w:val="580E5A83"/>
    <w:rsid w:val="582C415B"/>
    <w:rsid w:val="58772591"/>
    <w:rsid w:val="58874605"/>
    <w:rsid w:val="5889335C"/>
    <w:rsid w:val="589F492D"/>
    <w:rsid w:val="58C51CE6"/>
    <w:rsid w:val="59012EF2"/>
    <w:rsid w:val="596F4300"/>
    <w:rsid w:val="598B6C60"/>
    <w:rsid w:val="59A541C5"/>
    <w:rsid w:val="59CC3500"/>
    <w:rsid w:val="59FD5DAF"/>
    <w:rsid w:val="5A2E7D17"/>
    <w:rsid w:val="5A807228"/>
    <w:rsid w:val="5A837DE0"/>
    <w:rsid w:val="5A851901"/>
    <w:rsid w:val="5A92474A"/>
    <w:rsid w:val="5A9A35FE"/>
    <w:rsid w:val="5BCC1A9C"/>
    <w:rsid w:val="5C245875"/>
    <w:rsid w:val="5C593045"/>
    <w:rsid w:val="5D1A27D4"/>
    <w:rsid w:val="5D30024A"/>
    <w:rsid w:val="5D635A94"/>
    <w:rsid w:val="5D6567C1"/>
    <w:rsid w:val="5D83481E"/>
    <w:rsid w:val="5DC85BAC"/>
    <w:rsid w:val="5DEC0D91"/>
    <w:rsid w:val="5DFE7485"/>
    <w:rsid w:val="5E373037"/>
    <w:rsid w:val="5E435D5B"/>
    <w:rsid w:val="5EEB4428"/>
    <w:rsid w:val="5F5C0E82"/>
    <w:rsid w:val="5FE33352"/>
    <w:rsid w:val="60932FCA"/>
    <w:rsid w:val="60BB607C"/>
    <w:rsid w:val="60CF1B28"/>
    <w:rsid w:val="61356E89"/>
    <w:rsid w:val="618B1EF3"/>
    <w:rsid w:val="624F1172"/>
    <w:rsid w:val="626F35C2"/>
    <w:rsid w:val="62A52B40"/>
    <w:rsid w:val="63181564"/>
    <w:rsid w:val="639D793B"/>
    <w:rsid w:val="63C210E6"/>
    <w:rsid w:val="63C27B3E"/>
    <w:rsid w:val="63C416EC"/>
    <w:rsid w:val="63D365A2"/>
    <w:rsid w:val="63F0603D"/>
    <w:rsid w:val="643B11EF"/>
    <w:rsid w:val="64A003B6"/>
    <w:rsid w:val="64AC6408"/>
    <w:rsid w:val="650D2572"/>
    <w:rsid w:val="651F307E"/>
    <w:rsid w:val="652F5971"/>
    <w:rsid w:val="66061B48"/>
    <w:rsid w:val="662E0342"/>
    <w:rsid w:val="66432D9C"/>
    <w:rsid w:val="664B6375"/>
    <w:rsid w:val="66C832A1"/>
    <w:rsid w:val="66D71736"/>
    <w:rsid w:val="670C13E0"/>
    <w:rsid w:val="674541D3"/>
    <w:rsid w:val="678E0047"/>
    <w:rsid w:val="679A4C3E"/>
    <w:rsid w:val="67B11F87"/>
    <w:rsid w:val="67D349D8"/>
    <w:rsid w:val="67D650DE"/>
    <w:rsid w:val="683A3D2B"/>
    <w:rsid w:val="68534DEC"/>
    <w:rsid w:val="69083E29"/>
    <w:rsid w:val="690A194F"/>
    <w:rsid w:val="69201173"/>
    <w:rsid w:val="69992CD3"/>
    <w:rsid w:val="6A070584"/>
    <w:rsid w:val="6A1A662B"/>
    <w:rsid w:val="6A7F45BF"/>
    <w:rsid w:val="6B0845B4"/>
    <w:rsid w:val="6B105217"/>
    <w:rsid w:val="6B27494B"/>
    <w:rsid w:val="6BAE6F0A"/>
    <w:rsid w:val="6C1121B0"/>
    <w:rsid w:val="6C1407B2"/>
    <w:rsid w:val="6C30791F"/>
    <w:rsid w:val="6C382C77"/>
    <w:rsid w:val="6C89702F"/>
    <w:rsid w:val="6CF22E26"/>
    <w:rsid w:val="6D042274"/>
    <w:rsid w:val="6D237483"/>
    <w:rsid w:val="6D374CDD"/>
    <w:rsid w:val="6D415A66"/>
    <w:rsid w:val="6D512242"/>
    <w:rsid w:val="6D7952F5"/>
    <w:rsid w:val="6DD469CF"/>
    <w:rsid w:val="6EA42846"/>
    <w:rsid w:val="6F03131A"/>
    <w:rsid w:val="6F196D90"/>
    <w:rsid w:val="6F310AF8"/>
    <w:rsid w:val="6F394D3C"/>
    <w:rsid w:val="6F4E0597"/>
    <w:rsid w:val="6F810491"/>
    <w:rsid w:val="6F83245B"/>
    <w:rsid w:val="6FCA008A"/>
    <w:rsid w:val="70495453"/>
    <w:rsid w:val="707115E3"/>
    <w:rsid w:val="70C85CEF"/>
    <w:rsid w:val="70D25448"/>
    <w:rsid w:val="70DE203F"/>
    <w:rsid w:val="711A7816"/>
    <w:rsid w:val="714D0F73"/>
    <w:rsid w:val="716D6F1F"/>
    <w:rsid w:val="72CA214F"/>
    <w:rsid w:val="72E7250F"/>
    <w:rsid w:val="72FA6BAC"/>
    <w:rsid w:val="73261A7B"/>
    <w:rsid w:val="73C80D84"/>
    <w:rsid w:val="73DB0AB8"/>
    <w:rsid w:val="745148D6"/>
    <w:rsid w:val="748A603A"/>
    <w:rsid w:val="74B51309"/>
    <w:rsid w:val="74CE5F27"/>
    <w:rsid w:val="74E90FB2"/>
    <w:rsid w:val="755F1275"/>
    <w:rsid w:val="759A04FF"/>
    <w:rsid w:val="76823DA4"/>
    <w:rsid w:val="76AC04E9"/>
    <w:rsid w:val="76DF5654"/>
    <w:rsid w:val="76EC4D8A"/>
    <w:rsid w:val="774909CD"/>
    <w:rsid w:val="775D17E4"/>
    <w:rsid w:val="77F8480C"/>
    <w:rsid w:val="789E0306"/>
    <w:rsid w:val="78B51FBC"/>
    <w:rsid w:val="78C87131"/>
    <w:rsid w:val="796147EE"/>
    <w:rsid w:val="79C8563A"/>
    <w:rsid w:val="7A3507F6"/>
    <w:rsid w:val="7A3B5A16"/>
    <w:rsid w:val="7A652E89"/>
    <w:rsid w:val="7A76687A"/>
    <w:rsid w:val="7AA5507E"/>
    <w:rsid w:val="7AAF05A8"/>
    <w:rsid w:val="7AB211E9"/>
    <w:rsid w:val="7AB94F83"/>
    <w:rsid w:val="7AFD1314"/>
    <w:rsid w:val="7B1570FD"/>
    <w:rsid w:val="7B3D5BB4"/>
    <w:rsid w:val="7B580C40"/>
    <w:rsid w:val="7BBF045F"/>
    <w:rsid w:val="7BCC0CE6"/>
    <w:rsid w:val="7BFC15CB"/>
    <w:rsid w:val="7C124E77"/>
    <w:rsid w:val="7C46246B"/>
    <w:rsid w:val="7C977546"/>
    <w:rsid w:val="7CE65DD7"/>
    <w:rsid w:val="7D3D4905"/>
    <w:rsid w:val="7D977F93"/>
    <w:rsid w:val="7E0429B9"/>
    <w:rsid w:val="7E180E5C"/>
    <w:rsid w:val="7E1F3C97"/>
    <w:rsid w:val="7E6E42D6"/>
    <w:rsid w:val="7EEC634C"/>
    <w:rsid w:val="7F41298C"/>
    <w:rsid w:val="7F6776A3"/>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44"/>
    <w:qFormat/>
    <w:uiPriority w:val="0"/>
    <w:pPr>
      <w:keepNext/>
      <w:keepLines/>
      <w:spacing w:before="120" w:line="300" w:lineRule="auto"/>
      <w:jc w:val="center"/>
      <w:outlineLvl w:val="1"/>
    </w:pPr>
    <w:rPr>
      <w:rFonts w:eastAsia="黑体"/>
      <w:b/>
      <w:sz w:val="30"/>
      <w:szCs w:val="20"/>
    </w:rPr>
  </w:style>
  <w:style w:type="paragraph" w:styleId="2">
    <w:name w:val="heading 4"/>
    <w:basedOn w:val="1"/>
    <w:next w:val="1"/>
    <w:qFormat/>
    <w:uiPriority w:val="9"/>
    <w:pPr>
      <w:keepNext/>
      <w:keepLines/>
      <w:spacing w:before="20" w:after="20" w:line="360" w:lineRule="auto"/>
      <w:outlineLvl w:val="3"/>
    </w:pPr>
    <w:rPr>
      <w:rFonts w:ascii="Calibri Light" w:hAnsi="Calibri Light"/>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kinsoku/>
      <w:snapToGrid/>
      <w:ind w:firstLine="420"/>
      <w:textAlignment w:val="auto"/>
    </w:pPr>
    <w:rPr>
      <w:rFonts w:ascii="宋体" w:hAnsi="Times New Roman" w:eastAsia="宋体" w:cs="Times New Roman"/>
      <w:snapToGrid/>
      <w:color w:val="auto"/>
      <w:sz w:val="24"/>
      <w:szCs w:val="20"/>
      <w:lang w:eastAsia="zh-CN"/>
    </w:rPr>
  </w:style>
  <w:style w:type="paragraph" w:styleId="6">
    <w:name w:val="table of authorities"/>
    <w:basedOn w:val="1"/>
    <w:next w:val="1"/>
    <w:qFormat/>
    <w:uiPriority w:val="0"/>
    <w:pPr>
      <w:ind w:left="420" w:leftChars="200"/>
    </w:pPr>
  </w:style>
  <w:style w:type="paragraph" w:styleId="7">
    <w:name w:val="Document Map"/>
    <w:basedOn w:val="1"/>
    <w:link w:val="33"/>
    <w:semiHidden/>
    <w:unhideWhenUsed/>
    <w:qFormat/>
    <w:uiPriority w:val="99"/>
    <w:rPr>
      <w:rFonts w:ascii="宋体" w:eastAsia="宋体"/>
      <w:sz w:val="18"/>
      <w:szCs w:val="18"/>
    </w:rPr>
  </w:style>
  <w:style w:type="paragraph" w:styleId="8">
    <w:name w:val="toa heading"/>
    <w:basedOn w:val="1"/>
    <w:next w:val="1"/>
    <w:qFormat/>
    <w:uiPriority w:val="0"/>
    <w:pPr>
      <w:spacing w:before="120"/>
    </w:pPr>
    <w:rPr>
      <w:rFonts w:ascii="Cambria" w:hAnsi="Cambria"/>
      <w:sz w:val="24"/>
    </w:rPr>
  </w:style>
  <w:style w:type="paragraph" w:styleId="9">
    <w:name w:val="Body Text"/>
    <w:basedOn w:val="1"/>
    <w:link w:val="45"/>
    <w:semiHidden/>
    <w:qFormat/>
    <w:uiPriority w:val="0"/>
    <w:rPr>
      <w:rFonts w:ascii="黑体" w:hAnsi="黑体" w:eastAsia="黑体" w:cs="黑体"/>
      <w:sz w:val="31"/>
      <w:szCs w:val="31"/>
    </w:rPr>
  </w:style>
  <w:style w:type="paragraph" w:styleId="10">
    <w:name w:val="Body Text Indent"/>
    <w:basedOn w:val="1"/>
    <w:next w:val="9"/>
    <w:link w:val="46"/>
    <w:qFormat/>
    <w:uiPriority w:val="0"/>
    <w:pPr>
      <w:spacing w:line="360" w:lineRule="auto"/>
      <w:ind w:firstLine="570"/>
    </w:pPr>
    <w:rPr>
      <w:rFonts w:ascii="Times New Roman" w:hAnsi="Times New Roman" w:eastAsia="宋体" w:cs="Times New Roman"/>
      <w:sz w:val="24"/>
    </w:rPr>
  </w:style>
  <w:style w:type="paragraph" w:styleId="11">
    <w:name w:val="toc 3"/>
    <w:basedOn w:val="1"/>
    <w:next w:val="1"/>
    <w:unhideWhenUsed/>
    <w:qFormat/>
    <w:uiPriority w:val="39"/>
    <w:pPr>
      <w:ind w:left="840" w:leftChars="400"/>
    </w:pPr>
  </w:style>
  <w:style w:type="paragraph" w:styleId="12">
    <w:name w:val="Plain Text"/>
    <w:basedOn w:val="1"/>
    <w:link w:val="47"/>
    <w:qFormat/>
    <w:uiPriority w:val="0"/>
    <w:rPr>
      <w:rFonts w:ascii="宋体" w:hAnsi="Courier New"/>
      <w:szCs w:val="20"/>
    </w:rPr>
  </w:style>
  <w:style w:type="paragraph" w:styleId="13">
    <w:name w:val="Balloon Text"/>
    <w:basedOn w:val="1"/>
    <w:link w:val="31"/>
    <w:semiHidden/>
    <w:unhideWhenUsed/>
    <w:qFormat/>
    <w:uiPriority w:val="99"/>
    <w:rPr>
      <w:sz w:val="18"/>
      <w:szCs w:val="18"/>
    </w:rPr>
  </w:style>
  <w:style w:type="paragraph" w:styleId="14">
    <w:name w:val="footer"/>
    <w:basedOn w:val="1"/>
    <w:link w:val="30"/>
    <w:unhideWhenUsed/>
    <w:qFormat/>
    <w:uiPriority w:val="99"/>
    <w:pPr>
      <w:tabs>
        <w:tab w:val="center" w:pos="4153"/>
        <w:tab w:val="right" w:pos="8306"/>
      </w:tabs>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style>
  <w:style w:type="paragraph" w:styleId="17">
    <w:name w:val="Subtitle"/>
    <w:basedOn w:val="1"/>
    <w:next w:val="1"/>
    <w:link w:val="48"/>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unhideWhenUsed/>
    <w:qFormat/>
    <w:uiPriority w:val="39"/>
    <w:pPr>
      <w:ind w:left="420" w:leftChars="200"/>
    </w:pPr>
  </w:style>
  <w:style w:type="paragraph" w:styleId="19">
    <w:name w:val="Body Text First Indent 2"/>
    <w:basedOn w:val="10"/>
    <w:next w:val="1"/>
    <w:link w:val="49"/>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5">
    <w:name w:val="Hyperlink"/>
    <w:basedOn w:val="22"/>
    <w:unhideWhenUsed/>
    <w:qFormat/>
    <w:uiPriority w:val="99"/>
    <w:rPr>
      <w:color w:val="0000FF" w:themeColor="hyperlink"/>
      <w:u w:val="single"/>
      <w14:textFill>
        <w14:solidFill>
          <w14:schemeClr w14:val="hlink"/>
        </w14:solidFill>
      </w14:textFill>
    </w:rPr>
  </w:style>
  <w:style w:type="character" w:customStyle="1" w:styleId="26">
    <w:name w:val="标题 1 Char"/>
    <w:basedOn w:val="22"/>
    <w:link w:val="3"/>
    <w:qFormat/>
    <w:uiPriority w:val="9"/>
    <w:rPr>
      <w:b/>
      <w:bCs/>
      <w:kern w:val="44"/>
      <w:sz w:val="44"/>
      <w:szCs w:val="44"/>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宋体" w:hAnsi="宋体" w:eastAsia="宋体" w:cs="宋体"/>
      <w:sz w:val="24"/>
      <w:szCs w:val="24"/>
    </w:rPr>
  </w:style>
  <w:style w:type="character" w:customStyle="1" w:styleId="29">
    <w:name w:val="页眉 Char"/>
    <w:basedOn w:val="22"/>
    <w:link w:val="15"/>
    <w:qFormat/>
    <w:uiPriority w:val="99"/>
    <w:rPr>
      <w:sz w:val="18"/>
      <w:szCs w:val="18"/>
    </w:rPr>
  </w:style>
  <w:style w:type="character" w:customStyle="1" w:styleId="30">
    <w:name w:val="页脚 Char"/>
    <w:basedOn w:val="22"/>
    <w:link w:val="14"/>
    <w:qFormat/>
    <w:uiPriority w:val="99"/>
    <w:rPr>
      <w:sz w:val="18"/>
      <w:szCs w:val="18"/>
    </w:rPr>
  </w:style>
  <w:style w:type="character" w:customStyle="1" w:styleId="31">
    <w:name w:val="批注框文本 Char"/>
    <w:basedOn w:val="22"/>
    <w:link w:val="13"/>
    <w:semiHidden/>
    <w:qFormat/>
    <w:uiPriority w:val="99"/>
    <w:rPr>
      <w:sz w:val="18"/>
      <w:szCs w:val="18"/>
    </w:rPr>
  </w:style>
  <w:style w:type="paragraph" w:customStyle="1" w:styleId="32">
    <w:name w:val="TOC 标题1"/>
    <w:basedOn w:val="3"/>
    <w:next w:val="1"/>
    <w:semiHidden/>
    <w:unhideWhenUsed/>
    <w:qFormat/>
    <w:uiPriority w:val="39"/>
    <w:pPr>
      <w:kinsoku/>
      <w:autoSpaceDE/>
      <w:autoSpaceDN/>
      <w:adjustRightInd/>
      <w:snapToGrid/>
      <w:spacing w:before="480" w:after="0" w:line="276" w:lineRule="auto"/>
      <w:textAlignment w:val="auto"/>
      <w:outlineLvl w:val="9"/>
    </w:pPr>
    <w:rPr>
      <w:rFonts w:asciiTheme="majorHAnsi" w:hAnsiTheme="majorHAnsi" w:eastAsiaTheme="majorEastAsia" w:cstheme="majorBidi"/>
      <w:snapToGrid/>
      <w:color w:val="376092" w:themeColor="accent1" w:themeShade="BF"/>
      <w:kern w:val="0"/>
      <w:sz w:val="28"/>
      <w:szCs w:val="28"/>
      <w:lang w:eastAsia="zh-CN"/>
    </w:rPr>
  </w:style>
  <w:style w:type="character" w:customStyle="1" w:styleId="33">
    <w:name w:val="文档结构图 Char"/>
    <w:basedOn w:val="22"/>
    <w:link w:val="7"/>
    <w:semiHidden/>
    <w:qFormat/>
    <w:uiPriority w:val="99"/>
    <w:rPr>
      <w:rFonts w:ascii="宋体" w:eastAsia="宋体"/>
      <w:sz w:val="18"/>
      <w:szCs w:val="18"/>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0"/>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列出段落1"/>
    <w:basedOn w:val="1"/>
    <w:qFormat/>
    <w:uiPriority w:val="0"/>
    <w:pPr>
      <w:ind w:firstLine="420" w:firstLineChars="200"/>
    </w:pPr>
    <w:rPr>
      <w:rFonts w:ascii="Calibri" w:hAnsi="Calibri" w:eastAsia="宋体" w:cs="Times New Roman"/>
      <w:sz w:val="24"/>
    </w:rPr>
  </w:style>
  <w:style w:type="paragraph" w:customStyle="1" w:styleId="37">
    <w:name w:val="Table Paragraph"/>
    <w:basedOn w:val="1"/>
    <w:qFormat/>
    <w:uiPriority w:val="1"/>
    <w:rPr>
      <w:rFonts w:ascii="宋体" w:hAnsi="宋体" w:eastAsia="宋体" w:cs="宋体"/>
      <w:lang w:eastAsia="zh-CN"/>
    </w:rPr>
  </w:style>
  <w:style w:type="character" w:customStyle="1" w:styleId="38">
    <w:name w:val="font21"/>
    <w:basedOn w:val="22"/>
    <w:qFormat/>
    <w:uiPriority w:val="0"/>
    <w:rPr>
      <w:rFonts w:hint="eastAsia" w:ascii="黑体" w:hAnsi="宋体" w:eastAsia="黑体" w:cs="黑体"/>
      <w:b/>
      <w:bCs/>
      <w:color w:val="000000"/>
      <w:sz w:val="36"/>
      <w:szCs w:val="36"/>
      <w:u w:val="single"/>
    </w:rPr>
  </w:style>
  <w:style w:type="paragraph" w:styleId="39">
    <w:name w:val="List Paragraph"/>
    <w:basedOn w:val="1"/>
    <w:qFormat/>
    <w:uiPriority w:val="0"/>
    <w:pPr>
      <w:framePr w:hSpace="180" w:wrap="around" w:vAnchor="text" w:hAnchor="margin" w:xAlign="center" w:y="185"/>
      <w:jc w:val="center"/>
      <w:textAlignment w:val="center"/>
    </w:pPr>
    <w:rPr>
      <w:sz w:val="24"/>
      <w:szCs w:val="22"/>
    </w:rPr>
  </w:style>
  <w:style w:type="paragraph" w:styleId="40">
    <w:name w:val="No Spacing"/>
    <w:qFormat/>
    <w:uiPriority w:val="1"/>
    <w:pPr>
      <w:widowControl w:val="0"/>
      <w:spacing w:line="360" w:lineRule="auto"/>
      <w:jc w:val="center"/>
    </w:pPr>
    <w:rPr>
      <w:rFonts w:ascii="等线" w:hAnsi="等线" w:eastAsia="等线" w:cstheme="minorHAnsi"/>
      <w:color w:val="000000" w:themeColor="text1"/>
      <w:lang w:val="en-US" w:eastAsia="zh-CN" w:bidi="ar-SA"/>
      <w14:textFill>
        <w14:solidFill>
          <w14:schemeClr w14:val="tx1"/>
        </w14:solidFill>
      </w14:textFill>
    </w:rPr>
  </w:style>
  <w:style w:type="paragraph" w:customStyle="1" w:styleId="41">
    <w:name w:val="样式 样式 样式 左侧:  2 字符1 + 首行缩进:  2 字符1 + 首行缩进:  2 字符"/>
    <w:basedOn w:val="1"/>
    <w:qFormat/>
    <w:uiPriority w:val="0"/>
    <w:pPr>
      <w:spacing w:before="60" w:after="120" w:line="440" w:lineRule="atLeast"/>
      <w:ind w:firstLine="480"/>
    </w:pPr>
    <w:rPr>
      <w:sz w:val="24"/>
    </w:rPr>
  </w:style>
  <w:style w:type="paragraph" w:customStyle="1" w:styleId="42">
    <w:name w:val="样式 宋体 五号 行距: 单倍行距"/>
    <w:basedOn w:val="1"/>
    <w:qFormat/>
    <w:uiPriority w:val="0"/>
    <w:rPr>
      <w:rFonts w:ascii="宋体" w:hAnsi="宋体"/>
    </w:rPr>
  </w:style>
  <w:style w:type="paragraph" w:customStyle="1" w:styleId="43">
    <w:name w:val="Char1"/>
    <w:basedOn w:val="1"/>
    <w:qFormat/>
    <w:uiPriority w:val="0"/>
    <w:rPr>
      <w:rFonts w:ascii="Tahoma" w:hAnsi="Tahoma"/>
      <w:sz w:val="24"/>
    </w:rPr>
  </w:style>
  <w:style w:type="character" w:customStyle="1" w:styleId="44">
    <w:name w:val="标题 2 Char"/>
    <w:basedOn w:val="22"/>
    <w:link w:val="4"/>
    <w:qFormat/>
    <w:uiPriority w:val="0"/>
    <w:rPr>
      <w:rFonts w:ascii="Arial" w:hAnsi="Arial" w:eastAsia="黑体" w:cs="Arial"/>
      <w:b/>
      <w:snapToGrid w:val="0"/>
      <w:color w:val="000000"/>
      <w:sz w:val="30"/>
      <w:lang w:eastAsia="en-US"/>
    </w:rPr>
  </w:style>
  <w:style w:type="character" w:customStyle="1" w:styleId="45">
    <w:name w:val="正文文本 Char"/>
    <w:basedOn w:val="22"/>
    <w:link w:val="9"/>
    <w:semiHidden/>
    <w:qFormat/>
    <w:uiPriority w:val="0"/>
    <w:rPr>
      <w:rFonts w:ascii="黑体" w:hAnsi="黑体" w:eastAsia="黑体" w:cs="黑体"/>
      <w:snapToGrid w:val="0"/>
      <w:color w:val="000000"/>
      <w:sz w:val="31"/>
      <w:szCs w:val="31"/>
      <w:lang w:eastAsia="en-US"/>
    </w:rPr>
  </w:style>
  <w:style w:type="character" w:customStyle="1" w:styleId="46">
    <w:name w:val="正文文本缩进 Char"/>
    <w:basedOn w:val="22"/>
    <w:link w:val="10"/>
    <w:qFormat/>
    <w:uiPriority w:val="0"/>
    <w:rPr>
      <w:snapToGrid w:val="0"/>
      <w:color w:val="000000"/>
      <w:sz w:val="24"/>
      <w:szCs w:val="21"/>
      <w:lang w:eastAsia="en-US"/>
    </w:rPr>
  </w:style>
  <w:style w:type="character" w:customStyle="1" w:styleId="47">
    <w:name w:val="纯文本 Char"/>
    <w:basedOn w:val="22"/>
    <w:link w:val="12"/>
    <w:qFormat/>
    <w:uiPriority w:val="0"/>
    <w:rPr>
      <w:rFonts w:ascii="宋体" w:hAnsi="Courier New" w:cs="Arial" w:eastAsiaTheme="minorEastAsia"/>
      <w:snapToGrid w:val="0"/>
      <w:color w:val="000000"/>
      <w:sz w:val="21"/>
      <w:lang w:eastAsia="en-US"/>
    </w:rPr>
  </w:style>
  <w:style w:type="character" w:customStyle="1" w:styleId="48">
    <w:name w:val="副标题 Char"/>
    <w:basedOn w:val="22"/>
    <w:link w:val="17"/>
    <w:qFormat/>
    <w:uiPriority w:val="0"/>
    <w:rPr>
      <w:rFonts w:ascii="Cambria" w:hAnsi="Cambria" w:cs="Arial" w:eastAsiaTheme="minorEastAsia"/>
      <w:b/>
      <w:bCs/>
      <w:snapToGrid w:val="0"/>
      <w:color w:val="000000"/>
      <w:kern w:val="28"/>
      <w:sz w:val="32"/>
      <w:szCs w:val="32"/>
      <w:lang w:eastAsia="en-US"/>
    </w:rPr>
  </w:style>
  <w:style w:type="character" w:customStyle="1" w:styleId="49">
    <w:name w:val="正文首行缩进 2 Char"/>
    <w:basedOn w:val="46"/>
    <w:link w:val="19"/>
    <w:qFormat/>
    <w:uiPriority w:val="0"/>
  </w:style>
  <w:style w:type="character" w:customStyle="1" w:styleId="50">
    <w:name w:val="font231"/>
    <w:basedOn w:val="22"/>
    <w:qFormat/>
    <w:uiPriority w:val="0"/>
    <w:rPr>
      <w:rFonts w:hint="eastAsia" w:ascii="宋体" w:hAnsi="宋体" w:eastAsia="宋体" w:cs="宋体"/>
      <w:b/>
      <w:bCs/>
      <w:color w:val="000000"/>
      <w:sz w:val="20"/>
      <w:szCs w:val="20"/>
      <w:u w:val="none"/>
    </w:rPr>
  </w:style>
  <w:style w:type="character" w:customStyle="1" w:styleId="51">
    <w:name w:val="font241"/>
    <w:basedOn w:val="22"/>
    <w:qFormat/>
    <w:uiPriority w:val="0"/>
    <w:rPr>
      <w:rFonts w:ascii="等线" w:hAnsi="等线" w:eastAsia="等线" w:cs="等线"/>
      <w:color w:val="000000"/>
      <w:sz w:val="20"/>
      <w:szCs w:val="20"/>
      <w:u w:val="none"/>
    </w:rPr>
  </w:style>
  <w:style w:type="character" w:customStyle="1" w:styleId="52">
    <w:name w:val="font51"/>
    <w:basedOn w:val="22"/>
    <w:qFormat/>
    <w:uiPriority w:val="0"/>
    <w:rPr>
      <w:rFonts w:hint="eastAsia" w:ascii="宋体" w:hAnsi="宋体" w:eastAsia="宋体" w:cs="宋体"/>
      <w:color w:val="000000"/>
      <w:sz w:val="20"/>
      <w:szCs w:val="20"/>
      <w:u w:val="none"/>
    </w:rPr>
  </w:style>
  <w:style w:type="character" w:customStyle="1" w:styleId="53">
    <w:name w:val="font251"/>
    <w:basedOn w:val="22"/>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162</Pages>
  <Words>20438</Words>
  <Characters>22268</Characters>
  <Lines>859</Lines>
  <Paragraphs>241</Paragraphs>
  <TotalTime>1</TotalTime>
  <ScaleCrop>false</ScaleCrop>
  <LinksUpToDate>false</LinksUpToDate>
  <CharactersWithSpaces>22554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2025-06-03T03:58:00Z</dcterms:created>
  <dc:creator>admin</dc:creator>
  <cp:lastModifiedBy>Lie。</cp:lastModifiedBy>
  <cp:lastPrinted>2025-02-21T07:47:00Z</cp:lastPrinted>
  <dcterms:modified xsi:type="dcterms:W3CDTF">2025-06-27T11:57:36Z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2024-12-30T17:37:19Z</vt:filetime>
  </property>
  <property fmtid="{D5CDD505-2E9C-101B-9397-08002B2CF9AE}" pid="4" name="KSOTemplateDocerSaveRecord">
    <vt:lpwstr>eyJoZGlkIjoiNWExNjg0YzJhMzA4MmRmMmUzNGFhNDhlNzE3NDBkZWMiLCJ1c2VySWQiOiI0MDM1NzEzOTEifQ==</vt:lpwstr>
  </property>
  <property fmtid="{D5CDD505-2E9C-101B-9397-08002B2CF9AE}" pid="5" name="KSOProductBuildVer">
    <vt:lpwstr>2052-12.1.0.21915</vt:lpwstr>
  </property>
  <property fmtid="{D5CDD505-2E9C-101B-9397-08002B2CF9AE}" pid="6" name="ICV">
    <vt:lpwstr>C93FA7A8F4E941509151F1B2DB86A1C9_13</vt:lpwstr>
  </property>
</Properties>
</file>