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3A671">
      <w:pPr>
        <w:keepLines w:val="0"/>
        <w:pageBreakBefore w:val="0"/>
        <w:kinsoku/>
        <w:wordWrap/>
        <w:overflowPunct/>
        <w:topLinePunct w:val="0"/>
        <w:bidi w:val="0"/>
        <w:adjustRightInd w:val="0"/>
        <w:snapToGrid w:val="0"/>
        <w:spacing w:line="360" w:lineRule="auto"/>
        <w:ind w:right="283"/>
        <w:jc w:val="right"/>
        <w:rPr>
          <w:rFonts w:ascii="宋体" w:hAnsi="宋体"/>
          <w:color w:val="auto"/>
        </w:rPr>
      </w:pPr>
      <w:r>
        <w:rPr>
          <w:rFonts w:asciiTheme="minorEastAsia" w:hAnsiTheme="minorEastAsia"/>
          <w:color w:val="auto"/>
          <w:sz w:val="24"/>
          <w:szCs w:val="24"/>
        </w:rPr>
        <w:t>项目编号：</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HYPERLINK "https://www.zcygov.cn/delegation-order/_procurement_/order/orderInfo/detail/6821773913923979149" \t "https://www.zcygov.cn/delegation-order/_procurement_/order/_blank"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2025-0613-161743</w:t>
      </w:r>
      <w:r>
        <w:rPr>
          <w:rFonts w:hint="eastAsia" w:asciiTheme="minorEastAsia" w:hAnsiTheme="minorEastAsia"/>
          <w:color w:val="auto"/>
          <w:sz w:val="24"/>
          <w:szCs w:val="24"/>
        </w:rPr>
        <w:fldChar w:fldCharType="end"/>
      </w:r>
      <w:r>
        <w:rPr>
          <w:rFonts w:asciiTheme="minorEastAsia" w:hAnsiTheme="minorEastAsia"/>
          <w:color w:val="auto"/>
          <w:sz w:val="24"/>
          <w:szCs w:val="24"/>
        </w:rPr>
        <w:t xml:space="preserve"> </w:t>
      </w:r>
      <w:r>
        <w:rPr>
          <w:color w:val="auto"/>
        </w:rPr>
        <w:fldChar w:fldCharType="begin"/>
      </w:r>
      <w:r>
        <w:rPr>
          <w:color w:val="auto"/>
        </w:rPr>
        <w:instrText xml:space="preserve"> HYPERLINK "https://www.zcygov.cn/bidding-entrust/" \l "/order/orderDetail/6731445556113269195/look" \t "_blank" </w:instrText>
      </w:r>
      <w:r>
        <w:rPr>
          <w:color w:val="auto"/>
        </w:rPr>
        <w:fldChar w:fldCharType="separate"/>
      </w:r>
      <w:r>
        <w:rPr>
          <w:color w:val="auto"/>
        </w:rPr>
        <w:fldChar w:fldCharType="end"/>
      </w:r>
    </w:p>
    <w:p w14:paraId="14961132">
      <w:pPr>
        <w:keepLines w:val="0"/>
        <w:pageBreakBefore w:val="0"/>
        <w:kinsoku/>
        <w:wordWrap/>
        <w:overflowPunct/>
        <w:topLinePunct w:val="0"/>
        <w:bidi w:val="0"/>
        <w:adjustRightInd w:val="0"/>
        <w:snapToGrid w:val="0"/>
        <w:spacing w:line="360" w:lineRule="auto"/>
        <w:jc w:val="right"/>
        <w:rPr>
          <w:rFonts w:ascii="宋体"/>
          <w:color w:val="auto"/>
        </w:rPr>
      </w:pPr>
    </w:p>
    <w:p w14:paraId="4047B9DD">
      <w:pPr>
        <w:keepLines w:val="0"/>
        <w:pageBreakBefore w:val="0"/>
        <w:kinsoku/>
        <w:wordWrap/>
        <w:overflowPunct/>
        <w:topLinePunct w:val="0"/>
        <w:bidi w:val="0"/>
        <w:adjustRightInd w:val="0"/>
        <w:snapToGrid w:val="0"/>
        <w:spacing w:line="360" w:lineRule="auto"/>
        <w:jc w:val="center"/>
        <w:rPr>
          <w:rFonts w:ascii="宋体" w:hAnsi="宋体"/>
          <w:bCs/>
          <w:color w:val="auto"/>
          <w:sz w:val="48"/>
          <w:szCs w:val="48"/>
        </w:rPr>
      </w:pPr>
      <w:r>
        <w:rPr>
          <w:rFonts w:asciiTheme="minorEastAsia" w:hAnsiTheme="minorEastAsia"/>
          <w:color w:val="auto"/>
          <w:sz w:val="24"/>
          <w:szCs w:val="24"/>
        </w:rPr>
        <w:drawing>
          <wp:anchor distT="0" distB="0" distL="114300" distR="114300" simplePos="0" relativeHeight="251659264" behindDoc="0" locked="0" layoutInCell="1" allowOverlap="1">
            <wp:simplePos x="0" y="0"/>
            <wp:positionH relativeFrom="column">
              <wp:posOffset>194945</wp:posOffset>
            </wp:positionH>
            <wp:positionV relativeFrom="paragraph">
              <wp:posOffset>-443865</wp:posOffset>
            </wp:positionV>
            <wp:extent cx="756285" cy="790575"/>
            <wp:effectExtent l="0" t="0" r="571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tretch>
                      <a:fillRect/>
                    </a:stretch>
                  </pic:blipFill>
                  <pic:spPr>
                    <a:xfrm>
                      <a:off x="0" y="0"/>
                      <a:ext cx="756285" cy="790575"/>
                    </a:xfrm>
                    <a:prstGeom prst="rect">
                      <a:avLst/>
                    </a:prstGeom>
                    <a:noFill/>
                    <a:ln>
                      <a:noFill/>
                    </a:ln>
                  </pic:spPr>
                </pic:pic>
              </a:graphicData>
            </a:graphic>
          </wp:anchor>
        </w:drawing>
      </w:r>
    </w:p>
    <w:p w14:paraId="72B3A069">
      <w:pPr>
        <w:keepLines w:val="0"/>
        <w:pageBreakBefore w:val="0"/>
        <w:kinsoku/>
        <w:wordWrap/>
        <w:overflowPunct/>
        <w:topLinePunct w:val="0"/>
        <w:bidi w:val="0"/>
        <w:adjustRightInd w:val="0"/>
        <w:snapToGrid w:val="0"/>
        <w:spacing w:line="360" w:lineRule="auto"/>
        <w:jc w:val="center"/>
        <w:rPr>
          <w:rFonts w:ascii="宋体"/>
          <w:b/>
          <w:bCs/>
          <w:color w:val="auto"/>
        </w:rPr>
      </w:pPr>
      <w:r>
        <w:rPr>
          <w:rFonts w:hint="eastAsia" w:ascii="宋体" w:hAnsi="宋体"/>
          <w:bCs/>
          <w:color w:val="auto"/>
          <w:sz w:val="48"/>
          <w:szCs w:val="48"/>
        </w:rPr>
        <w:t>竞争性磋商文件</w:t>
      </w:r>
    </w:p>
    <w:p w14:paraId="5CABC5E4">
      <w:pPr>
        <w:keepNext w:val="0"/>
        <w:keepLines w:val="0"/>
        <w:pageBreakBefore w:val="0"/>
        <w:widowControl w:val="0"/>
        <w:kinsoku/>
        <w:wordWrap/>
        <w:overflowPunct/>
        <w:topLinePunct w:val="0"/>
        <w:autoSpaceDE/>
        <w:autoSpaceDN/>
        <w:bidi w:val="0"/>
        <w:adjustRightInd w:val="0"/>
        <w:snapToGrid w:val="0"/>
        <w:spacing w:line="480" w:lineRule="auto"/>
        <w:jc w:val="center"/>
        <w:textAlignment w:val="auto"/>
        <w:rPr>
          <w:rFonts w:hint="eastAsia" w:ascii="宋体" w:hAnsi="宋体"/>
          <w:bCs/>
          <w:color w:val="auto"/>
          <w:sz w:val="32"/>
          <w:szCs w:val="32"/>
        </w:rPr>
      </w:pPr>
      <w:r>
        <w:rPr>
          <w:rFonts w:hint="eastAsia" w:ascii="宋体" w:hAnsi="宋体"/>
          <w:bCs/>
          <w:color w:val="auto"/>
          <w:sz w:val="32"/>
          <w:szCs w:val="32"/>
        </w:rPr>
        <w:t>（</w:t>
      </w:r>
      <w:r>
        <w:rPr>
          <w:rFonts w:hint="eastAsia" w:ascii="宋体" w:hAnsi="宋体"/>
          <w:bCs/>
          <w:color w:val="auto"/>
          <w:sz w:val="32"/>
          <w:szCs w:val="32"/>
          <w:lang w:eastAsia="zh-CN"/>
        </w:rPr>
        <w:t>政府</w:t>
      </w:r>
      <w:r>
        <w:rPr>
          <w:rFonts w:hint="eastAsia" w:ascii="宋体" w:hAnsi="宋体"/>
          <w:bCs/>
          <w:color w:val="auto"/>
          <w:sz w:val="32"/>
          <w:szCs w:val="32"/>
        </w:rPr>
        <w:t>采购服务）</w:t>
      </w:r>
    </w:p>
    <w:p w14:paraId="6CC320F4">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bCs/>
          <w:color w:val="auto"/>
          <w:sz w:val="32"/>
          <w:szCs w:val="32"/>
        </w:rPr>
      </w:pPr>
      <w:r>
        <w:rPr>
          <w:rFonts w:hint="eastAsia" w:ascii="宋体" w:hAnsi="宋体"/>
          <w:bCs/>
          <w:color w:val="auto"/>
          <w:sz w:val="32"/>
          <w:szCs w:val="32"/>
        </w:rPr>
        <w:t>项目名称：</w:t>
      </w:r>
      <w:r>
        <w:rPr>
          <w:rFonts w:hint="eastAsia" w:ascii="宋体" w:hAnsi="宋体"/>
          <w:bCs/>
          <w:color w:val="auto"/>
          <w:sz w:val="32"/>
          <w:szCs w:val="32"/>
          <w:lang w:eastAsia="zh-CN"/>
        </w:rPr>
        <w:t>水磨沟区“十五五”规划前期研究及纲要编制项目</w:t>
      </w:r>
    </w:p>
    <w:p w14:paraId="0C19BA0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宋体" w:hAnsi="宋体"/>
          <w:bCs/>
          <w:color w:val="auto"/>
          <w:sz w:val="32"/>
          <w:szCs w:val="32"/>
        </w:rPr>
      </w:pPr>
      <w:r>
        <w:rPr>
          <w:rFonts w:hint="eastAsia" w:ascii="宋体" w:hAnsi="宋体"/>
          <w:bCs/>
          <w:color w:val="auto"/>
          <w:sz w:val="32"/>
          <w:szCs w:val="32"/>
        </w:rPr>
        <w:t>采购人(盖章)：乌鲁木齐市水磨沟区发展和改革委员会（乌鲁木齐市水磨沟区工业和信息化局、粮食和物资储备局）</w:t>
      </w:r>
    </w:p>
    <w:p w14:paraId="2B815294">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法定代表人</w:t>
      </w:r>
      <w:r>
        <w:rPr>
          <w:rFonts w:ascii="宋体" w:hAnsi="宋体"/>
          <w:bCs/>
          <w:color w:val="auto"/>
          <w:sz w:val="32"/>
          <w:szCs w:val="32"/>
        </w:rPr>
        <w:t>(</w:t>
      </w:r>
      <w:r>
        <w:rPr>
          <w:rFonts w:hint="eastAsia" w:ascii="宋体" w:hAnsi="宋体"/>
          <w:bCs/>
          <w:color w:val="auto"/>
          <w:sz w:val="32"/>
          <w:szCs w:val="32"/>
        </w:rPr>
        <w:t>盖章</w:t>
      </w:r>
      <w:r>
        <w:rPr>
          <w:rFonts w:ascii="宋体" w:hAnsi="宋体"/>
          <w:bCs/>
          <w:color w:val="auto"/>
          <w:sz w:val="32"/>
          <w:szCs w:val="32"/>
        </w:rPr>
        <w:t>)</w:t>
      </w:r>
      <w:r>
        <w:rPr>
          <w:rFonts w:hint="eastAsia" w:ascii="宋体" w:hAnsi="宋体"/>
          <w:bCs/>
          <w:color w:val="auto"/>
          <w:sz w:val="32"/>
          <w:szCs w:val="32"/>
        </w:rPr>
        <w:t>：</w:t>
      </w:r>
    </w:p>
    <w:p w14:paraId="272B0986">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联系人：</w:t>
      </w:r>
      <w:r>
        <w:rPr>
          <w:rFonts w:ascii="宋体" w:hAnsi="宋体"/>
          <w:bCs/>
          <w:color w:val="auto"/>
          <w:sz w:val="32"/>
          <w:szCs w:val="32"/>
        </w:rPr>
        <w:t xml:space="preserve"> </w:t>
      </w:r>
      <w:r>
        <w:rPr>
          <w:rFonts w:hint="eastAsia" w:ascii="宋体" w:hAnsi="宋体"/>
          <w:bCs/>
          <w:color w:val="auto"/>
          <w:sz w:val="32"/>
          <w:szCs w:val="32"/>
        </w:rPr>
        <w:t>李烁</w:t>
      </w:r>
    </w:p>
    <w:p w14:paraId="39192A3A">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 xml:space="preserve">电话： </w:t>
      </w:r>
      <w:r>
        <w:rPr>
          <w:rFonts w:ascii="宋体" w:hAnsi="宋体"/>
          <w:bCs/>
          <w:color w:val="auto"/>
          <w:sz w:val="32"/>
          <w:szCs w:val="32"/>
        </w:rPr>
        <w:t>13201231580</w:t>
      </w:r>
    </w:p>
    <w:p w14:paraId="21541B57">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kern w:val="0"/>
          <w:sz w:val="32"/>
          <w:szCs w:val="32"/>
        </w:rPr>
      </w:pPr>
      <w:r>
        <w:rPr>
          <w:rFonts w:ascii="宋体" w:hAnsi="宋体"/>
          <w:bCs/>
          <w:color w:val="auto"/>
          <w:kern w:val="0"/>
          <w:sz w:val="32"/>
          <w:szCs w:val="32"/>
        </w:rPr>
        <w:t>———————————————————————————</w:t>
      </w:r>
    </w:p>
    <w:p w14:paraId="4F44E7C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sz w:val="32"/>
          <w:szCs w:val="32"/>
        </w:rPr>
      </w:pPr>
      <w:r>
        <w:rPr>
          <w:rFonts w:hint="eastAsia" w:ascii="宋体" w:hAnsi="宋体"/>
          <w:bCs/>
          <w:color w:val="auto"/>
          <w:sz w:val="32"/>
          <w:szCs w:val="32"/>
        </w:rPr>
        <w:t>采购代理机构</w:t>
      </w:r>
      <w:r>
        <w:rPr>
          <w:rFonts w:ascii="宋体" w:hAnsi="宋体"/>
          <w:color w:val="auto"/>
          <w:sz w:val="32"/>
          <w:szCs w:val="32"/>
        </w:rPr>
        <w:t>(</w:t>
      </w:r>
      <w:r>
        <w:rPr>
          <w:rFonts w:hint="eastAsia" w:ascii="宋体" w:hAnsi="宋体"/>
          <w:color w:val="auto"/>
          <w:sz w:val="32"/>
          <w:szCs w:val="32"/>
        </w:rPr>
        <w:t>盖章</w:t>
      </w:r>
      <w:r>
        <w:rPr>
          <w:rFonts w:ascii="宋体" w:hAnsi="宋体"/>
          <w:color w:val="auto"/>
          <w:sz w:val="32"/>
          <w:szCs w:val="32"/>
        </w:rPr>
        <w:t>)</w:t>
      </w:r>
      <w:r>
        <w:rPr>
          <w:rFonts w:hint="eastAsia" w:ascii="宋体" w:hAnsi="宋体"/>
          <w:bCs/>
          <w:color w:val="auto"/>
          <w:sz w:val="32"/>
          <w:szCs w:val="32"/>
        </w:rPr>
        <w:t>：新疆锐智时代建设工程项目管理有限公司</w:t>
      </w:r>
    </w:p>
    <w:p w14:paraId="27246AA9">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sz w:val="32"/>
          <w:szCs w:val="32"/>
        </w:rPr>
      </w:pPr>
      <w:r>
        <w:rPr>
          <w:rFonts w:hint="eastAsia" w:ascii="宋体" w:hAnsi="宋体"/>
          <w:bCs/>
          <w:color w:val="auto"/>
          <w:sz w:val="32"/>
          <w:szCs w:val="32"/>
        </w:rPr>
        <w:t>法定代表人</w:t>
      </w:r>
      <w:r>
        <w:rPr>
          <w:rFonts w:ascii="宋体" w:hAnsi="宋体"/>
          <w:bCs/>
          <w:color w:val="auto"/>
          <w:sz w:val="32"/>
          <w:szCs w:val="32"/>
        </w:rPr>
        <w:t>(</w:t>
      </w:r>
      <w:r>
        <w:rPr>
          <w:rFonts w:hint="eastAsia" w:ascii="宋体" w:hAnsi="宋体"/>
          <w:bCs/>
          <w:color w:val="auto"/>
          <w:sz w:val="32"/>
          <w:szCs w:val="32"/>
        </w:rPr>
        <w:t>盖章</w:t>
      </w:r>
      <w:r>
        <w:rPr>
          <w:rFonts w:ascii="宋体" w:hAnsi="宋体"/>
          <w:bCs/>
          <w:color w:val="auto"/>
          <w:sz w:val="32"/>
          <w:szCs w:val="32"/>
        </w:rPr>
        <w:t>)</w:t>
      </w:r>
      <w:r>
        <w:rPr>
          <w:rFonts w:hint="eastAsia" w:ascii="宋体" w:hAnsi="宋体"/>
          <w:bCs/>
          <w:color w:val="auto"/>
          <w:sz w:val="32"/>
          <w:szCs w:val="32"/>
        </w:rPr>
        <w:t xml:space="preserve">： </w:t>
      </w:r>
    </w:p>
    <w:p w14:paraId="3DB9EE7E">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hAnsi="宋体"/>
          <w:bCs/>
          <w:color w:val="auto"/>
          <w:sz w:val="32"/>
          <w:szCs w:val="32"/>
        </w:rPr>
      </w:pPr>
      <w:r>
        <w:rPr>
          <w:rFonts w:hint="eastAsia" w:ascii="宋体" w:hAnsi="宋体"/>
          <w:bCs/>
          <w:color w:val="auto"/>
          <w:sz w:val="32"/>
          <w:szCs w:val="32"/>
        </w:rPr>
        <w:t>联系人：叶成</w:t>
      </w:r>
    </w:p>
    <w:p w14:paraId="5824501F">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ascii="宋体"/>
          <w:bCs/>
          <w:color w:val="auto"/>
          <w:sz w:val="32"/>
          <w:szCs w:val="32"/>
        </w:rPr>
      </w:pPr>
      <w:r>
        <w:rPr>
          <w:rFonts w:hint="eastAsia" w:ascii="宋体" w:hAnsi="宋体"/>
          <w:bCs/>
          <w:color w:val="auto"/>
          <w:sz w:val="32"/>
          <w:szCs w:val="32"/>
        </w:rPr>
        <w:t>电话：13999292907</w:t>
      </w:r>
    </w:p>
    <w:p w14:paraId="58AA552F">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ascii="宋体" w:hAnsi="宋体"/>
          <w:bCs/>
          <w:color w:val="auto"/>
          <w:sz w:val="32"/>
          <w:szCs w:val="32"/>
        </w:rPr>
      </w:pPr>
      <w:r>
        <w:rPr>
          <w:rFonts w:hint="eastAsia" w:ascii="宋体" w:hAnsi="宋体"/>
          <w:bCs/>
          <w:color w:val="auto"/>
          <w:sz w:val="32"/>
          <w:szCs w:val="32"/>
        </w:rPr>
        <w:t>详细地址：乌鲁木齐市水磨沟区立井街丽景名都10号楼21楼2115室</w:t>
      </w:r>
      <w:r>
        <w:rPr>
          <w:rFonts w:ascii="宋体" w:hAnsi="宋体"/>
          <w:bCs/>
          <w:color w:val="auto"/>
          <w:sz w:val="32"/>
          <w:szCs w:val="32"/>
        </w:rPr>
        <w:br w:type="page"/>
      </w:r>
    </w:p>
    <w:p w14:paraId="3DF116F5">
      <w:pPr>
        <w:keepLines w:val="0"/>
        <w:pageBreakBefore w:val="0"/>
        <w:kinsoku/>
        <w:wordWrap/>
        <w:overflowPunct/>
        <w:topLinePunct w:val="0"/>
        <w:bidi w:val="0"/>
        <w:spacing w:line="360" w:lineRule="auto"/>
        <w:jc w:val="center"/>
        <w:rPr>
          <w:rFonts w:ascii="宋体" w:hAnsi="宋体"/>
          <w:bCs/>
          <w:color w:val="auto"/>
          <w:sz w:val="32"/>
          <w:szCs w:val="32"/>
        </w:rPr>
      </w:pPr>
    </w:p>
    <w:p w14:paraId="54CE4A15">
      <w:pPr>
        <w:keepLines w:val="0"/>
        <w:pageBreakBefore w:val="0"/>
        <w:kinsoku/>
        <w:wordWrap/>
        <w:overflowPunct/>
        <w:topLinePunct w:val="0"/>
        <w:bidi w:val="0"/>
        <w:spacing w:line="360" w:lineRule="auto"/>
        <w:jc w:val="center"/>
        <w:rPr>
          <w:rFonts w:ascii="宋体" w:hAnsi="宋体" w:eastAsia="宋体" w:cs="宋体"/>
          <w:b/>
          <w:bCs/>
          <w:color w:val="auto"/>
          <w:sz w:val="24"/>
          <w:szCs w:val="24"/>
        </w:rPr>
      </w:pPr>
      <w:r>
        <w:rPr>
          <w:rFonts w:hint="eastAsia" w:ascii="宋体" w:hAnsi="宋体" w:eastAsia="宋体" w:cs="宋体"/>
          <w:b/>
          <w:bCs/>
          <w:color w:val="auto"/>
          <w:sz w:val="24"/>
          <w:szCs w:val="24"/>
        </w:rPr>
        <w:t>目录</w:t>
      </w:r>
    </w:p>
    <w:p w14:paraId="5D57CC0E">
      <w:pPr>
        <w:keepLines w:val="0"/>
        <w:pageBreakBefore w:val="0"/>
        <w:kinsoku/>
        <w:wordWrap/>
        <w:overflowPunct/>
        <w:topLinePunct w:val="0"/>
        <w:bidi w:val="0"/>
        <w:spacing w:line="360" w:lineRule="auto"/>
        <w:jc w:val="left"/>
        <w:rPr>
          <w:rFonts w:ascii="宋体" w:hAnsi="Calibri" w:eastAsia="宋体" w:cs="宋体"/>
          <w:b w:val="0"/>
          <w:bCs w:val="0"/>
          <w:color w:val="auto"/>
          <w:szCs w:val="21"/>
        </w:rPr>
      </w:pPr>
      <w:r>
        <w:rPr>
          <w:rFonts w:hint="eastAsia" w:ascii="宋体" w:hAnsi="宋体" w:eastAsia="宋体" w:cs="宋体"/>
          <w:b w:val="0"/>
          <w:bCs w:val="0"/>
          <w:color w:val="auto"/>
          <w:szCs w:val="21"/>
        </w:rPr>
        <w:t>竞争性磋商公告......................................................................1</w:t>
      </w:r>
    </w:p>
    <w:p w14:paraId="7093BD0C">
      <w:pPr>
        <w:pStyle w:val="29"/>
        <w:tabs>
          <w:tab w:val="right" w:leader="dot" w:pos="8930"/>
        </w:tabs>
        <w:rPr>
          <w:rFonts w:hint="eastAsia" w:ascii="宋体" w:hAnsi="宋体" w:eastAsia="宋体" w:cs="宋体"/>
          <w:color w:val="auto"/>
        </w:rPr>
      </w:pPr>
      <w:r>
        <w:rPr>
          <w:rFonts w:hint="eastAsia" w:ascii="宋体" w:hAnsi="宋体" w:eastAsia="宋体" w:cs="宋体"/>
          <w:b/>
          <w:bCs/>
          <w:color w:val="auto"/>
          <w:sz w:val="24"/>
        </w:rPr>
        <w:fldChar w:fldCharType="begin"/>
      </w:r>
      <w:r>
        <w:rPr>
          <w:rFonts w:hint="eastAsia" w:ascii="宋体" w:hAnsi="宋体" w:eastAsia="宋体" w:cs="宋体"/>
          <w:b/>
          <w:bCs/>
          <w:color w:val="auto"/>
          <w:sz w:val="24"/>
        </w:rPr>
        <w:instrText xml:space="preserve">TOC \o "1-3" \h \u </w:instrText>
      </w:r>
      <w:r>
        <w:rPr>
          <w:rFonts w:hint="eastAsia" w:ascii="宋体" w:hAnsi="宋体" w:eastAsia="宋体" w:cs="宋体"/>
          <w:b/>
          <w:bCs/>
          <w:color w:val="auto"/>
          <w:sz w:val="24"/>
        </w:rPr>
        <w:fldChar w:fldCharType="separate"/>
      </w: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_Toc9946 </w:instrText>
      </w:r>
      <w:r>
        <w:rPr>
          <w:rFonts w:hint="eastAsia" w:ascii="宋体" w:hAnsi="宋体" w:eastAsia="宋体" w:cs="宋体"/>
          <w:bCs/>
          <w:color w:val="auto"/>
        </w:rPr>
        <w:fldChar w:fldCharType="separate"/>
      </w:r>
      <w:r>
        <w:rPr>
          <w:rFonts w:hint="eastAsia" w:ascii="宋体" w:hAnsi="宋体" w:eastAsia="宋体" w:cs="宋体"/>
          <w:color w:val="auto"/>
          <w:szCs w:val="24"/>
        </w:rPr>
        <w:t>供应商须知前附表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_Toc9946 \h </w:instrText>
      </w:r>
      <w:r>
        <w:rPr>
          <w:rFonts w:hint="eastAsia" w:ascii="宋体" w:hAnsi="宋体" w:eastAsia="宋体" w:cs="宋体"/>
          <w:color w:val="auto"/>
        </w:rPr>
        <w:fldChar w:fldCharType="separate"/>
      </w:r>
      <w:r>
        <w:rPr>
          <w:rFonts w:hint="eastAsia" w:ascii="宋体" w:hAnsi="宋体" w:eastAsia="宋体" w:cs="宋体"/>
          <w:color w:val="auto"/>
        </w:rPr>
        <w:t>4</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69A3A19A">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_Toc20585 </w:instrText>
      </w:r>
      <w:r>
        <w:rPr>
          <w:rFonts w:hint="eastAsia" w:ascii="宋体" w:hAnsi="宋体" w:eastAsia="宋体" w:cs="宋体"/>
          <w:bCs/>
          <w:color w:val="auto"/>
        </w:rPr>
        <w:fldChar w:fldCharType="separate"/>
      </w:r>
      <w:r>
        <w:rPr>
          <w:rFonts w:hint="eastAsia" w:ascii="宋体" w:hAnsi="宋体" w:eastAsia="宋体" w:cs="宋体"/>
          <w:color w:val="auto"/>
          <w:szCs w:val="24"/>
        </w:rPr>
        <w:t>第一章 供应商须知</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_Toc20585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5547900C">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_Toc22006 </w:instrText>
      </w:r>
      <w:r>
        <w:rPr>
          <w:rFonts w:hint="eastAsia" w:ascii="宋体" w:hAnsi="宋体" w:eastAsia="宋体" w:cs="宋体"/>
          <w:bCs/>
          <w:color w:val="auto"/>
        </w:rPr>
        <w:fldChar w:fldCharType="separate"/>
      </w:r>
      <w:r>
        <w:rPr>
          <w:rFonts w:hint="eastAsia" w:ascii="宋体" w:hAnsi="宋体" w:eastAsia="宋体" w:cs="宋体"/>
          <w:color w:val="auto"/>
          <w:szCs w:val="24"/>
        </w:rPr>
        <w:t>1．总则</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_Toc22006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47ABF39">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_Toc3217 </w:instrText>
      </w:r>
      <w:r>
        <w:rPr>
          <w:rFonts w:hint="eastAsia" w:ascii="宋体" w:hAnsi="宋体" w:eastAsia="宋体" w:cs="宋体"/>
          <w:bCs/>
          <w:color w:val="auto"/>
        </w:rPr>
        <w:fldChar w:fldCharType="separate"/>
      </w:r>
      <w:r>
        <w:rPr>
          <w:rFonts w:hint="eastAsia" w:ascii="宋体" w:hAnsi="宋体" w:eastAsia="宋体" w:cs="宋体"/>
          <w:color w:val="auto"/>
          <w:szCs w:val="24"/>
        </w:rPr>
        <w:t>2．竞争性磋商文件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_Toc3217 \h </w:instrText>
      </w:r>
      <w:r>
        <w:rPr>
          <w:rFonts w:hint="eastAsia" w:ascii="宋体" w:hAnsi="宋体" w:eastAsia="宋体" w:cs="宋体"/>
          <w:color w:val="auto"/>
        </w:rPr>
        <w:fldChar w:fldCharType="separate"/>
      </w:r>
      <w:r>
        <w:rPr>
          <w:rFonts w:hint="eastAsia" w:ascii="宋体" w:hAnsi="宋体" w:eastAsia="宋体" w:cs="宋体"/>
          <w:color w:val="auto"/>
        </w:rPr>
        <w:t>12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96DCBC8">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_Toc26929 </w:instrText>
      </w:r>
      <w:r>
        <w:rPr>
          <w:rFonts w:hint="eastAsia" w:ascii="宋体" w:hAnsi="宋体" w:eastAsia="宋体" w:cs="宋体"/>
          <w:bCs/>
          <w:color w:val="auto"/>
        </w:rPr>
        <w:fldChar w:fldCharType="separate"/>
      </w:r>
      <w:r>
        <w:rPr>
          <w:rFonts w:hint="eastAsia" w:ascii="宋体" w:hAnsi="宋体" w:eastAsia="宋体" w:cs="宋体"/>
          <w:color w:val="auto"/>
          <w:szCs w:val="24"/>
        </w:rPr>
        <w:t>3．竞争性磋商响应文件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_Toc26929 \h </w:instrText>
      </w:r>
      <w:r>
        <w:rPr>
          <w:rFonts w:hint="eastAsia" w:ascii="宋体" w:hAnsi="宋体" w:eastAsia="宋体" w:cs="宋体"/>
          <w:color w:val="auto"/>
        </w:rPr>
        <w:fldChar w:fldCharType="separate"/>
      </w:r>
      <w:r>
        <w:rPr>
          <w:rFonts w:hint="eastAsia" w:ascii="宋体" w:hAnsi="宋体" w:eastAsia="宋体" w:cs="宋体"/>
          <w:color w:val="auto"/>
        </w:rPr>
        <w:t>13</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21400E91">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_Toc3950 </w:instrText>
      </w:r>
      <w:r>
        <w:rPr>
          <w:rFonts w:hint="eastAsia" w:ascii="宋体" w:hAnsi="宋体" w:eastAsia="宋体" w:cs="宋体"/>
          <w:bCs/>
          <w:color w:val="auto"/>
        </w:rPr>
        <w:fldChar w:fldCharType="separate"/>
      </w:r>
      <w:r>
        <w:rPr>
          <w:rFonts w:hint="eastAsia" w:ascii="宋体" w:hAnsi="宋体" w:eastAsia="宋体" w:cs="宋体"/>
          <w:color w:val="auto"/>
          <w:szCs w:val="24"/>
        </w:rPr>
        <w:t>4．投标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_Toc3950 \h </w:instrText>
      </w:r>
      <w:r>
        <w:rPr>
          <w:rFonts w:hint="eastAsia" w:ascii="宋体" w:hAnsi="宋体" w:eastAsia="宋体" w:cs="宋体"/>
          <w:color w:val="auto"/>
        </w:rPr>
        <w:fldChar w:fldCharType="separate"/>
      </w:r>
      <w:r>
        <w:rPr>
          <w:rFonts w:hint="eastAsia" w:ascii="宋体" w:hAnsi="宋体" w:eastAsia="宋体" w:cs="宋体"/>
          <w:color w:val="auto"/>
        </w:rPr>
        <w:t>15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1D739832">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_Toc28683 </w:instrText>
      </w:r>
      <w:r>
        <w:rPr>
          <w:rFonts w:hint="eastAsia" w:ascii="宋体" w:hAnsi="宋体" w:eastAsia="宋体" w:cs="宋体"/>
          <w:bCs/>
          <w:color w:val="auto"/>
        </w:rPr>
        <w:fldChar w:fldCharType="separate"/>
      </w:r>
      <w:r>
        <w:rPr>
          <w:rFonts w:hint="eastAsia" w:ascii="宋体" w:hAnsi="宋体" w:eastAsia="宋体" w:cs="宋体"/>
          <w:color w:val="auto"/>
          <w:szCs w:val="24"/>
        </w:rPr>
        <w:t>5．开标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_Toc28683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26880D4">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_Toc32036 </w:instrText>
      </w:r>
      <w:r>
        <w:rPr>
          <w:rFonts w:hint="eastAsia" w:ascii="宋体" w:hAnsi="宋体" w:eastAsia="宋体" w:cs="宋体"/>
          <w:bCs/>
          <w:color w:val="auto"/>
        </w:rPr>
        <w:fldChar w:fldCharType="separate"/>
      </w:r>
      <w:r>
        <w:rPr>
          <w:rFonts w:hint="eastAsia" w:ascii="宋体" w:hAnsi="宋体" w:eastAsia="宋体" w:cs="宋体"/>
          <w:color w:val="auto"/>
          <w:szCs w:val="24"/>
        </w:rPr>
        <w:t>6．评标</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_Toc32036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797D8A07">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_Toc3643 </w:instrText>
      </w:r>
      <w:r>
        <w:rPr>
          <w:rFonts w:hint="eastAsia" w:ascii="宋体" w:hAnsi="宋体" w:eastAsia="宋体" w:cs="宋体"/>
          <w:bCs/>
          <w:color w:val="auto"/>
        </w:rPr>
        <w:fldChar w:fldCharType="separate"/>
      </w:r>
      <w:r>
        <w:rPr>
          <w:rFonts w:hint="eastAsia" w:ascii="宋体" w:hAnsi="宋体" w:eastAsia="宋体" w:cs="宋体"/>
          <w:color w:val="auto"/>
          <w:szCs w:val="24"/>
        </w:rPr>
        <w:t>7．定标及合同授予</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_Toc3643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138440AC">
      <w:pPr>
        <w:pStyle w:val="35"/>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_Toc8768 </w:instrText>
      </w:r>
      <w:r>
        <w:rPr>
          <w:rFonts w:hint="eastAsia" w:ascii="宋体" w:hAnsi="宋体" w:eastAsia="宋体" w:cs="宋体"/>
          <w:bCs/>
          <w:color w:val="auto"/>
        </w:rPr>
        <w:fldChar w:fldCharType="separate"/>
      </w:r>
      <w:r>
        <w:rPr>
          <w:rFonts w:hint="eastAsia" w:ascii="宋体" w:hAnsi="宋体" w:eastAsia="宋体" w:cs="宋体"/>
          <w:color w:val="auto"/>
          <w:szCs w:val="24"/>
        </w:rPr>
        <w:t>8．纪律和监督</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_Toc8768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100DE632">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_Toc32510 </w:instrText>
      </w:r>
      <w:r>
        <w:rPr>
          <w:rFonts w:hint="eastAsia" w:ascii="宋体" w:hAnsi="宋体" w:eastAsia="宋体" w:cs="宋体"/>
          <w:bCs/>
          <w:color w:val="auto"/>
        </w:rPr>
        <w:fldChar w:fldCharType="separate"/>
      </w:r>
      <w:r>
        <w:rPr>
          <w:rFonts w:hint="eastAsia" w:ascii="宋体" w:hAnsi="宋体" w:eastAsia="宋体" w:cs="宋体"/>
          <w:color w:val="auto"/>
          <w:szCs w:val="24"/>
        </w:rPr>
        <w:t>第二章 评标办法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_Toc32510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5301AFB1">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_Toc4689 </w:instrText>
      </w:r>
      <w:r>
        <w:rPr>
          <w:rFonts w:hint="eastAsia" w:ascii="宋体" w:hAnsi="宋体" w:eastAsia="宋体" w:cs="宋体"/>
          <w:bCs/>
          <w:color w:val="auto"/>
        </w:rPr>
        <w:fldChar w:fldCharType="separate"/>
      </w:r>
      <w:r>
        <w:rPr>
          <w:rFonts w:hint="eastAsia" w:ascii="宋体" w:hAnsi="宋体" w:eastAsia="宋体" w:cs="宋体"/>
          <w:color w:val="auto"/>
          <w:szCs w:val="24"/>
        </w:rPr>
        <w:t>评标办法前附表</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_Toc4689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75BC5EE">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_Toc16358 </w:instrText>
      </w:r>
      <w:r>
        <w:rPr>
          <w:rFonts w:hint="eastAsia" w:ascii="宋体" w:hAnsi="宋体" w:eastAsia="宋体" w:cs="宋体"/>
          <w:bCs/>
          <w:color w:val="auto"/>
        </w:rPr>
        <w:fldChar w:fldCharType="separate"/>
      </w:r>
      <w:r>
        <w:rPr>
          <w:rFonts w:hint="eastAsia" w:ascii="宋体" w:hAnsi="宋体" w:eastAsia="宋体" w:cs="宋体"/>
          <w:color w:val="auto"/>
          <w:szCs w:val="24"/>
        </w:rPr>
        <w:t>1. 评标方法</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_Toc16358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DD82CA7">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_Toc5100 </w:instrText>
      </w:r>
      <w:r>
        <w:rPr>
          <w:rFonts w:hint="eastAsia" w:ascii="宋体" w:hAnsi="宋体" w:eastAsia="宋体" w:cs="宋体"/>
          <w:bCs/>
          <w:color w:val="auto"/>
        </w:rPr>
        <w:fldChar w:fldCharType="separate"/>
      </w:r>
      <w:r>
        <w:rPr>
          <w:rFonts w:hint="eastAsia" w:ascii="宋体" w:hAnsi="宋体" w:eastAsia="宋体" w:cs="宋体"/>
          <w:color w:val="auto"/>
          <w:szCs w:val="24"/>
        </w:rPr>
        <w:t>2. 评审标准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_Toc5100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0146BB17">
      <w:pPr>
        <w:pStyle w:val="21"/>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_Toc1849 </w:instrText>
      </w:r>
      <w:r>
        <w:rPr>
          <w:rFonts w:hint="eastAsia" w:ascii="宋体" w:hAnsi="宋体" w:eastAsia="宋体" w:cs="宋体"/>
          <w:bCs/>
          <w:color w:val="auto"/>
        </w:rPr>
        <w:fldChar w:fldCharType="separate"/>
      </w:r>
      <w:r>
        <w:rPr>
          <w:rFonts w:hint="eastAsia" w:ascii="宋体" w:hAnsi="宋体" w:eastAsia="宋体" w:cs="宋体"/>
          <w:color w:val="auto"/>
          <w:szCs w:val="24"/>
        </w:rPr>
        <w:t>3. 评标程序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_Toc1849 \h </w:instrText>
      </w:r>
      <w:r>
        <w:rPr>
          <w:rFonts w:hint="eastAsia" w:ascii="宋体" w:hAnsi="宋体" w:eastAsia="宋体" w:cs="宋体"/>
          <w:color w:val="auto"/>
        </w:rPr>
        <w:fldChar w:fldCharType="separate"/>
      </w:r>
      <w:r>
        <w:rPr>
          <w:rFonts w:hint="eastAsia" w:ascii="宋体" w:hAnsi="宋体" w:eastAsia="宋体" w:cs="宋体"/>
          <w:color w:val="auto"/>
        </w:rPr>
        <w:t>25</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2F8D6BCD">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_Toc3621 </w:instrText>
      </w:r>
      <w:r>
        <w:rPr>
          <w:rFonts w:hint="eastAsia" w:ascii="宋体" w:hAnsi="宋体" w:eastAsia="宋体" w:cs="宋体"/>
          <w:bCs/>
          <w:color w:val="auto"/>
        </w:rPr>
        <w:fldChar w:fldCharType="separate"/>
      </w:r>
      <w:r>
        <w:rPr>
          <w:rFonts w:hint="eastAsia" w:ascii="宋体" w:hAnsi="宋体" w:eastAsia="宋体" w:cs="宋体"/>
          <w:color w:val="auto"/>
          <w:szCs w:val="24"/>
        </w:rPr>
        <w:t>第三章 合同条款及格式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_Toc3621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66BDB284">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_Toc2585 </w:instrText>
      </w:r>
      <w:r>
        <w:rPr>
          <w:rFonts w:hint="eastAsia" w:ascii="宋体" w:hAnsi="宋体" w:eastAsia="宋体" w:cs="宋体"/>
          <w:bCs/>
          <w:color w:val="auto"/>
        </w:rPr>
        <w:fldChar w:fldCharType="separate"/>
      </w:r>
      <w:r>
        <w:rPr>
          <w:rFonts w:hint="eastAsia" w:ascii="宋体" w:hAnsi="宋体" w:eastAsia="宋体" w:cs="宋体"/>
          <w:color w:val="auto"/>
          <w:szCs w:val="24"/>
        </w:rPr>
        <w:t>（仅供参考，以采购人实际签订为准）</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_Toc2585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7906580B">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_Toc2696 </w:instrText>
      </w:r>
      <w:r>
        <w:rPr>
          <w:rFonts w:hint="eastAsia" w:ascii="宋体" w:hAnsi="宋体" w:eastAsia="宋体" w:cs="宋体"/>
          <w:bCs/>
          <w:color w:val="auto"/>
        </w:rPr>
        <w:fldChar w:fldCharType="separate"/>
      </w:r>
      <w:r>
        <w:rPr>
          <w:rFonts w:hint="eastAsia" w:ascii="宋体" w:hAnsi="宋体" w:eastAsia="宋体" w:cs="宋体"/>
          <w:color w:val="auto"/>
          <w:szCs w:val="24"/>
        </w:rPr>
        <w:t>甲方：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_Toc2696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21327410">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_Toc30983 </w:instrText>
      </w:r>
      <w:r>
        <w:rPr>
          <w:rFonts w:hint="eastAsia" w:ascii="宋体" w:hAnsi="宋体" w:eastAsia="宋体" w:cs="宋体"/>
          <w:bCs/>
          <w:color w:val="auto"/>
        </w:rPr>
        <w:fldChar w:fldCharType="separate"/>
      </w:r>
      <w:r>
        <w:rPr>
          <w:rFonts w:hint="eastAsia" w:ascii="宋体" w:hAnsi="宋体" w:eastAsia="宋体" w:cs="宋体"/>
          <w:color w:val="auto"/>
          <w:szCs w:val="24"/>
        </w:rPr>
        <w:t>乙方：</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_Toc30983 \h </w:instrText>
      </w:r>
      <w:r>
        <w:rPr>
          <w:rFonts w:hint="eastAsia" w:ascii="宋体" w:hAnsi="宋体" w:eastAsia="宋体" w:cs="宋体"/>
          <w:color w:val="auto"/>
        </w:rPr>
        <w:fldChar w:fldCharType="separate"/>
      </w:r>
      <w:r>
        <w:rPr>
          <w:rFonts w:hint="eastAsia" w:ascii="宋体" w:hAnsi="宋体" w:eastAsia="宋体" w:cs="宋体"/>
          <w:color w:val="auto"/>
        </w:rPr>
        <w:t>32</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20C3330">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_Toc14354 </w:instrText>
      </w:r>
      <w:r>
        <w:rPr>
          <w:rFonts w:hint="eastAsia" w:ascii="宋体" w:hAnsi="宋体" w:eastAsia="宋体" w:cs="宋体"/>
          <w:bCs/>
          <w:color w:val="auto"/>
        </w:rPr>
        <w:fldChar w:fldCharType="separate"/>
      </w:r>
      <w:r>
        <w:rPr>
          <w:rFonts w:hint="eastAsia" w:ascii="宋体" w:hAnsi="宋体" w:eastAsia="宋体" w:cs="宋体"/>
          <w:color w:val="auto"/>
          <w:szCs w:val="24"/>
        </w:rPr>
        <w:t>第四章 采购标准和要求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_Toc14354 \h </w:instrText>
      </w:r>
      <w:r>
        <w:rPr>
          <w:rFonts w:hint="eastAsia" w:ascii="宋体" w:hAnsi="宋体" w:eastAsia="宋体" w:cs="宋体"/>
          <w:color w:val="auto"/>
        </w:rPr>
        <w:fldChar w:fldCharType="separate"/>
      </w:r>
      <w:r>
        <w:rPr>
          <w:rFonts w:hint="eastAsia" w:ascii="宋体" w:hAnsi="宋体" w:eastAsia="宋体" w:cs="宋体"/>
          <w:color w:val="auto"/>
        </w:rPr>
        <w:t>36</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31DA3EE3">
      <w:pPr>
        <w:pStyle w:val="29"/>
        <w:tabs>
          <w:tab w:val="right" w:leader="dot" w:pos="8930"/>
        </w:tabs>
        <w:rPr>
          <w:rFonts w:hint="eastAsia" w:ascii="宋体" w:hAnsi="宋体" w:eastAsia="宋体" w:cs="宋体"/>
          <w:color w:val="auto"/>
        </w:rPr>
      </w:pPr>
      <w:r>
        <w:rPr>
          <w:rFonts w:hint="eastAsia" w:ascii="宋体" w:hAnsi="宋体" w:eastAsia="宋体" w:cs="宋体"/>
          <w:bCs/>
          <w:color w:val="auto"/>
        </w:rPr>
        <w:fldChar w:fldCharType="begin"/>
      </w:r>
      <w:r>
        <w:rPr>
          <w:rFonts w:hint="eastAsia" w:ascii="宋体" w:hAnsi="宋体" w:eastAsia="宋体" w:cs="宋体"/>
          <w:bCs/>
          <w:color w:val="auto"/>
        </w:rPr>
        <w:instrText xml:space="preserve"> HYPERLINK \l _Toc3468 </w:instrText>
      </w:r>
      <w:r>
        <w:rPr>
          <w:rFonts w:hint="eastAsia" w:ascii="宋体" w:hAnsi="宋体" w:eastAsia="宋体" w:cs="宋体"/>
          <w:bCs/>
          <w:color w:val="auto"/>
        </w:rPr>
        <w:fldChar w:fldCharType="separate"/>
      </w:r>
      <w:r>
        <w:rPr>
          <w:rFonts w:hint="eastAsia" w:ascii="宋体" w:hAnsi="宋体" w:eastAsia="宋体" w:cs="宋体"/>
          <w:color w:val="auto"/>
          <w:szCs w:val="24"/>
        </w:rPr>
        <w:t>第五章 竞争性磋商响应文件格式</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_Toc3468 \h </w:instrText>
      </w:r>
      <w:r>
        <w:rPr>
          <w:rFonts w:hint="eastAsia" w:ascii="宋体" w:hAnsi="宋体" w:eastAsia="宋体" w:cs="宋体"/>
          <w:color w:val="auto"/>
        </w:rPr>
        <w:fldChar w:fldCharType="separate"/>
      </w:r>
      <w:r>
        <w:rPr>
          <w:rFonts w:hint="eastAsia" w:ascii="宋体" w:hAnsi="宋体" w:eastAsia="宋体" w:cs="宋体"/>
          <w:color w:val="auto"/>
        </w:rPr>
        <w:t>38</w:t>
      </w:r>
      <w:r>
        <w:rPr>
          <w:rFonts w:hint="eastAsia" w:ascii="宋体" w:hAnsi="宋体" w:eastAsia="宋体" w:cs="宋体"/>
          <w:color w:val="auto"/>
        </w:rPr>
        <w:fldChar w:fldCharType="end"/>
      </w:r>
      <w:r>
        <w:rPr>
          <w:rFonts w:hint="eastAsia" w:ascii="宋体" w:hAnsi="宋体" w:eastAsia="宋体" w:cs="宋体"/>
          <w:bCs/>
          <w:color w:val="auto"/>
        </w:rPr>
        <w:fldChar w:fldCharType="end"/>
      </w:r>
    </w:p>
    <w:p w14:paraId="4AB10EA6">
      <w:pPr>
        <w:keepLines w:val="0"/>
        <w:pageBreakBefore w:val="0"/>
        <w:kinsoku/>
        <w:wordWrap/>
        <w:overflowPunct/>
        <w:topLinePunct w:val="0"/>
        <w:bidi w:val="0"/>
        <w:spacing w:line="360" w:lineRule="auto"/>
        <w:rPr>
          <w:rFonts w:ascii="宋体" w:hAnsi="Calibri" w:eastAsia="宋体" w:cs="宋体"/>
          <w:b/>
          <w:bCs/>
          <w:color w:val="auto"/>
        </w:rPr>
        <w:sectPr>
          <w:headerReference r:id="rId3" w:type="default"/>
          <w:footerReference r:id="rId4" w:type="default"/>
          <w:footerReference r:id="rId5" w:type="even"/>
          <w:pgSz w:w="11906" w:h="16838"/>
          <w:pgMar w:top="1361" w:right="1558" w:bottom="1361" w:left="1418" w:header="851" w:footer="992" w:gutter="0"/>
          <w:pgNumType w:start="1"/>
          <w:cols w:space="720" w:num="1"/>
          <w:docGrid w:type="lines" w:linePitch="312" w:charSpace="0"/>
        </w:sectPr>
      </w:pPr>
      <w:r>
        <w:rPr>
          <w:rFonts w:hint="eastAsia" w:ascii="宋体" w:hAnsi="宋体" w:eastAsia="宋体" w:cs="宋体"/>
          <w:bCs/>
          <w:color w:val="auto"/>
        </w:rPr>
        <w:fldChar w:fldCharType="end"/>
      </w:r>
    </w:p>
    <w:p w14:paraId="15E7C335">
      <w:pPr>
        <w:keepNext w:val="0"/>
        <w:keepLines w:val="0"/>
        <w:pageBreakBefore w:val="0"/>
        <w:kinsoku/>
        <w:wordWrap/>
        <w:overflowPunct/>
        <w:topLinePunct w:val="0"/>
        <w:autoSpaceDE/>
        <w:autoSpaceDN/>
        <w:bidi w:val="0"/>
        <w:adjustRightInd/>
        <w:snapToGrid/>
        <w:spacing w:line="360" w:lineRule="auto"/>
        <w:jc w:val="center"/>
        <w:textAlignment w:val="auto"/>
        <w:rPr>
          <w:rFonts w:asciiTheme="minorEastAsia" w:hAnsiTheme="minorEastAsia"/>
          <w:b/>
          <w:color w:val="auto"/>
          <w:sz w:val="24"/>
          <w:szCs w:val="24"/>
        </w:rPr>
      </w:pPr>
      <w:bookmarkStart w:id="0" w:name="_Toc169887057"/>
      <w:r>
        <w:rPr>
          <w:rFonts w:hint="eastAsia" w:asciiTheme="minorEastAsia" w:hAnsiTheme="minorEastAsia"/>
          <w:b/>
          <w:color w:val="auto"/>
          <w:sz w:val="24"/>
          <w:szCs w:val="24"/>
          <w:lang w:eastAsia="zh-CN"/>
        </w:rPr>
        <w:t>水磨沟区“十五五”规划前期研究及纲要编制项目</w:t>
      </w:r>
      <w:r>
        <w:rPr>
          <w:rFonts w:hint="eastAsia" w:asciiTheme="minorEastAsia" w:hAnsiTheme="minorEastAsia"/>
          <w:b/>
          <w:color w:val="auto"/>
          <w:sz w:val="24"/>
          <w:szCs w:val="24"/>
        </w:rPr>
        <w:t>竞争性磋商公告</w:t>
      </w:r>
      <w:bookmarkEnd w:id="0"/>
    </w:p>
    <w:p w14:paraId="0C317D2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项目概况</w:t>
      </w:r>
    </w:p>
    <w:p w14:paraId="5E85C9E7">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color w:val="auto"/>
          <w:sz w:val="24"/>
          <w:szCs w:val="24"/>
        </w:rPr>
      </w:pPr>
      <w:r>
        <w:rPr>
          <w:rFonts w:hint="eastAsia" w:asciiTheme="minorEastAsia" w:hAnsiTheme="minorEastAsia"/>
          <w:color w:val="auto"/>
          <w:sz w:val="24"/>
          <w:szCs w:val="24"/>
          <w:u w:val="single"/>
          <w:lang w:eastAsia="zh-CN"/>
        </w:rPr>
        <w:t>水磨沟区“十五五”规划前期研究及纲要编制项目</w:t>
      </w:r>
      <w:r>
        <w:rPr>
          <w:rFonts w:hint="eastAsia" w:asciiTheme="minorEastAsia" w:hAnsiTheme="minorEastAsia"/>
          <w:color w:val="auto"/>
          <w:sz w:val="24"/>
          <w:szCs w:val="24"/>
          <w:u w:val="single"/>
        </w:rPr>
        <w:t xml:space="preserve"> </w:t>
      </w:r>
      <w:r>
        <w:rPr>
          <w:rFonts w:asciiTheme="minorEastAsia" w:hAnsiTheme="minorEastAsia"/>
          <w:color w:val="auto"/>
          <w:sz w:val="24"/>
          <w:szCs w:val="24"/>
        </w:rPr>
        <w:t>的潜在</w:t>
      </w:r>
      <w:r>
        <w:rPr>
          <w:rFonts w:hint="eastAsia" w:asciiTheme="minorEastAsia" w:hAnsiTheme="minorEastAsia"/>
          <w:color w:val="auto"/>
          <w:sz w:val="24"/>
          <w:szCs w:val="24"/>
        </w:rPr>
        <w:t>供应商</w:t>
      </w:r>
      <w:r>
        <w:rPr>
          <w:rFonts w:asciiTheme="minorEastAsia" w:hAnsiTheme="minorEastAsia"/>
          <w:color w:val="auto"/>
          <w:sz w:val="24"/>
          <w:szCs w:val="24"/>
        </w:rPr>
        <w:t>应在政采云平台线上获取</w:t>
      </w:r>
      <w:r>
        <w:rPr>
          <w:rFonts w:hint="eastAsia" w:asciiTheme="minorEastAsia" w:hAnsiTheme="minorEastAsia"/>
          <w:color w:val="auto"/>
          <w:sz w:val="24"/>
          <w:szCs w:val="24"/>
        </w:rPr>
        <w:t>采购</w:t>
      </w:r>
      <w:r>
        <w:rPr>
          <w:rFonts w:asciiTheme="minorEastAsia" w:hAnsiTheme="minorEastAsia"/>
          <w:color w:val="auto"/>
          <w:sz w:val="24"/>
          <w:szCs w:val="24"/>
        </w:rPr>
        <w:t>文件，并于</w:t>
      </w:r>
      <w:bookmarkStart w:id="1" w:name="OLE_LINK54"/>
      <w:bookmarkStart w:id="2" w:name="OLE_LINK52"/>
      <w:r>
        <w:rPr>
          <w:rFonts w:hint="eastAsia" w:asciiTheme="minorEastAsia" w:hAnsiTheme="minorEastAsia"/>
          <w:color w:val="FF0000"/>
          <w:sz w:val="24"/>
          <w:szCs w:val="24"/>
          <w:u w:val="single"/>
        </w:rPr>
        <w:t xml:space="preserve"> 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bookmarkEnd w:id="1"/>
      <w:bookmarkEnd w:id="2"/>
      <w:r>
        <w:rPr>
          <w:rFonts w:asciiTheme="minorEastAsia" w:hAnsiTheme="minorEastAsia"/>
          <w:color w:val="auto"/>
          <w:sz w:val="24"/>
          <w:szCs w:val="24"/>
        </w:rPr>
        <w:t>（北京时间）前递交</w:t>
      </w:r>
      <w:r>
        <w:rPr>
          <w:rFonts w:hint="eastAsia" w:asciiTheme="minorEastAsia" w:hAnsiTheme="minorEastAsia"/>
          <w:color w:val="auto"/>
          <w:sz w:val="24"/>
          <w:szCs w:val="24"/>
        </w:rPr>
        <w:t>响应</w:t>
      </w:r>
      <w:r>
        <w:rPr>
          <w:rFonts w:asciiTheme="minorEastAsia" w:hAnsiTheme="minorEastAsia"/>
          <w:color w:val="auto"/>
          <w:sz w:val="24"/>
          <w:szCs w:val="24"/>
        </w:rPr>
        <w:t>文件。</w:t>
      </w:r>
    </w:p>
    <w:p w14:paraId="365CF3B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一、项目基本情况</w:t>
      </w:r>
    </w:p>
    <w:p w14:paraId="74E089D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项目编号：</w:t>
      </w: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HYPERLINK "https://www.zcygov.cn/delegation-order/_procurement_/order/orderInfo/detail/6821773913923979149" \t "https://www.zcygov.cn/delegation-order/_procurement_/order/_blank"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2025-0613-161743</w:t>
      </w:r>
      <w:r>
        <w:rPr>
          <w:rFonts w:hint="eastAsia" w:asciiTheme="minorEastAsia" w:hAnsiTheme="minorEastAsia"/>
          <w:color w:val="auto"/>
          <w:sz w:val="24"/>
          <w:szCs w:val="24"/>
        </w:rPr>
        <w:fldChar w:fldCharType="end"/>
      </w:r>
      <w:r>
        <w:rPr>
          <w:rFonts w:asciiTheme="minorEastAsia" w:hAnsiTheme="minorEastAsia"/>
          <w:color w:val="auto"/>
          <w:sz w:val="24"/>
          <w:szCs w:val="24"/>
        </w:rPr>
        <w:t xml:space="preserve"> </w:t>
      </w:r>
    </w:p>
    <w:p w14:paraId="5B732E6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olor w:val="auto"/>
          <w:sz w:val="24"/>
          <w:szCs w:val="24"/>
          <w:lang w:eastAsia="zh-CN"/>
        </w:rPr>
      </w:pPr>
      <w:r>
        <w:rPr>
          <w:rFonts w:hint="eastAsia" w:asciiTheme="minorEastAsia" w:hAnsiTheme="minorEastAsia"/>
          <w:color w:val="auto"/>
          <w:sz w:val="24"/>
          <w:szCs w:val="24"/>
        </w:rPr>
        <w:t>项目名称：</w:t>
      </w:r>
      <w:r>
        <w:rPr>
          <w:rFonts w:hint="eastAsia" w:asciiTheme="minorEastAsia" w:hAnsiTheme="minorEastAsia"/>
          <w:color w:val="auto"/>
          <w:sz w:val="24"/>
          <w:szCs w:val="24"/>
          <w:lang w:eastAsia="zh-CN"/>
        </w:rPr>
        <w:t>水磨沟区“十五五”规划前期研究及纲要编制项目</w:t>
      </w:r>
    </w:p>
    <w:p w14:paraId="52A7D0F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采购方式：竞争性磋商</w:t>
      </w:r>
    </w:p>
    <w:p w14:paraId="781FEF7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预算金额（元）：</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00000</w:t>
      </w:r>
    </w:p>
    <w:p w14:paraId="3C1A30E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最高限价（元）：</w:t>
      </w:r>
      <w:r>
        <w:rPr>
          <w:rFonts w:hint="eastAsia" w:asciiTheme="minorEastAsia" w:hAnsiTheme="minorEastAsia"/>
          <w:color w:val="auto"/>
          <w:sz w:val="24"/>
          <w:szCs w:val="24"/>
          <w:u w:val="single"/>
          <w:lang w:val="en-US" w:eastAsia="zh-CN"/>
        </w:rPr>
        <w:t>8</w:t>
      </w:r>
      <w:r>
        <w:rPr>
          <w:rFonts w:hint="eastAsia" w:asciiTheme="minorEastAsia" w:hAnsiTheme="minorEastAsia"/>
          <w:color w:val="auto"/>
          <w:sz w:val="24"/>
          <w:szCs w:val="24"/>
          <w:u w:val="single"/>
        </w:rPr>
        <w:t>00000</w:t>
      </w:r>
    </w:p>
    <w:p w14:paraId="283BEA2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采购需求：</w:t>
      </w:r>
    </w:p>
    <w:p w14:paraId="02C17B8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u w:val="single"/>
        </w:rPr>
      </w:pPr>
      <w:r>
        <w:rPr>
          <w:rFonts w:asciiTheme="minorEastAsia" w:hAnsiTheme="minorEastAsia"/>
          <w:color w:val="auto"/>
          <w:sz w:val="24"/>
          <w:szCs w:val="24"/>
        </w:rPr>
        <w:t>简要规格描述或项目基本概况介绍、用途：</w:t>
      </w:r>
      <w:bookmarkStart w:id="3" w:name="OLE_LINK81"/>
      <w:bookmarkStart w:id="4" w:name="OLE_LINK80"/>
      <w:r>
        <w:rPr>
          <w:rFonts w:asciiTheme="minorEastAsia" w:hAnsiTheme="minorEastAsia"/>
          <w:color w:val="auto"/>
          <w:sz w:val="24"/>
          <w:szCs w:val="24"/>
          <w:u w:val="single"/>
        </w:rPr>
        <w:t>完成水磨沟区“十五五”规划纲要编制及“十四五”规划总结评估工作</w:t>
      </w:r>
      <w:r>
        <w:rPr>
          <w:rFonts w:hint="eastAsia" w:asciiTheme="minorEastAsia" w:hAnsiTheme="minorEastAsia"/>
          <w:color w:val="auto"/>
          <w:sz w:val="24"/>
          <w:szCs w:val="24"/>
          <w:u w:val="single"/>
        </w:rPr>
        <w:t>。具体内容详见磋商文件。</w:t>
      </w:r>
      <w:bookmarkEnd w:id="3"/>
      <w:bookmarkEnd w:id="4"/>
    </w:p>
    <w:p w14:paraId="1C5E6AF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备注：</w:t>
      </w:r>
    </w:p>
    <w:p w14:paraId="1D20108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合同履约期限：</w:t>
      </w:r>
      <w:r>
        <w:rPr>
          <w:rFonts w:hint="eastAsia" w:ascii="Undefined" w:hAnsi="Undefined" w:eastAsia="宋体" w:cs="宋体"/>
          <w:color w:val="auto"/>
          <w:kern w:val="0"/>
          <w:sz w:val="24"/>
          <w:szCs w:val="24"/>
        </w:rPr>
        <w:t>自合同签订之日至2025年12月31日前提交所有经修正后的成果资料。</w:t>
      </w:r>
      <w:r>
        <w:rPr>
          <w:rFonts w:ascii="Undefined" w:hAnsi="Undefined" w:eastAsia="宋体" w:cs="宋体"/>
          <w:color w:val="auto"/>
          <w:kern w:val="0"/>
          <w:sz w:val="24"/>
          <w:szCs w:val="24"/>
        </w:rPr>
        <w:t>成果质量要求执行国家或行业标准、规范，确保项目成果质量符合有关文件或技术标准的规定。</w:t>
      </w:r>
    </w:p>
    <w:p w14:paraId="6E82A23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本项目</w:t>
      </w:r>
      <w:r>
        <w:rPr>
          <w:rFonts w:hint="eastAsia" w:asciiTheme="minorEastAsia" w:hAnsiTheme="minorEastAsia"/>
          <w:color w:val="auto"/>
          <w:sz w:val="24"/>
          <w:szCs w:val="24"/>
          <w:u w:val="single"/>
        </w:rPr>
        <w:t>（否）</w:t>
      </w:r>
      <w:r>
        <w:rPr>
          <w:rFonts w:hint="eastAsia" w:asciiTheme="minorEastAsia" w:hAnsiTheme="minorEastAsia"/>
          <w:color w:val="auto"/>
          <w:sz w:val="24"/>
          <w:szCs w:val="24"/>
        </w:rPr>
        <w:t>接受联合体投标。</w:t>
      </w:r>
    </w:p>
    <w:p w14:paraId="2367BBB6">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二、申请人的资格要求：</w:t>
      </w:r>
    </w:p>
    <w:p w14:paraId="68B3747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1.满足《中华人民共和国政府采购法》第二十二条规定；</w:t>
      </w:r>
    </w:p>
    <w:p w14:paraId="4786E4F3">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（1）具有独立承担民事责任的能力；</w:t>
      </w:r>
    </w:p>
    <w:p w14:paraId="1D0A0636">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（2）具有健全的财务会计制度；</w:t>
      </w:r>
    </w:p>
    <w:p w14:paraId="249D077B">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（3）具有履行合同所必需的设备和专业技术能力；</w:t>
      </w:r>
    </w:p>
    <w:p w14:paraId="3734C6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（4）有依法缴纳税收和社会保障资金的良好记录；</w:t>
      </w:r>
    </w:p>
    <w:p w14:paraId="7EB243B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（5）参加政府采购活动前三年内，在经营活动中没有重大违法记录；</w:t>
      </w:r>
    </w:p>
    <w:p w14:paraId="17DD000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（6）法律、行政法规规定的其他条件。</w:t>
      </w:r>
    </w:p>
    <w:p w14:paraId="1455DA2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2.落实政府采购政策需满足的资格要求：</w:t>
      </w:r>
      <w:r>
        <w:rPr>
          <w:rFonts w:asciiTheme="minorEastAsia" w:hAnsiTheme="minorEastAsia"/>
          <w:color w:val="auto"/>
          <w:sz w:val="24"/>
          <w:szCs w:val="24"/>
        </w:rPr>
        <w:t>本项目不专门面向</w:t>
      </w:r>
      <w:r>
        <w:rPr>
          <w:rFonts w:hint="eastAsia" w:asciiTheme="minorEastAsia" w:hAnsiTheme="minorEastAsia"/>
          <w:color w:val="auto"/>
          <w:sz w:val="24"/>
          <w:szCs w:val="24"/>
        </w:rPr>
        <w:t>中小</w:t>
      </w:r>
      <w:r>
        <w:rPr>
          <w:rFonts w:asciiTheme="minorEastAsia" w:hAnsiTheme="minorEastAsia"/>
          <w:color w:val="auto"/>
          <w:sz w:val="24"/>
          <w:szCs w:val="24"/>
        </w:rPr>
        <w:t>企业</w:t>
      </w:r>
      <w:r>
        <w:rPr>
          <w:rFonts w:hint="eastAsia" w:asciiTheme="minorEastAsia" w:hAnsiTheme="minorEastAsia"/>
          <w:color w:val="auto"/>
          <w:sz w:val="24"/>
          <w:szCs w:val="24"/>
        </w:rPr>
        <w:t>。</w:t>
      </w:r>
    </w:p>
    <w:p w14:paraId="3C9E5E43">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3.本项目的特定资格要求：</w:t>
      </w:r>
    </w:p>
    <w:p w14:paraId="2292F93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1）、供应商须</w:t>
      </w:r>
      <w:r>
        <w:rPr>
          <w:rFonts w:asciiTheme="minorEastAsia" w:hAnsiTheme="minorEastAsia"/>
          <w:color w:val="auto"/>
          <w:sz w:val="24"/>
          <w:szCs w:val="24"/>
        </w:rPr>
        <w:t>具有有效的营业</w:t>
      </w:r>
      <w:r>
        <w:rPr>
          <w:rFonts w:hint="eastAsia" w:asciiTheme="minorEastAsia" w:hAnsiTheme="minorEastAsia"/>
          <w:color w:val="auto"/>
          <w:sz w:val="24"/>
          <w:szCs w:val="24"/>
        </w:rPr>
        <w:t>执照或事业单位法人证书；具有独立订立合同的权利，能独立承担民事责任的能力；</w:t>
      </w:r>
    </w:p>
    <w:p w14:paraId="2DF405B4">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2）、供应商须是在“信用中国”（www.creditchina.gov.cn）和中国政府采购网（www.ccgp.gov.cn）网站上未被列入失信被执行人、重大税收违法案件当事人名单以及政府采购严重违法失信行为记录名单；</w:t>
      </w:r>
      <w:r>
        <w:rPr>
          <w:rFonts w:asciiTheme="minorEastAsia" w:hAnsiTheme="minorEastAsia"/>
          <w:color w:val="auto"/>
          <w:sz w:val="24"/>
          <w:szCs w:val="24"/>
        </w:rPr>
        <w:t xml:space="preserve"> </w:t>
      </w:r>
    </w:p>
    <w:p w14:paraId="058B90C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其他说明：①与采购人存在利害关系可能影响采购公正性的法人、其他组织或者个人，不得参加投标。②单位负责人为同一人或者存在控股、管理关系的不同供应商，不得参加同一合同项下的政府采购活动。违反前两款规定的，相关投标均无效。</w:t>
      </w:r>
    </w:p>
    <w:p w14:paraId="1367BC1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）、本项目接受联合体投标。</w:t>
      </w:r>
    </w:p>
    <w:p w14:paraId="0878211F">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三、获取</w:t>
      </w:r>
      <w:r>
        <w:rPr>
          <w:rFonts w:hint="eastAsia" w:asciiTheme="minorEastAsia" w:hAnsiTheme="minorEastAsia"/>
          <w:b/>
          <w:color w:val="auto"/>
          <w:sz w:val="24"/>
          <w:szCs w:val="24"/>
        </w:rPr>
        <w:t>磋商文件</w:t>
      </w:r>
    </w:p>
    <w:p w14:paraId="3A516AB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时间：</w:t>
      </w:r>
      <w:r>
        <w:rPr>
          <w:rFonts w:hint="eastAsia" w:asciiTheme="minorEastAsia" w:hAnsiTheme="minorEastAsia"/>
          <w:color w:val="FF0000"/>
          <w:sz w:val="24"/>
          <w:szCs w:val="24"/>
          <w:u w:val="single"/>
        </w:rPr>
        <w:t xml:space="preserve"> 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6</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26</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 xml:space="preserve">至2025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2</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auto"/>
          <w:sz w:val="24"/>
          <w:szCs w:val="24"/>
        </w:rPr>
        <w:t>，每天上午10:00至13:30，下午15:30至18:00（北京时间，法定节假日除外）</w:t>
      </w:r>
    </w:p>
    <w:p w14:paraId="3F6F787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地点：</w:t>
      </w:r>
      <w:r>
        <w:rPr>
          <w:rFonts w:asciiTheme="minorEastAsia" w:hAnsiTheme="minorEastAsia"/>
          <w:color w:val="auto"/>
          <w:sz w:val="24"/>
          <w:szCs w:val="24"/>
        </w:rPr>
        <w:t>政采云平台线上</w:t>
      </w:r>
    </w:p>
    <w:p w14:paraId="189E3E1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方式：</w:t>
      </w:r>
      <w:r>
        <w:rPr>
          <w:rFonts w:asciiTheme="minorEastAsia" w:hAnsiTheme="minorEastAsia"/>
          <w:color w:val="auto"/>
          <w:sz w:val="24"/>
          <w:szCs w:val="24"/>
        </w:rPr>
        <w:t>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69CC964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售价（元）：0</w:t>
      </w:r>
    </w:p>
    <w:p w14:paraId="5F940F5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四、提交</w:t>
      </w:r>
      <w:r>
        <w:rPr>
          <w:rFonts w:hint="eastAsia" w:asciiTheme="minorEastAsia" w:hAnsiTheme="minorEastAsia"/>
          <w:b/>
          <w:color w:val="auto"/>
          <w:sz w:val="24"/>
          <w:szCs w:val="24"/>
        </w:rPr>
        <w:t>响应</w:t>
      </w:r>
      <w:r>
        <w:rPr>
          <w:rFonts w:asciiTheme="minorEastAsia" w:hAnsiTheme="minorEastAsia"/>
          <w:b/>
          <w:color w:val="auto"/>
          <w:sz w:val="24"/>
          <w:szCs w:val="24"/>
        </w:rPr>
        <w:t>文件截止时间、</w:t>
      </w:r>
      <w:r>
        <w:rPr>
          <w:rFonts w:hint="eastAsia" w:asciiTheme="minorEastAsia" w:hAnsiTheme="minorEastAsia"/>
          <w:b/>
          <w:color w:val="auto"/>
          <w:sz w:val="24"/>
          <w:szCs w:val="24"/>
        </w:rPr>
        <w:t>开启</w:t>
      </w:r>
      <w:r>
        <w:rPr>
          <w:rFonts w:asciiTheme="minorEastAsia" w:hAnsiTheme="minorEastAsia"/>
          <w:b/>
          <w:color w:val="auto"/>
          <w:sz w:val="24"/>
          <w:szCs w:val="24"/>
        </w:rPr>
        <w:t>时间和地点</w:t>
      </w:r>
    </w:p>
    <w:p w14:paraId="39F1B45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提交响应文件截止时间：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asciiTheme="minorEastAsia" w:hAnsiTheme="minorEastAsia"/>
          <w:color w:val="auto"/>
          <w:sz w:val="24"/>
          <w:szCs w:val="24"/>
          <w:u w:val="single"/>
        </w:rPr>
        <w:t>（北京时间）</w:t>
      </w:r>
    </w:p>
    <w:p w14:paraId="62C496A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提交</w:t>
      </w:r>
      <w:r>
        <w:rPr>
          <w:rFonts w:asciiTheme="minorEastAsia" w:hAnsiTheme="minorEastAsia"/>
          <w:color w:val="auto"/>
          <w:sz w:val="24"/>
          <w:szCs w:val="24"/>
        </w:rPr>
        <w:t>地点：请登录政采云投标客户端投标</w:t>
      </w:r>
    </w:p>
    <w:p w14:paraId="4A7A456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开启时间：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asciiTheme="minorEastAsia" w:hAnsiTheme="minorEastAsia"/>
          <w:color w:val="auto"/>
          <w:sz w:val="24"/>
          <w:szCs w:val="24"/>
          <w:u w:val="single"/>
        </w:rPr>
        <w:t>（北京时间）</w:t>
      </w:r>
    </w:p>
    <w:p w14:paraId="290307A3">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开启地点：</w:t>
      </w:r>
      <w:bookmarkStart w:id="5" w:name="OLE_LINK13"/>
      <w:bookmarkStart w:id="6" w:name="OLE_LINK14"/>
      <w:r>
        <w:rPr>
          <w:rFonts w:asciiTheme="minorEastAsia" w:hAnsiTheme="minorEastAsia"/>
          <w:color w:val="auto"/>
          <w:sz w:val="24"/>
          <w:szCs w:val="24"/>
        </w:rPr>
        <w:t>投标人登录政采云平台https://www.zcygov.cn/，进入“项目采购-开标评标-右边选择对应项目点击“进入项目”进入开标大厅。</w:t>
      </w:r>
      <w:bookmarkEnd w:id="5"/>
      <w:bookmarkEnd w:id="6"/>
    </w:p>
    <w:p w14:paraId="79E0BC25">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hint="eastAsia" w:asciiTheme="minorEastAsia" w:hAnsiTheme="minorEastAsia"/>
          <w:b/>
          <w:color w:val="auto"/>
          <w:sz w:val="24"/>
          <w:szCs w:val="24"/>
        </w:rPr>
        <w:t>五</w:t>
      </w:r>
      <w:r>
        <w:rPr>
          <w:rFonts w:asciiTheme="minorEastAsia" w:hAnsiTheme="minorEastAsia"/>
          <w:b/>
          <w:color w:val="auto"/>
          <w:sz w:val="24"/>
          <w:szCs w:val="24"/>
        </w:rPr>
        <w:t>、公告期限</w:t>
      </w:r>
    </w:p>
    <w:p w14:paraId="67FB85C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自本公告发布之日起5个工作日。</w:t>
      </w:r>
    </w:p>
    <w:p w14:paraId="2E1DAE29">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hint="eastAsia" w:asciiTheme="minorEastAsia" w:hAnsiTheme="minorEastAsia"/>
          <w:b/>
          <w:color w:val="auto"/>
          <w:sz w:val="24"/>
          <w:szCs w:val="24"/>
        </w:rPr>
        <w:t>六、</w:t>
      </w:r>
      <w:r>
        <w:rPr>
          <w:rFonts w:asciiTheme="minorEastAsia" w:hAnsiTheme="minorEastAsia"/>
          <w:b/>
          <w:color w:val="auto"/>
          <w:sz w:val="24"/>
          <w:szCs w:val="24"/>
        </w:rPr>
        <w:t>其他补充事宜</w:t>
      </w:r>
    </w:p>
    <w:p w14:paraId="1AF4266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1、本项目实行网上投标，采用电子投标文件。</w:t>
      </w:r>
    </w:p>
    <w:p w14:paraId="7556212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1DB3FBCD">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3、供应商将政采云电子交易客户端下载、安装完成后，可通过账号密码或CA登录客户端进行投标文件的制作。在使用政采云投标客户端时，建议使用WIN7及以上操作系统。</w:t>
      </w:r>
    </w:p>
    <w:p w14:paraId="371174C3">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4、其他事项：</w:t>
      </w:r>
      <w:r>
        <w:rPr>
          <w:rFonts w:hint="eastAsia" w:asciiTheme="minorEastAsia" w:hAnsiTheme="minorEastAsia" w:eastAsiaTheme="minorEastAsia"/>
          <w:color w:val="auto"/>
          <w:sz w:val="24"/>
          <w:szCs w:val="24"/>
        </w:rPr>
        <w:t>/</w:t>
      </w:r>
    </w:p>
    <w:p w14:paraId="1D62912A">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特别提示：</w:t>
      </w:r>
    </w:p>
    <w:p w14:paraId="26F174EC">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1、采购限额标准以上，200万元以下的货物和服务采购项目、400万元以下的工程采购项目，适宜由中小企业提供的，采购人应当专门面向中小企业采购。</w:t>
      </w:r>
    </w:p>
    <w:p w14:paraId="67478360">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2、超过200万元的货物和服务采购项目，预留该部分采购项目预算总额的30%以上专门面向中小企业采购，其中预留给小微企业的比例不低于60%。</w:t>
      </w:r>
    </w:p>
    <w:p w14:paraId="7FE5C3B2">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3、超过400万元的工程采购项目中适宜由中小企业提供的，预留该部分采购项目预算总额的40%以上专门面向中小企业采购，其中预留给小微企业的比例不低于60%。</w:t>
      </w:r>
    </w:p>
    <w:p w14:paraId="03667F90">
      <w:pPr>
        <w:keepNext w:val="0"/>
        <w:keepLines w:val="0"/>
        <w:pageBreakBefore w:val="0"/>
        <w:widowControl/>
        <w:kinsoku/>
        <w:wordWrap/>
        <w:overflowPunct/>
        <w:topLinePunct w:val="0"/>
        <w:autoSpaceDE/>
        <w:autoSpaceDN/>
        <w:bidi w:val="0"/>
        <w:adjustRightInd/>
        <w:snapToGrid/>
        <w:spacing w:before="75" w:after="75" w:line="360" w:lineRule="auto"/>
        <w:jc w:val="left"/>
        <w:textAlignment w:val="auto"/>
        <w:rPr>
          <w:rFonts w:asciiTheme="minorEastAsia" w:hAnsiTheme="minorEastAsia" w:eastAsiaTheme="minorEastAsia"/>
          <w:b/>
          <w:color w:val="auto"/>
          <w:sz w:val="20"/>
          <w:szCs w:val="24"/>
        </w:rPr>
      </w:pPr>
      <w:r>
        <w:rPr>
          <w:rFonts w:hint="eastAsia" w:asciiTheme="minorEastAsia" w:hAnsiTheme="minorEastAsia" w:eastAsiaTheme="minorEastAsia"/>
          <w:b/>
          <w:color w:val="auto"/>
          <w:sz w:val="20"/>
          <w:szCs w:val="24"/>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7B22E35">
      <w:pPr>
        <w:keepNext w:val="0"/>
        <w:keepLines w:val="0"/>
        <w:pageBreakBefore w:val="0"/>
        <w:kinsoku/>
        <w:wordWrap/>
        <w:overflowPunct/>
        <w:topLinePunct w:val="0"/>
        <w:autoSpaceDE/>
        <w:autoSpaceDN/>
        <w:bidi w:val="0"/>
        <w:adjustRightInd/>
        <w:snapToGrid/>
        <w:spacing w:line="360" w:lineRule="auto"/>
        <w:textAlignment w:val="auto"/>
        <w:rPr>
          <w:rFonts w:cs="宋体" w:asciiTheme="minorEastAsia" w:hAnsiTheme="minorEastAsia"/>
          <w:b/>
          <w:color w:val="auto"/>
          <w:kern w:val="0"/>
          <w:szCs w:val="24"/>
        </w:rPr>
      </w:pPr>
      <w:r>
        <w:rPr>
          <w:rFonts w:hint="eastAsia" w:asciiTheme="minorEastAsia" w:hAnsiTheme="minorEastAsia" w:eastAsiaTheme="minorEastAsia"/>
          <w:b/>
          <w:color w:val="auto"/>
          <w:sz w:val="20"/>
          <w:szCs w:val="24"/>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18339D2">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b/>
          <w:color w:val="auto"/>
          <w:sz w:val="24"/>
          <w:szCs w:val="24"/>
        </w:rPr>
      </w:pPr>
      <w:r>
        <w:rPr>
          <w:rFonts w:asciiTheme="minorEastAsia" w:hAnsiTheme="minorEastAsia"/>
          <w:b/>
          <w:color w:val="auto"/>
          <w:sz w:val="24"/>
          <w:szCs w:val="24"/>
        </w:rPr>
        <w:t>七、对本次采购提出询问，请按以下方式联系</w:t>
      </w:r>
    </w:p>
    <w:p w14:paraId="567E568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1.采购人信息</w:t>
      </w:r>
    </w:p>
    <w:p w14:paraId="0747EC28">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名 称：乌鲁木齐市水磨沟区发展和改革委员会（乌鲁木齐市水磨沟区工业和信息化局、粮食和物资储备局）</w:t>
      </w:r>
    </w:p>
    <w:p w14:paraId="6D3B6FC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地 址：</w:t>
      </w:r>
      <w:r>
        <w:rPr>
          <w:rFonts w:asciiTheme="minorEastAsia" w:hAnsiTheme="minorEastAsia"/>
          <w:color w:val="auto"/>
          <w:sz w:val="24"/>
          <w:szCs w:val="24"/>
        </w:rPr>
        <w:t xml:space="preserve"> </w:t>
      </w:r>
      <w:r>
        <w:rPr>
          <w:rFonts w:hint="eastAsia" w:asciiTheme="minorEastAsia" w:hAnsiTheme="minorEastAsia"/>
          <w:color w:val="auto"/>
          <w:sz w:val="24"/>
          <w:szCs w:val="24"/>
        </w:rPr>
        <w:t>乌鲁木齐市水磨沟区温泉西路131号</w:t>
      </w:r>
    </w:p>
    <w:p w14:paraId="1C3D114C">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hint="eastAsia" w:asciiTheme="minorEastAsia" w:hAnsiTheme="minorEastAsia"/>
          <w:color w:val="auto"/>
          <w:sz w:val="24"/>
          <w:szCs w:val="24"/>
        </w:rPr>
        <w:t>联系人：李烁      联系方式：</w:t>
      </w:r>
      <w:r>
        <w:rPr>
          <w:rFonts w:asciiTheme="minorEastAsia" w:hAnsiTheme="minorEastAsia"/>
          <w:color w:val="auto"/>
          <w:sz w:val="24"/>
          <w:szCs w:val="24"/>
        </w:rPr>
        <w:t>13201231580</w:t>
      </w:r>
    </w:p>
    <w:p w14:paraId="039ACA3A">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2.采购代理机构信息</w:t>
      </w:r>
    </w:p>
    <w:p w14:paraId="1FFFC8DE">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名 称：新疆锐智时代建设工程项目管理有限公司</w:t>
      </w:r>
    </w:p>
    <w:p w14:paraId="62BB359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地 址：</w:t>
      </w:r>
      <w:bookmarkStart w:id="7" w:name="OLE_LINK16"/>
      <w:bookmarkStart w:id="8" w:name="OLE_LINK15"/>
      <w:r>
        <w:rPr>
          <w:rFonts w:asciiTheme="minorEastAsia" w:hAnsiTheme="minorEastAsia"/>
          <w:color w:val="auto"/>
          <w:sz w:val="24"/>
          <w:szCs w:val="24"/>
        </w:rPr>
        <w:t>乌鲁木齐市水磨沟区立井街198号丽景名都商住10号楼21楼211</w:t>
      </w:r>
      <w:r>
        <w:rPr>
          <w:rFonts w:hint="eastAsia" w:asciiTheme="minorEastAsia" w:hAnsiTheme="minorEastAsia"/>
          <w:color w:val="auto"/>
          <w:sz w:val="24"/>
          <w:szCs w:val="24"/>
        </w:rPr>
        <w:t>5</w:t>
      </w:r>
      <w:r>
        <w:rPr>
          <w:rFonts w:asciiTheme="minorEastAsia" w:hAnsiTheme="minorEastAsia"/>
          <w:color w:val="auto"/>
          <w:sz w:val="24"/>
          <w:szCs w:val="24"/>
        </w:rPr>
        <w:t>室</w:t>
      </w:r>
      <w:bookmarkEnd w:id="7"/>
      <w:bookmarkEnd w:id="8"/>
    </w:p>
    <w:p w14:paraId="671FAC5C">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项目联系人：</w:t>
      </w:r>
      <w:bookmarkStart w:id="9" w:name="OLE_LINK32"/>
      <w:bookmarkStart w:id="10" w:name="OLE_LINK31"/>
      <w:r>
        <w:rPr>
          <w:rFonts w:hint="eastAsia" w:asciiTheme="minorEastAsia" w:hAnsiTheme="minorEastAsia"/>
          <w:color w:val="auto"/>
          <w:sz w:val="24"/>
          <w:szCs w:val="24"/>
        </w:rPr>
        <w:t>叶成</w:t>
      </w:r>
      <w:bookmarkEnd w:id="9"/>
      <w:bookmarkEnd w:id="10"/>
      <w:r>
        <w:rPr>
          <w:rFonts w:hint="eastAsia" w:asciiTheme="minorEastAsia" w:hAnsiTheme="minorEastAsia"/>
          <w:color w:val="auto"/>
          <w:sz w:val="24"/>
          <w:szCs w:val="24"/>
        </w:rPr>
        <w:t xml:space="preserve">    </w:t>
      </w:r>
      <w:r>
        <w:rPr>
          <w:rFonts w:asciiTheme="minorEastAsia" w:hAnsiTheme="minorEastAsia"/>
          <w:color w:val="auto"/>
          <w:sz w:val="24"/>
          <w:szCs w:val="24"/>
        </w:rPr>
        <w:t>联系方式：</w:t>
      </w:r>
      <w:bookmarkStart w:id="11" w:name="OLE_LINK33"/>
      <w:bookmarkStart w:id="12" w:name="OLE_LINK34"/>
      <w:r>
        <w:rPr>
          <w:rFonts w:hint="eastAsia" w:asciiTheme="minorEastAsia" w:hAnsiTheme="minorEastAsia"/>
          <w:color w:val="auto"/>
          <w:sz w:val="24"/>
          <w:szCs w:val="24"/>
        </w:rPr>
        <w:t>13999292907</w:t>
      </w:r>
      <w:bookmarkEnd w:id="11"/>
      <w:bookmarkEnd w:id="12"/>
    </w:p>
    <w:p w14:paraId="56EE0A5D">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3.项目联系方式</w:t>
      </w:r>
    </w:p>
    <w:p w14:paraId="3712B511">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color w:val="auto"/>
          <w:sz w:val="24"/>
          <w:szCs w:val="24"/>
        </w:rPr>
      </w:pPr>
      <w:r>
        <w:rPr>
          <w:rFonts w:asciiTheme="minorEastAsia" w:hAnsiTheme="minorEastAsia"/>
          <w:color w:val="auto"/>
          <w:sz w:val="24"/>
          <w:szCs w:val="24"/>
        </w:rPr>
        <w:t>项目联系人：</w:t>
      </w:r>
      <w:r>
        <w:rPr>
          <w:rFonts w:hint="eastAsia" w:asciiTheme="minorEastAsia" w:hAnsiTheme="minorEastAsia"/>
          <w:color w:val="auto"/>
          <w:sz w:val="24"/>
          <w:szCs w:val="24"/>
        </w:rPr>
        <w:t>叶成</w:t>
      </w:r>
      <w:r>
        <w:rPr>
          <w:rFonts w:hint="eastAsia" w:asciiTheme="minorEastAsia" w:hAnsiTheme="minorEastAsia"/>
          <w:color w:val="auto"/>
          <w:sz w:val="24"/>
          <w:szCs w:val="24"/>
          <w:lang w:val="en-US" w:eastAsia="zh-CN"/>
        </w:rPr>
        <w:t xml:space="preserve">    </w:t>
      </w:r>
      <w:r>
        <w:rPr>
          <w:rFonts w:asciiTheme="minorEastAsia" w:hAnsiTheme="minorEastAsia"/>
          <w:color w:val="auto"/>
          <w:sz w:val="24"/>
          <w:szCs w:val="24"/>
        </w:rPr>
        <w:t>电 话：</w:t>
      </w:r>
      <w:r>
        <w:rPr>
          <w:rFonts w:hint="eastAsia" w:asciiTheme="minorEastAsia" w:hAnsiTheme="minorEastAsia"/>
          <w:color w:val="auto"/>
          <w:sz w:val="24"/>
          <w:szCs w:val="24"/>
        </w:rPr>
        <w:t>13999292907</w:t>
      </w:r>
      <w:r>
        <w:rPr>
          <w:rFonts w:asciiTheme="minorEastAsia" w:hAnsiTheme="minorEastAsia"/>
          <w:color w:val="auto"/>
          <w:sz w:val="24"/>
          <w:szCs w:val="24"/>
        </w:rPr>
        <w:br w:type="page"/>
      </w:r>
    </w:p>
    <w:p w14:paraId="2A77A14F">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13" w:name="_Toc9946"/>
      <w:r>
        <w:rPr>
          <w:rFonts w:hint="eastAsia" w:ascii="宋体" w:hAnsi="宋体" w:eastAsia="宋体" w:cs="宋体"/>
          <w:b/>
          <w:color w:val="auto"/>
          <w:sz w:val="24"/>
          <w:szCs w:val="24"/>
        </w:rPr>
        <w:t>供应商须知前附表</w:t>
      </w:r>
      <w:bookmarkEnd w:id="13"/>
    </w:p>
    <w:tbl>
      <w:tblPr>
        <w:tblStyle w:val="44"/>
        <w:tblW w:w="93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57" w:type="dxa"/>
          <w:bottom w:w="57" w:type="dxa"/>
          <w:right w:w="57" w:type="dxa"/>
        </w:tblCellMar>
      </w:tblPr>
      <w:tblGrid>
        <w:gridCol w:w="597"/>
        <w:gridCol w:w="1410"/>
        <w:gridCol w:w="7354"/>
      </w:tblGrid>
      <w:tr w14:paraId="4E9AB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87" w:hRule="atLeast"/>
          <w:jc w:val="center"/>
        </w:trPr>
        <w:tc>
          <w:tcPr>
            <w:tcW w:w="597" w:type="dxa"/>
            <w:vAlign w:val="center"/>
          </w:tcPr>
          <w:p w14:paraId="1431072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b/>
                <w:color w:val="auto"/>
                <w:kern w:val="0"/>
                <w:sz w:val="24"/>
                <w:szCs w:val="24"/>
              </w:rPr>
            </w:pPr>
            <w:r>
              <w:rPr>
                <w:rFonts w:hint="eastAsia" w:eastAsia="宋体" w:cs="Times New Roman" w:asciiTheme="minorEastAsia" w:hAnsiTheme="minorEastAsia"/>
                <w:b/>
                <w:color w:val="auto"/>
                <w:kern w:val="0"/>
                <w:sz w:val="24"/>
                <w:szCs w:val="24"/>
              </w:rPr>
              <w:t>项号</w:t>
            </w:r>
          </w:p>
        </w:tc>
        <w:tc>
          <w:tcPr>
            <w:tcW w:w="8764" w:type="dxa"/>
            <w:gridSpan w:val="2"/>
            <w:vAlign w:val="center"/>
          </w:tcPr>
          <w:p w14:paraId="0D17588B">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b/>
                <w:color w:val="auto"/>
                <w:kern w:val="0"/>
                <w:sz w:val="24"/>
                <w:szCs w:val="24"/>
              </w:rPr>
            </w:pPr>
            <w:r>
              <w:rPr>
                <w:rFonts w:hint="eastAsia" w:eastAsia="宋体" w:cs="Times New Roman" w:asciiTheme="minorEastAsia" w:hAnsiTheme="minorEastAsia"/>
                <w:b/>
                <w:color w:val="auto"/>
                <w:kern w:val="0"/>
                <w:sz w:val="24"/>
                <w:szCs w:val="24"/>
              </w:rPr>
              <w:t>编列内容</w:t>
            </w:r>
          </w:p>
        </w:tc>
      </w:tr>
      <w:tr w14:paraId="2114C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3EFCEE9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eastAsia="宋体" w:cs="Times New Roman" w:asciiTheme="minorEastAsia" w:hAnsiTheme="minorEastAsia"/>
                <w:color w:val="auto"/>
                <w:kern w:val="0"/>
                <w:sz w:val="24"/>
                <w:szCs w:val="24"/>
              </w:rPr>
              <w:t>1</w:t>
            </w:r>
          </w:p>
        </w:tc>
        <w:tc>
          <w:tcPr>
            <w:tcW w:w="1410" w:type="dxa"/>
            <w:vAlign w:val="center"/>
          </w:tcPr>
          <w:p w14:paraId="2CB44E16">
            <w:pPr>
              <w:keepNext/>
              <w:keepLines w:val="0"/>
              <w:pageBreakBefore w:val="0"/>
              <w:widowControl/>
              <w:kinsoku/>
              <w:wordWrap/>
              <w:overflowPunct/>
              <w:topLinePunct w:val="0"/>
              <w:autoSpaceDE/>
              <w:autoSpaceDN/>
              <w:bidi w:val="0"/>
              <w:adjustRightInd/>
              <w:snapToGrid/>
              <w:spacing w:line="240" w:lineRule="auto"/>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项目名称</w:t>
            </w:r>
          </w:p>
        </w:tc>
        <w:tc>
          <w:tcPr>
            <w:tcW w:w="7354" w:type="dxa"/>
            <w:vAlign w:val="center"/>
          </w:tcPr>
          <w:p w14:paraId="209DE410">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kern w:val="0"/>
                <w:sz w:val="24"/>
                <w:szCs w:val="24"/>
              </w:rPr>
            </w:pPr>
            <w:r>
              <w:rPr>
                <w:rFonts w:hint="eastAsia" w:cs="Arial" w:asciiTheme="minorEastAsia" w:hAnsiTheme="minorEastAsia"/>
                <w:color w:val="auto"/>
                <w:kern w:val="0"/>
                <w:sz w:val="24"/>
                <w:szCs w:val="24"/>
                <w:lang w:eastAsia="zh-CN"/>
              </w:rPr>
              <w:t>水磨沟区“十五五”规划前期研究及纲要编制项目</w:t>
            </w:r>
          </w:p>
        </w:tc>
      </w:tr>
      <w:tr w14:paraId="354BE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24F03D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3EB39957">
            <w:pPr>
              <w:keepNext/>
              <w:keepLines w:val="0"/>
              <w:pageBreakBefore w:val="0"/>
              <w:widowControl/>
              <w:kinsoku/>
              <w:wordWrap/>
              <w:overflowPunct/>
              <w:topLinePunct w:val="0"/>
              <w:autoSpaceDE/>
              <w:autoSpaceDN/>
              <w:bidi w:val="0"/>
              <w:adjustRightInd/>
              <w:snapToGrid/>
              <w:spacing w:line="240" w:lineRule="auto"/>
              <w:jc w:val="center"/>
              <w:rPr>
                <w:rFonts w:cs="Arial" w:asciiTheme="minorEastAsia" w:hAnsiTheme="minorEastAsia"/>
                <w:color w:val="auto"/>
                <w:kern w:val="0"/>
                <w:sz w:val="24"/>
                <w:szCs w:val="24"/>
              </w:rPr>
            </w:pPr>
            <w:r>
              <w:rPr>
                <w:rFonts w:hint="eastAsia" w:cs="Arial" w:asciiTheme="minorEastAsia" w:hAnsiTheme="minorEastAsia"/>
                <w:color w:val="auto"/>
                <w:kern w:val="0"/>
                <w:sz w:val="24"/>
                <w:szCs w:val="24"/>
                <w:lang w:eastAsia="zh-CN"/>
              </w:rPr>
              <w:t>项目</w:t>
            </w:r>
            <w:r>
              <w:rPr>
                <w:rFonts w:hint="eastAsia" w:cs="Arial" w:asciiTheme="minorEastAsia" w:hAnsiTheme="minorEastAsia"/>
                <w:color w:val="auto"/>
                <w:kern w:val="0"/>
                <w:sz w:val="24"/>
                <w:szCs w:val="24"/>
              </w:rPr>
              <w:t>编号</w:t>
            </w:r>
          </w:p>
        </w:tc>
        <w:tc>
          <w:tcPr>
            <w:tcW w:w="7354" w:type="dxa"/>
            <w:vAlign w:val="center"/>
          </w:tcPr>
          <w:p w14:paraId="1F0C5AA3">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kern w:val="0"/>
                <w:sz w:val="24"/>
                <w:szCs w:val="24"/>
              </w:rPr>
            </w:pPr>
            <w:r>
              <w:rPr>
                <w:rFonts w:asciiTheme="minorEastAsia" w:hAnsiTheme="minorEastAsia"/>
                <w:color w:val="auto"/>
                <w:sz w:val="24"/>
                <w:szCs w:val="24"/>
              </w:rPr>
              <w:fldChar w:fldCharType="begin"/>
            </w:r>
            <w:r>
              <w:rPr>
                <w:rFonts w:asciiTheme="minorEastAsia" w:hAnsiTheme="minorEastAsia"/>
                <w:color w:val="auto"/>
                <w:sz w:val="24"/>
                <w:szCs w:val="24"/>
              </w:rPr>
              <w:instrText xml:space="preserve"> HYPERLINK "https://www.zcygov.cn/delegation-order/_procurement_/order/orderInfo/detail/6821773913923979149" \t "https://www.zcygov.cn/delegation-order/_procurement_/order/_blank" </w:instrText>
            </w:r>
            <w:r>
              <w:rPr>
                <w:rFonts w:asciiTheme="minorEastAsia" w:hAnsiTheme="minorEastAsia"/>
                <w:color w:val="auto"/>
                <w:sz w:val="24"/>
                <w:szCs w:val="24"/>
              </w:rPr>
              <w:fldChar w:fldCharType="separate"/>
            </w:r>
            <w:r>
              <w:rPr>
                <w:rFonts w:hint="eastAsia" w:asciiTheme="minorEastAsia" w:hAnsiTheme="minorEastAsia"/>
                <w:color w:val="auto"/>
                <w:sz w:val="24"/>
                <w:szCs w:val="24"/>
              </w:rPr>
              <w:t>2025-0613-161743</w:t>
            </w:r>
            <w:r>
              <w:rPr>
                <w:rFonts w:hint="eastAsia" w:asciiTheme="minorEastAsia" w:hAnsiTheme="minorEastAsia"/>
                <w:color w:val="auto"/>
                <w:sz w:val="24"/>
                <w:szCs w:val="24"/>
              </w:rPr>
              <w:fldChar w:fldCharType="end"/>
            </w:r>
          </w:p>
        </w:tc>
      </w:tr>
      <w:tr w14:paraId="1A934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25" w:hRule="atLeast"/>
          <w:jc w:val="center"/>
        </w:trPr>
        <w:tc>
          <w:tcPr>
            <w:tcW w:w="597" w:type="dxa"/>
            <w:vMerge w:val="continue"/>
            <w:vAlign w:val="center"/>
          </w:tcPr>
          <w:p w14:paraId="69686E02">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1E9F574E">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采购人</w:t>
            </w:r>
          </w:p>
        </w:tc>
        <w:tc>
          <w:tcPr>
            <w:tcW w:w="7354" w:type="dxa"/>
            <w:vAlign w:val="center"/>
          </w:tcPr>
          <w:p w14:paraId="77BD6483">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Arial" w:asciiTheme="minorEastAsia" w:hAnsiTheme="minorEastAsia"/>
                <w:color w:val="auto"/>
                <w:kern w:val="0"/>
                <w:sz w:val="24"/>
                <w:szCs w:val="24"/>
              </w:rPr>
              <w:t>乌鲁木齐市水磨沟区发展和改革委员会（乌鲁木齐市水磨沟区工业和信息化局、粮食和物资储备局）</w:t>
            </w:r>
          </w:p>
        </w:tc>
      </w:tr>
      <w:tr w14:paraId="18C42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507FEFB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5300AC21">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w:t>
            </w:r>
          </w:p>
          <w:p w14:paraId="4E4A054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代理机构</w:t>
            </w:r>
          </w:p>
        </w:tc>
        <w:tc>
          <w:tcPr>
            <w:tcW w:w="7354" w:type="dxa"/>
            <w:vAlign w:val="center"/>
          </w:tcPr>
          <w:p w14:paraId="7DD8DECF">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新疆锐智时代建设工程项目管理有限公司</w:t>
            </w:r>
          </w:p>
        </w:tc>
      </w:tr>
      <w:tr w14:paraId="1F630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4C6799E1">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228700F9">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服务地点</w:t>
            </w:r>
          </w:p>
        </w:tc>
        <w:tc>
          <w:tcPr>
            <w:tcW w:w="7354" w:type="dxa"/>
            <w:vAlign w:val="center"/>
          </w:tcPr>
          <w:p w14:paraId="0331AB50">
            <w:pPr>
              <w:keepLines w:val="0"/>
              <w:pageBreakBefore w:val="0"/>
              <w:kinsoku/>
              <w:wordWrap/>
              <w:overflowPunct/>
              <w:topLinePunct w:val="0"/>
              <w:autoSpaceDE/>
              <w:autoSpaceDN/>
              <w:bidi w:val="0"/>
              <w:adjustRightInd/>
              <w:snapToGrid/>
              <w:spacing w:line="240" w:lineRule="auto"/>
              <w:rPr>
                <w:color w:val="auto"/>
              </w:rPr>
            </w:pPr>
            <w:r>
              <w:rPr>
                <w:rFonts w:hint="eastAsia" w:cs="Arial" w:asciiTheme="minorEastAsia" w:hAnsiTheme="minorEastAsia"/>
                <w:color w:val="auto"/>
                <w:kern w:val="0"/>
                <w:sz w:val="24"/>
                <w:szCs w:val="24"/>
              </w:rPr>
              <w:t>乌鲁木齐市水磨沟区</w:t>
            </w:r>
            <w:r>
              <w:rPr>
                <w:rFonts w:eastAsia="宋体" w:cs="Arial" w:asciiTheme="minorEastAsia" w:hAnsiTheme="minorEastAsia"/>
                <w:color w:val="auto"/>
                <w:kern w:val="0"/>
                <w:sz w:val="24"/>
                <w:szCs w:val="24"/>
              </w:rPr>
              <w:t xml:space="preserve"> </w:t>
            </w:r>
          </w:p>
        </w:tc>
      </w:tr>
      <w:tr w14:paraId="4F08E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495E316">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04E35BF7">
            <w:pPr>
              <w:keepNext/>
              <w:keepLines w:val="0"/>
              <w:pageBreakBefore w:val="0"/>
              <w:widowControl/>
              <w:kinsoku/>
              <w:wordWrap/>
              <w:overflowPunct/>
              <w:topLinePunct w:val="0"/>
              <w:autoSpaceDE/>
              <w:autoSpaceDN/>
              <w:bidi w:val="0"/>
              <w:adjustRightInd/>
              <w:snapToGrid/>
              <w:spacing w:line="240" w:lineRule="auto"/>
              <w:jc w:val="cente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资金来源</w:t>
            </w:r>
          </w:p>
        </w:tc>
        <w:tc>
          <w:tcPr>
            <w:tcW w:w="7354" w:type="dxa"/>
            <w:vAlign w:val="center"/>
          </w:tcPr>
          <w:p w14:paraId="460BFA9D">
            <w:pPr>
              <w:keepNext/>
              <w:keepLines w:val="0"/>
              <w:pageBreakBefore w:val="0"/>
              <w:widowControl/>
              <w:kinsoku/>
              <w:wordWrap/>
              <w:overflowPunct/>
              <w:topLinePunct w:val="0"/>
              <w:autoSpaceDE/>
              <w:autoSpaceDN/>
              <w:bidi w:val="0"/>
              <w:adjustRightInd/>
              <w:snapToGrid/>
              <w:spacing w:line="240" w:lineRule="auto"/>
              <w:jc w:val="left"/>
              <w:rPr>
                <w:rFonts w:cs="Times New Roman" w:asciiTheme="minorEastAsia" w:hAnsiTheme="minorEastAsia"/>
                <w:color w:val="auto"/>
                <w:sz w:val="24"/>
                <w:szCs w:val="24"/>
              </w:rPr>
            </w:pPr>
            <w:r>
              <w:rPr>
                <w:rFonts w:hint="eastAsia" w:cs="Arial" w:asciiTheme="minorEastAsia" w:hAnsiTheme="minorEastAsia"/>
                <w:color w:val="auto"/>
                <w:kern w:val="0"/>
                <w:sz w:val="24"/>
                <w:szCs w:val="24"/>
              </w:rPr>
              <w:t>财政资金</w:t>
            </w:r>
          </w:p>
        </w:tc>
      </w:tr>
      <w:tr w14:paraId="0366E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3B50966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0854E70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w:t>
            </w:r>
          </w:p>
          <w:p w14:paraId="4959A24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预算金额</w:t>
            </w:r>
          </w:p>
        </w:tc>
        <w:tc>
          <w:tcPr>
            <w:tcW w:w="7354" w:type="dxa"/>
            <w:vAlign w:val="center"/>
          </w:tcPr>
          <w:p w14:paraId="466B2D31">
            <w:pPr>
              <w:keepNext/>
              <w:keepLines w:val="0"/>
              <w:pageBreakBefore w:val="0"/>
              <w:widowControl/>
              <w:kinsoku/>
              <w:wordWrap/>
              <w:overflowPunct/>
              <w:topLinePunct w:val="0"/>
              <w:autoSpaceDE/>
              <w:autoSpaceDN/>
              <w:bidi w:val="0"/>
              <w:adjustRightInd/>
              <w:snapToGrid/>
              <w:spacing w:line="240" w:lineRule="auto"/>
              <w:jc w:val="left"/>
              <w:rPr>
                <w:rFonts w:eastAsia="宋体" w:cs="Times New Roman" w:asciiTheme="minorEastAsia" w:hAnsiTheme="minorEastAsia"/>
                <w:color w:val="auto"/>
                <w:kern w:val="0"/>
                <w:sz w:val="24"/>
                <w:szCs w:val="24"/>
              </w:rPr>
            </w:pPr>
            <w:r>
              <w:rPr>
                <w:rFonts w:hint="eastAsia" w:eastAsia="宋体" w:cs="Arial" w:asciiTheme="minorEastAsia" w:hAnsiTheme="minorEastAsia"/>
                <w:color w:val="auto"/>
                <w:kern w:val="0"/>
                <w:sz w:val="24"/>
                <w:szCs w:val="24"/>
                <w:u w:val="single"/>
              </w:rPr>
              <w:t xml:space="preserve">  </w:t>
            </w:r>
            <w:r>
              <w:rPr>
                <w:rFonts w:hint="eastAsia" w:eastAsia="宋体" w:cs="Arial" w:asciiTheme="minorEastAsia" w:hAnsiTheme="minorEastAsia"/>
                <w:color w:val="auto"/>
                <w:kern w:val="0"/>
                <w:sz w:val="24"/>
                <w:szCs w:val="24"/>
                <w:u w:val="single"/>
                <w:lang w:val="en-US" w:eastAsia="zh-CN"/>
              </w:rPr>
              <w:t>80</w:t>
            </w:r>
            <w:r>
              <w:rPr>
                <w:rFonts w:hint="eastAsia" w:eastAsia="宋体" w:cs="Arial" w:asciiTheme="minorEastAsia" w:hAnsiTheme="minorEastAsia"/>
                <w:color w:val="auto"/>
                <w:kern w:val="0"/>
                <w:sz w:val="24"/>
                <w:szCs w:val="24"/>
                <w:u w:val="single"/>
              </w:rPr>
              <w:t xml:space="preserve">0000 </w:t>
            </w:r>
            <w:r>
              <w:rPr>
                <w:rFonts w:hint="eastAsia" w:eastAsia="宋体" w:cs="Arial" w:asciiTheme="minorEastAsia" w:hAnsiTheme="minorEastAsia"/>
                <w:color w:val="auto"/>
                <w:kern w:val="0"/>
                <w:sz w:val="24"/>
                <w:szCs w:val="24"/>
              </w:rPr>
              <w:t>元，供应商投标总报价不得超相应预算金额，否则，按废标处理。</w:t>
            </w:r>
          </w:p>
        </w:tc>
      </w:tr>
      <w:tr w14:paraId="65ED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2F31537">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05C5C553">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服务周期</w:t>
            </w:r>
          </w:p>
        </w:tc>
        <w:tc>
          <w:tcPr>
            <w:tcW w:w="7354" w:type="dxa"/>
            <w:vAlign w:val="center"/>
          </w:tcPr>
          <w:p w14:paraId="333CA3CA">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0" w:firstLineChars="200"/>
              <w:jc w:val="both"/>
              <w:textAlignment w:val="auto"/>
              <w:rPr>
                <w:rFonts w:eastAsia="宋体" w:cs="Arial" w:asciiTheme="minorEastAsia" w:hAnsiTheme="minorEastAsia"/>
                <w:color w:val="auto"/>
                <w:kern w:val="0"/>
                <w:sz w:val="24"/>
                <w:szCs w:val="24"/>
              </w:rPr>
            </w:pPr>
            <w:r>
              <w:rPr>
                <w:rFonts w:hint="eastAsia" w:ascii="Undefined" w:hAnsi="Undefined" w:eastAsia="宋体" w:cs="宋体"/>
                <w:color w:val="auto"/>
                <w:kern w:val="0"/>
                <w:sz w:val="24"/>
                <w:szCs w:val="24"/>
              </w:rPr>
              <w:t>自合同签订之日至2025年12月31日前提交所有经修正后的成果资料。</w:t>
            </w:r>
            <w:r>
              <w:rPr>
                <w:rFonts w:hint="eastAsia" w:ascii="Undefined" w:hAnsi="Undefined" w:eastAsia="宋体" w:cs="宋体"/>
                <w:color w:val="auto"/>
                <w:kern w:val="0"/>
                <w:sz w:val="24"/>
                <w:szCs w:val="24"/>
                <w:lang w:eastAsia="zh-CN"/>
              </w:rPr>
              <w:t>（</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1.编制水磨沟区</w:t>
            </w:r>
            <w:r>
              <w:rPr>
                <w:rFonts w:hint="eastAsia" w:asciiTheme="minorEastAsia" w:hAnsiTheme="minorEastAsia" w:eastAsiaTheme="minorEastAsia" w:cstheme="minorEastAsia"/>
                <w:color w:val="auto"/>
                <w:sz w:val="24"/>
                <w:szCs w:val="24"/>
                <w:lang w:val="en-US" w:eastAsia="zh-CN"/>
              </w:rPr>
              <w:t>“十五五”规划《纲要》，完成时序：</w:t>
            </w:r>
            <w:r>
              <w:rPr>
                <w:rFonts w:hint="eastAsia" w:asciiTheme="minorEastAsia" w:hAnsi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val="en-US" w:eastAsia="zh-CN"/>
              </w:rPr>
              <w:t>月底前形成初稿，</w:t>
            </w:r>
            <w:r>
              <w:rPr>
                <w:rFonts w:hint="eastAsia" w:asciiTheme="minorEastAsia" w:hAnsi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二十日前完成征询意见修改稿，</w:t>
            </w:r>
            <w:r>
              <w:rPr>
                <w:rFonts w:hint="eastAsia" w:asciiTheme="minorEastAsia" w:hAnsiTheme="minorEastAsia" w:eastAsiaTheme="minorEastAsia" w:cstheme="minorEastAsia"/>
                <w:color w:val="auto"/>
                <w:sz w:val="24"/>
                <w:szCs w:val="24"/>
                <w:lang w:val="en-US" w:eastAsia="zh-CN"/>
              </w:rPr>
              <w:t>九月底完成送审稿。</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2.编制水磨沟区“十四五”规划纲要总结评估报告。完成时序：</w:t>
            </w:r>
            <w:r>
              <w:rPr>
                <w:rFonts w:hint="eastAsia" w:asciiTheme="minorEastAsia" w:hAnsiTheme="minorEastAsia" w:cstheme="minorEastAsia"/>
                <w:snapToGrid w:val="0"/>
                <w:color w:val="auto"/>
                <w:spacing w:val="0"/>
                <w:kern w:val="0"/>
                <w:sz w:val="24"/>
                <w:szCs w:val="24"/>
                <w:highlight w:val="none"/>
                <w:u w:val="none"/>
                <w:lang w:val="en-US" w:eastAsia="zh-CN"/>
              </w:rPr>
              <w:t>七</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月底前完成初稿，</w:t>
            </w:r>
            <w:r>
              <w:rPr>
                <w:rFonts w:hint="eastAsia" w:asciiTheme="minorEastAsia" w:hAnsiTheme="minorEastAsia" w:cstheme="minorEastAsia"/>
                <w:snapToGrid w:val="0"/>
                <w:color w:val="auto"/>
                <w:spacing w:val="0"/>
                <w:kern w:val="0"/>
                <w:sz w:val="24"/>
                <w:szCs w:val="24"/>
                <w:highlight w:val="none"/>
                <w:u w:val="none"/>
                <w:lang w:val="en-US" w:eastAsia="zh-CN"/>
              </w:rPr>
              <w:t>八月二十日前完成</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月完成</w:t>
            </w:r>
            <w:r>
              <w:rPr>
                <w:rFonts w:hint="eastAsia" w:asciiTheme="minorEastAsia" w:hAnsiTheme="minorEastAsia" w:cstheme="minorEastAsia"/>
                <w:snapToGrid w:val="0"/>
                <w:color w:val="auto"/>
                <w:spacing w:val="0"/>
                <w:kern w:val="0"/>
                <w:sz w:val="24"/>
                <w:szCs w:val="24"/>
                <w:highlight w:val="none"/>
                <w:u w:val="none"/>
                <w:lang w:val="en-US" w:eastAsia="zh-CN"/>
              </w:rPr>
              <w:t>征询意见修改稿</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w:t>
            </w:r>
            <w:r>
              <w:rPr>
                <w:rFonts w:hint="eastAsia" w:asciiTheme="minorEastAsia" w:hAnsiTheme="minorEastAsia" w:cstheme="minorEastAsia"/>
                <w:snapToGrid w:val="0"/>
                <w:color w:val="auto"/>
                <w:spacing w:val="0"/>
                <w:kern w:val="0"/>
                <w:sz w:val="24"/>
                <w:szCs w:val="24"/>
                <w:highlight w:val="none"/>
                <w:u w:val="none"/>
                <w:lang w:val="en-US" w:eastAsia="zh-CN"/>
              </w:rPr>
              <w:t>八月底</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完成送审稿。</w:t>
            </w:r>
            <w:r>
              <w:rPr>
                <w:rFonts w:hint="eastAsia" w:ascii="Undefined" w:hAnsi="Undefined" w:eastAsia="宋体" w:cs="宋体"/>
                <w:color w:val="auto"/>
                <w:kern w:val="0"/>
                <w:sz w:val="24"/>
                <w:szCs w:val="24"/>
                <w:lang w:eastAsia="zh-CN"/>
              </w:rPr>
              <w:t>）</w:t>
            </w:r>
            <w:r>
              <w:rPr>
                <w:rFonts w:ascii="Undefined" w:hAnsi="Undefined" w:eastAsia="宋体" w:cs="宋体"/>
                <w:color w:val="auto"/>
                <w:kern w:val="0"/>
                <w:sz w:val="24"/>
                <w:szCs w:val="24"/>
              </w:rPr>
              <w:t>成果质量要求执行国家或行业标准、规范，确保项目成果质量符合有关文件或技术标准的规定。</w:t>
            </w:r>
          </w:p>
        </w:tc>
      </w:tr>
      <w:tr w14:paraId="57277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725BD05">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3B1FF0B5">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项目概况</w:t>
            </w:r>
          </w:p>
        </w:tc>
        <w:tc>
          <w:tcPr>
            <w:tcW w:w="7354" w:type="dxa"/>
            <w:vAlign w:val="center"/>
          </w:tcPr>
          <w:p w14:paraId="1F546044">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asciiTheme="minorEastAsia" w:hAnsiTheme="minorEastAsia"/>
                <w:color w:val="auto"/>
                <w:sz w:val="24"/>
                <w:szCs w:val="24"/>
                <w:u w:val="none"/>
              </w:rPr>
              <w:t>完成水磨沟区“十五五”规划纲要编制及“十四五”规划总结评估工作</w:t>
            </w:r>
            <w:r>
              <w:rPr>
                <w:rFonts w:hint="eastAsia" w:asciiTheme="minorEastAsia" w:hAnsiTheme="minorEastAsia"/>
                <w:color w:val="auto"/>
                <w:sz w:val="24"/>
                <w:szCs w:val="24"/>
                <w:u w:val="none"/>
              </w:rPr>
              <w:t>。</w:t>
            </w:r>
            <w:r>
              <w:rPr>
                <w:rFonts w:hint="eastAsia" w:eastAsia="宋体" w:cs="Arial" w:asciiTheme="minorEastAsia" w:hAnsiTheme="minorEastAsia"/>
                <w:color w:val="auto"/>
                <w:kern w:val="0"/>
                <w:sz w:val="24"/>
                <w:szCs w:val="24"/>
                <w:u w:val="none"/>
              </w:rPr>
              <w:t>具体详见本采购文件第四章采购标准和要求</w:t>
            </w:r>
          </w:p>
        </w:tc>
      </w:tr>
      <w:tr w14:paraId="405BD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6EDCC57">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2</w:t>
            </w:r>
          </w:p>
        </w:tc>
        <w:tc>
          <w:tcPr>
            <w:tcW w:w="1410" w:type="dxa"/>
            <w:vAlign w:val="center"/>
          </w:tcPr>
          <w:p w14:paraId="7E193800">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采购范围</w:t>
            </w:r>
          </w:p>
        </w:tc>
        <w:tc>
          <w:tcPr>
            <w:tcW w:w="7354" w:type="dxa"/>
            <w:vAlign w:val="center"/>
          </w:tcPr>
          <w:p w14:paraId="5518CADA">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Arial" w:asciiTheme="minorEastAsia" w:hAnsiTheme="minorEastAsia"/>
                <w:color w:val="auto"/>
                <w:kern w:val="0"/>
                <w:sz w:val="24"/>
                <w:szCs w:val="24"/>
                <w:lang w:eastAsia="zh-CN"/>
              </w:rPr>
              <w:t>水磨沟区“十五五”规划纲要编制项目</w:t>
            </w:r>
            <w:r>
              <w:rPr>
                <w:rFonts w:hint="eastAsia" w:cs="Arial" w:asciiTheme="minorEastAsia" w:hAnsiTheme="minorEastAsia"/>
                <w:color w:val="auto"/>
                <w:kern w:val="0"/>
                <w:sz w:val="24"/>
                <w:szCs w:val="24"/>
              </w:rPr>
              <w:t>采购范围内所有工作内容。</w:t>
            </w:r>
          </w:p>
        </w:tc>
      </w:tr>
      <w:tr w14:paraId="53003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90" w:hRule="atLeast"/>
          <w:jc w:val="center"/>
        </w:trPr>
        <w:tc>
          <w:tcPr>
            <w:tcW w:w="597" w:type="dxa"/>
            <w:vMerge w:val="restart"/>
            <w:vAlign w:val="center"/>
          </w:tcPr>
          <w:p w14:paraId="7F7EFF3C">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3</w:t>
            </w:r>
          </w:p>
        </w:tc>
        <w:tc>
          <w:tcPr>
            <w:tcW w:w="1410" w:type="dxa"/>
            <w:vAlign w:val="center"/>
          </w:tcPr>
          <w:p w14:paraId="462B4830">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采购方式</w:t>
            </w:r>
          </w:p>
        </w:tc>
        <w:tc>
          <w:tcPr>
            <w:tcW w:w="7354" w:type="dxa"/>
            <w:vAlign w:val="center"/>
          </w:tcPr>
          <w:p w14:paraId="105DA9F7">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竞争性磋商</w:t>
            </w:r>
          </w:p>
        </w:tc>
      </w:tr>
      <w:tr w14:paraId="13B0F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095D1CDD">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16924FDB">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资格审查</w:t>
            </w:r>
          </w:p>
          <w:p w14:paraId="3AD97B91">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方式</w:t>
            </w:r>
          </w:p>
        </w:tc>
        <w:tc>
          <w:tcPr>
            <w:tcW w:w="7354" w:type="dxa"/>
            <w:vAlign w:val="center"/>
          </w:tcPr>
          <w:p w14:paraId="6A7C6D9C">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资格后审</w:t>
            </w:r>
          </w:p>
        </w:tc>
      </w:tr>
      <w:tr w14:paraId="234EC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restart"/>
            <w:vAlign w:val="center"/>
          </w:tcPr>
          <w:p w14:paraId="766C642A">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4</w:t>
            </w:r>
          </w:p>
        </w:tc>
        <w:tc>
          <w:tcPr>
            <w:tcW w:w="1410" w:type="dxa"/>
            <w:vAlign w:val="center"/>
          </w:tcPr>
          <w:p w14:paraId="5EC96800">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评标办法</w:t>
            </w:r>
          </w:p>
        </w:tc>
        <w:tc>
          <w:tcPr>
            <w:tcW w:w="7354" w:type="dxa"/>
            <w:vAlign w:val="center"/>
          </w:tcPr>
          <w:p w14:paraId="7324A3D3">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综合评分法</w:t>
            </w:r>
          </w:p>
        </w:tc>
      </w:tr>
      <w:tr w14:paraId="12038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Merge w:val="continue"/>
            <w:vAlign w:val="center"/>
          </w:tcPr>
          <w:p w14:paraId="157583A3">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p>
        </w:tc>
        <w:tc>
          <w:tcPr>
            <w:tcW w:w="1410" w:type="dxa"/>
            <w:vAlign w:val="center"/>
          </w:tcPr>
          <w:p w14:paraId="3B05073E">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定标方法</w:t>
            </w:r>
          </w:p>
        </w:tc>
        <w:tc>
          <w:tcPr>
            <w:tcW w:w="7354" w:type="dxa"/>
            <w:vAlign w:val="center"/>
          </w:tcPr>
          <w:p w14:paraId="7989C2AD">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磋商小组推荐三名成交候选人</w:t>
            </w:r>
          </w:p>
        </w:tc>
      </w:tr>
      <w:tr w14:paraId="4047D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57D7CE4">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5</w:t>
            </w:r>
          </w:p>
        </w:tc>
        <w:tc>
          <w:tcPr>
            <w:tcW w:w="1410" w:type="dxa"/>
            <w:vAlign w:val="center"/>
          </w:tcPr>
          <w:p w14:paraId="7177FEC9">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供应商资格条件和能力</w:t>
            </w:r>
          </w:p>
        </w:tc>
        <w:tc>
          <w:tcPr>
            <w:tcW w:w="7354" w:type="dxa"/>
            <w:vAlign w:val="center"/>
          </w:tcPr>
          <w:p w14:paraId="13A7B17F">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1.满足《中华人民共和国政府采购法》第二十二条规定；</w:t>
            </w:r>
          </w:p>
          <w:p w14:paraId="23510B03">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（1）具有独立承担民事责任的能力；</w:t>
            </w:r>
          </w:p>
          <w:p w14:paraId="77203C91">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（2）具有健全的财务会计制度；</w:t>
            </w:r>
          </w:p>
          <w:p w14:paraId="2AC075A5">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（3）具有履行合同所必需的设备和专业技术能力；</w:t>
            </w:r>
          </w:p>
          <w:p w14:paraId="346E153B">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（4）有依法缴纳税收和社会保障资金的良好记录；</w:t>
            </w:r>
          </w:p>
          <w:p w14:paraId="7E314D8C">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（5）参加政府采购活动前三年内，在经营活动中没有重大违法记录；</w:t>
            </w:r>
          </w:p>
          <w:p w14:paraId="44790140">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（6）法律、行政法规规定的其他条件。</w:t>
            </w:r>
          </w:p>
          <w:p w14:paraId="7131C4CC">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2.落实政府采购政策需满足的资格要求：</w:t>
            </w:r>
            <w:r>
              <w:rPr>
                <w:rFonts w:asciiTheme="minorEastAsia" w:hAnsiTheme="minorEastAsia"/>
                <w:color w:val="auto"/>
                <w:sz w:val="24"/>
                <w:szCs w:val="24"/>
              </w:rPr>
              <w:t>本项目不专门面向</w:t>
            </w:r>
            <w:r>
              <w:rPr>
                <w:rFonts w:hint="eastAsia" w:asciiTheme="minorEastAsia" w:hAnsiTheme="minorEastAsia"/>
                <w:color w:val="auto"/>
                <w:sz w:val="24"/>
                <w:szCs w:val="24"/>
              </w:rPr>
              <w:t>中小</w:t>
            </w:r>
            <w:r>
              <w:rPr>
                <w:rFonts w:asciiTheme="minorEastAsia" w:hAnsiTheme="minorEastAsia"/>
                <w:color w:val="auto"/>
                <w:sz w:val="24"/>
                <w:szCs w:val="24"/>
              </w:rPr>
              <w:t>企业</w:t>
            </w:r>
            <w:r>
              <w:rPr>
                <w:rFonts w:hint="eastAsia" w:asciiTheme="minorEastAsia" w:hAnsiTheme="minorEastAsia"/>
                <w:color w:val="auto"/>
                <w:sz w:val="24"/>
                <w:szCs w:val="24"/>
              </w:rPr>
              <w:t>。</w:t>
            </w:r>
          </w:p>
          <w:p w14:paraId="1D57AA11">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3.本项目的特定资格要求：</w:t>
            </w:r>
          </w:p>
          <w:p w14:paraId="47240DA4">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1）、供应商须</w:t>
            </w:r>
            <w:r>
              <w:rPr>
                <w:rFonts w:asciiTheme="minorEastAsia" w:hAnsiTheme="minorEastAsia"/>
                <w:color w:val="auto"/>
                <w:sz w:val="24"/>
                <w:szCs w:val="24"/>
              </w:rPr>
              <w:t>具有有效的营业</w:t>
            </w:r>
            <w:r>
              <w:rPr>
                <w:rFonts w:hint="eastAsia" w:asciiTheme="minorEastAsia" w:hAnsiTheme="minorEastAsia"/>
                <w:color w:val="auto"/>
                <w:sz w:val="24"/>
                <w:szCs w:val="24"/>
              </w:rPr>
              <w:t>执照或事业单位法人证书；具有独立订立合同的权利，能独立承担民事责任的能力；</w:t>
            </w:r>
          </w:p>
          <w:p w14:paraId="30ED5281">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rPr>
              <w:t>2）、供应商须是在“信用中国”（www.creditchina.gov.cn）和中国政府采购网（www.ccgp.gov.cn）网站上未被列入失信被执行人、重大税收违法案件当事人名单以及政府采购严重违法失信行为记录名单；</w:t>
            </w:r>
            <w:r>
              <w:rPr>
                <w:rFonts w:asciiTheme="minorEastAsia" w:hAnsiTheme="minorEastAsia"/>
                <w:color w:val="auto"/>
                <w:sz w:val="24"/>
                <w:szCs w:val="24"/>
              </w:rPr>
              <w:t xml:space="preserve"> </w:t>
            </w:r>
          </w:p>
          <w:p w14:paraId="1B82DC4F">
            <w:pPr>
              <w:keepLines w:val="0"/>
              <w:pageBreakBefore w:val="0"/>
              <w:kinsoku/>
              <w:wordWrap/>
              <w:overflowPunct/>
              <w:topLinePunct w:val="0"/>
              <w:autoSpaceDE/>
              <w:autoSpaceDN/>
              <w:bidi w:val="0"/>
              <w:adjustRightInd/>
              <w:snapToGrid/>
              <w:spacing w:line="240" w:lineRule="auto"/>
              <w:rPr>
                <w:rFonts w:asciiTheme="minorEastAsia" w:hAnsiTheme="minorEastAsia"/>
                <w:color w:val="auto"/>
                <w:sz w:val="24"/>
                <w:szCs w:val="24"/>
              </w:rPr>
            </w:pPr>
            <w:r>
              <w:rPr>
                <w:rFonts w:hint="eastAsia" w:asciiTheme="minorEastAsia" w:hAnsiTheme="minorEastAsia"/>
                <w:color w:val="auto"/>
                <w:sz w:val="24"/>
                <w:szCs w:val="24"/>
                <w:lang w:val="en-US" w:eastAsia="zh-CN"/>
              </w:rPr>
              <w:t>3</w:t>
            </w:r>
            <w:r>
              <w:rPr>
                <w:rFonts w:hint="eastAsia" w:asciiTheme="minorEastAsia" w:hAnsiTheme="minorEastAsia"/>
                <w:color w:val="auto"/>
                <w:sz w:val="24"/>
                <w:szCs w:val="24"/>
              </w:rPr>
              <w:t>）、其他说明：①与采购人存在利害关系可能影响采购公正性的法人、其他组织或者个人，不得参加投标。②单位负责人为同一人或者存在控股、管理关系的不同供应商，不得参加同一合同项下的政府采购活动。违反前两款规定的，相关投标均无效。</w:t>
            </w:r>
          </w:p>
          <w:p w14:paraId="7F1C37BE">
            <w:pPr>
              <w:pStyle w:val="274"/>
              <w:keepLines w:val="0"/>
              <w:pageBreakBefore w:val="0"/>
              <w:kinsoku/>
              <w:wordWrap/>
              <w:overflowPunct/>
              <w:topLinePunct w:val="0"/>
              <w:autoSpaceDE/>
              <w:autoSpaceDN/>
              <w:bidi w:val="0"/>
              <w:adjustRightInd/>
              <w:snapToGrid/>
              <w:spacing w:line="240" w:lineRule="auto"/>
              <w:ind w:firstLine="0"/>
              <w:rPr>
                <w:rFonts w:eastAsia="宋体" w:cs="Times New Roman" w:asciiTheme="minorEastAsia" w:hAnsiTheme="minorEastAsia"/>
                <w:color w:val="auto"/>
              </w:rPr>
            </w:pPr>
            <w:r>
              <w:rPr>
                <w:rFonts w:hint="eastAsia" w:asciiTheme="minorEastAsia" w:hAnsiTheme="minorEastAsia"/>
                <w:color w:val="auto"/>
                <w:sz w:val="24"/>
                <w:szCs w:val="24"/>
                <w:lang w:val="en-US" w:eastAsia="zh-CN"/>
              </w:rPr>
              <w:t>4</w:t>
            </w:r>
            <w:r>
              <w:rPr>
                <w:rFonts w:hint="eastAsia" w:asciiTheme="minorEastAsia" w:hAnsiTheme="minorEastAsia"/>
                <w:color w:val="auto"/>
                <w:sz w:val="24"/>
                <w:szCs w:val="24"/>
              </w:rPr>
              <w:t>）、本项目接受联合体投标。</w:t>
            </w:r>
          </w:p>
        </w:tc>
      </w:tr>
      <w:tr w14:paraId="508C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0039834">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6</w:t>
            </w:r>
          </w:p>
        </w:tc>
        <w:tc>
          <w:tcPr>
            <w:tcW w:w="1410" w:type="dxa"/>
            <w:vAlign w:val="center"/>
          </w:tcPr>
          <w:p w14:paraId="72BBA1F2">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ascii="宋体" w:hAnsi="宋体" w:eastAsia="宋体" w:cs="Arial"/>
                <w:color w:val="auto"/>
                <w:kern w:val="0"/>
                <w:sz w:val="24"/>
                <w:szCs w:val="24"/>
              </w:rPr>
              <w:t>竞争性磋商文件</w:t>
            </w:r>
            <w:r>
              <w:rPr>
                <w:rFonts w:hint="eastAsia" w:eastAsia="宋体" w:cs="Arial" w:asciiTheme="minorEastAsia" w:hAnsiTheme="minorEastAsia"/>
                <w:color w:val="auto"/>
                <w:kern w:val="0"/>
                <w:sz w:val="24"/>
                <w:szCs w:val="24"/>
              </w:rPr>
              <w:t>费</w:t>
            </w:r>
          </w:p>
        </w:tc>
        <w:tc>
          <w:tcPr>
            <w:tcW w:w="7354" w:type="dxa"/>
            <w:vAlign w:val="center"/>
          </w:tcPr>
          <w:p w14:paraId="4382027F">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w:t>
            </w:r>
          </w:p>
        </w:tc>
      </w:tr>
      <w:tr w14:paraId="62605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53647D94">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7</w:t>
            </w:r>
          </w:p>
        </w:tc>
        <w:tc>
          <w:tcPr>
            <w:tcW w:w="1410" w:type="dxa"/>
            <w:vAlign w:val="center"/>
          </w:tcPr>
          <w:p w14:paraId="3CC410EF">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磋商保证金</w:t>
            </w:r>
          </w:p>
        </w:tc>
        <w:tc>
          <w:tcPr>
            <w:tcW w:w="7354" w:type="dxa"/>
            <w:vAlign w:val="center"/>
          </w:tcPr>
          <w:p w14:paraId="5D772F4A">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要求提供。本项目的磋商保证金金额：</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val="en-US" w:eastAsia="zh-CN"/>
              </w:rPr>
              <w:t>8</w:t>
            </w:r>
            <w:r>
              <w:rPr>
                <w:rFonts w:hint="eastAsia" w:cs="Times New Roman" w:asciiTheme="minorEastAsia" w:hAnsiTheme="minorEastAsia" w:eastAsiaTheme="minorEastAsia"/>
                <w:color w:val="auto"/>
                <w:sz w:val="24"/>
                <w:szCs w:val="24"/>
                <w:u w:val="single"/>
              </w:rPr>
              <w:t xml:space="preserve">000 </w:t>
            </w:r>
            <w:r>
              <w:rPr>
                <w:rFonts w:hint="eastAsia" w:cs="Times New Roman" w:asciiTheme="minorEastAsia" w:hAnsiTheme="minorEastAsia" w:eastAsiaTheme="minorEastAsia"/>
                <w:color w:val="auto"/>
                <w:sz w:val="24"/>
                <w:szCs w:val="24"/>
              </w:rPr>
              <w:t>元（</w:t>
            </w:r>
            <w:r>
              <w:rPr>
                <w:rFonts w:hint="eastAsia" w:cs="Times New Roman" w:asciiTheme="minorEastAsia" w:hAnsiTheme="minorEastAsia" w:eastAsiaTheme="minorEastAsia"/>
                <w:color w:val="auto"/>
                <w:sz w:val="24"/>
                <w:szCs w:val="24"/>
                <w:u w:val="single"/>
              </w:rPr>
              <w:t xml:space="preserve"> </w:t>
            </w:r>
            <w:r>
              <w:rPr>
                <w:rFonts w:hint="eastAsia" w:cs="Times New Roman" w:asciiTheme="minorEastAsia" w:hAnsiTheme="minorEastAsia" w:eastAsiaTheme="minorEastAsia"/>
                <w:color w:val="auto"/>
                <w:sz w:val="24"/>
                <w:szCs w:val="24"/>
                <w:u w:val="single"/>
                <w:lang w:eastAsia="zh-CN"/>
              </w:rPr>
              <w:t>捌</w:t>
            </w:r>
            <w:r>
              <w:rPr>
                <w:rFonts w:hint="eastAsia" w:cs="Times New Roman" w:asciiTheme="minorEastAsia" w:hAnsiTheme="minorEastAsia" w:eastAsiaTheme="minorEastAsia"/>
                <w:color w:val="auto"/>
                <w:sz w:val="24"/>
                <w:szCs w:val="24"/>
                <w:u w:val="single"/>
              </w:rPr>
              <w:t xml:space="preserve">仟 </w:t>
            </w:r>
            <w:r>
              <w:rPr>
                <w:rFonts w:hint="eastAsia" w:cs="Times New Roman" w:asciiTheme="minorEastAsia" w:hAnsiTheme="minorEastAsia" w:eastAsiaTheme="minorEastAsia"/>
                <w:color w:val="auto"/>
                <w:sz w:val="24"/>
                <w:szCs w:val="24"/>
              </w:rPr>
              <w:t>元整）</w:t>
            </w:r>
          </w:p>
          <w:p w14:paraId="405E237E">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账户名：</w:t>
            </w:r>
            <w:bookmarkStart w:id="14" w:name="OLE_LINK17"/>
            <w:bookmarkStart w:id="15" w:name="OLE_LINK18"/>
            <w:r>
              <w:rPr>
                <w:rFonts w:hint="eastAsia" w:cs="Times New Roman" w:asciiTheme="minorEastAsia" w:hAnsiTheme="minorEastAsia" w:eastAsiaTheme="minorEastAsia"/>
                <w:color w:val="auto"/>
                <w:sz w:val="24"/>
                <w:szCs w:val="24"/>
              </w:rPr>
              <w:t>新疆锐智时代建设工程项目管理有限公司</w:t>
            </w:r>
            <w:bookmarkEnd w:id="14"/>
            <w:bookmarkEnd w:id="15"/>
          </w:p>
          <w:p w14:paraId="76846B0B">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开户行：建行五星路支行</w:t>
            </w:r>
          </w:p>
          <w:p w14:paraId="510B6FC5">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行  号：</w:t>
            </w:r>
            <w:r>
              <w:rPr>
                <w:rFonts w:cs="Times New Roman" w:asciiTheme="minorEastAsia" w:hAnsiTheme="minorEastAsia" w:eastAsiaTheme="minorEastAsia"/>
                <w:color w:val="auto"/>
                <w:sz w:val="24"/>
                <w:szCs w:val="24"/>
              </w:rPr>
              <w:t>105881000500</w:t>
            </w:r>
          </w:p>
          <w:p w14:paraId="3ECBAC43">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帐  号：</w:t>
            </w:r>
            <w:r>
              <w:rPr>
                <w:rFonts w:cs="Times New Roman" w:asciiTheme="minorEastAsia" w:hAnsiTheme="minorEastAsia" w:eastAsiaTheme="minorEastAsia"/>
                <w:color w:val="auto"/>
                <w:sz w:val="24"/>
                <w:szCs w:val="24"/>
              </w:rPr>
              <w:t>65050161603800000351</w:t>
            </w:r>
          </w:p>
          <w:p w14:paraId="269C5C0F">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color w:val="auto"/>
                <w:sz w:val="24"/>
                <w:szCs w:val="24"/>
              </w:rPr>
            </w:pPr>
            <w:r>
              <w:rPr>
                <w:rFonts w:hint="eastAsia" w:cs="Times New Roman" w:asciiTheme="minorEastAsia" w:hAnsiTheme="minorEastAsia" w:eastAsiaTheme="minorEastAsia"/>
                <w:color w:val="auto"/>
                <w:sz w:val="24"/>
                <w:szCs w:val="24"/>
              </w:rPr>
              <w:t>磋商保证金缴纳形式：以非现金形式的电子保函缴纳或以电汇、网银等支付方式缴纳至采购代理机构指定账户。</w:t>
            </w:r>
          </w:p>
          <w:p w14:paraId="57847D7F">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1、电汇、网银转账须知：缴纳时需在附加信息及用途栏内注明磋商保证金、</w:t>
            </w:r>
            <w:r>
              <w:rPr>
                <w:rFonts w:hint="eastAsia" w:cs="Times New Roman" w:asciiTheme="minorEastAsia" w:hAnsiTheme="minorEastAsia" w:eastAsiaTheme="minorEastAsia"/>
                <w:b/>
                <w:color w:val="auto"/>
                <w:sz w:val="24"/>
                <w:szCs w:val="24"/>
                <w:lang w:eastAsia="zh-CN"/>
              </w:rPr>
              <w:t>项目</w:t>
            </w:r>
            <w:r>
              <w:rPr>
                <w:rFonts w:hint="eastAsia" w:cs="Times New Roman" w:asciiTheme="minorEastAsia" w:hAnsiTheme="minorEastAsia" w:eastAsiaTheme="minorEastAsia"/>
                <w:b/>
                <w:color w:val="auto"/>
                <w:sz w:val="24"/>
                <w:szCs w:val="24"/>
              </w:rPr>
              <w:t>名称（简称）；磋商</w:t>
            </w:r>
            <w:r>
              <w:rPr>
                <w:rFonts w:cs="Times New Roman" w:asciiTheme="minorEastAsia" w:hAnsiTheme="minorEastAsia" w:eastAsiaTheme="minorEastAsia"/>
                <w:b/>
                <w:color w:val="auto"/>
                <w:sz w:val="24"/>
                <w:szCs w:val="24"/>
              </w:rPr>
              <w:t>保证金于</w:t>
            </w:r>
            <w:r>
              <w:rPr>
                <w:rFonts w:hint="eastAsia" w:cs="Times New Roman" w:asciiTheme="minorEastAsia" w:hAnsiTheme="minorEastAsia" w:eastAsiaTheme="minorEastAsia"/>
                <w:b/>
                <w:color w:val="auto"/>
                <w:sz w:val="24"/>
                <w:szCs w:val="24"/>
              </w:rPr>
              <w:t>响应文件递交</w:t>
            </w:r>
            <w:r>
              <w:rPr>
                <w:rFonts w:cs="Times New Roman" w:asciiTheme="minorEastAsia" w:hAnsiTheme="minorEastAsia" w:eastAsiaTheme="minorEastAsia"/>
                <w:b/>
                <w:color w:val="auto"/>
                <w:sz w:val="24"/>
                <w:szCs w:val="24"/>
              </w:rPr>
              <w:t>截止时间前确认到账</w:t>
            </w:r>
            <w:r>
              <w:rPr>
                <w:rFonts w:hint="eastAsia" w:cs="Times New Roman" w:asciiTheme="minorEastAsia" w:hAnsiTheme="minorEastAsia" w:eastAsiaTheme="minorEastAsia"/>
                <w:b/>
                <w:color w:val="auto"/>
                <w:sz w:val="24"/>
                <w:szCs w:val="24"/>
              </w:rPr>
              <w:t>（供应商</w:t>
            </w:r>
            <w:r>
              <w:rPr>
                <w:rFonts w:cs="Times New Roman" w:asciiTheme="minorEastAsia" w:hAnsiTheme="minorEastAsia" w:eastAsiaTheme="minorEastAsia"/>
                <w:b/>
                <w:color w:val="auto"/>
                <w:sz w:val="24"/>
                <w:szCs w:val="24"/>
              </w:rPr>
              <w:t>需自行评估因异地、跨行、公休日等因素造成的</w:t>
            </w:r>
            <w:r>
              <w:rPr>
                <w:rFonts w:hint="eastAsia" w:cs="Times New Roman" w:asciiTheme="minorEastAsia" w:hAnsiTheme="minorEastAsia" w:eastAsiaTheme="minorEastAsia"/>
                <w:b/>
                <w:color w:val="auto"/>
                <w:sz w:val="24"/>
                <w:szCs w:val="24"/>
              </w:rPr>
              <w:t>磋商</w:t>
            </w:r>
            <w:r>
              <w:rPr>
                <w:rFonts w:cs="Times New Roman" w:asciiTheme="minorEastAsia" w:hAnsiTheme="minorEastAsia" w:eastAsiaTheme="minorEastAsia"/>
                <w:b/>
                <w:color w:val="auto"/>
                <w:sz w:val="24"/>
                <w:szCs w:val="24"/>
              </w:rPr>
              <w:t>保证金到账延迟风险，并承担相应责任。</w:t>
            </w:r>
            <w:r>
              <w:rPr>
                <w:rFonts w:hint="eastAsia" w:cs="Times New Roman" w:asciiTheme="minorEastAsia" w:hAnsiTheme="minorEastAsia" w:eastAsiaTheme="minorEastAsia"/>
                <w:b/>
                <w:color w:val="auto"/>
                <w:sz w:val="24"/>
                <w:szCs w:val="24"/>
              </w:rPr>
              <w:t>）</w:t>
            </w:r>
          </w:p>
          <w:p w14:paraId="10CF4702">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2</w:t>
            </w:r>
            <w:r>
              <w:rPr>
                <w:rFonts w:cs="Times New Roman" w:asciiTheme="minorEastAsia" w:hAnsiTheme="minorEastAsia" w:eastAsiaTheme="minorEastAsia"/>
                <w:b/>
                <w:color w:val="auto"/>
                <w:sz w:val="24"/>
                <w:szCs w:val="24"/>
              </w:rPr>
              <w:t>、政采云电子保函须知</w:t>
            </w:r>
            <w:r>
              <w:rPr>
                <w:rFonts w:hint="eastAsia" w:cs="Times New Roman" w:asciiTheme="minorEastAsia" w:hAnsiTheme="minorEastAsia" w:eastAsiaTheme="minorEastAsia"/>
                <w:b/>
                <w:color w:val="auto"/>
                <w:sz w:val="24"/>
                <w:szCs w:val="24"/>
              </w:rPr>
              <w:t>：</w:t>
            </w:r>
          </w:p>
          <w:p w14:paraId="7AE3D158">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(1)本项目推荐使用政采云电子保函形式缴纳磋商保证金，在线完成保函的申请、审核、开票、出函等环节；</w:t>
            </w:r>
          </w:p>
          <w:p w14:paraId="10E310F6">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(2)如采用政采云电子保函形式，可按照以下形式进行在线申请，电子保函申请链接</w:t>
            </w:r>
            <w:r>
              <w:rPr>
                <w:rFonts w:cs="Times New Roman" w:asciiTheme="minorEastAsia" w:hAnsiTheme="minorEastAsia" w:eastAsiaTheme="minorEastAsia"/>
                <w:b/>
                <w:color w:val="auto"/>
                <w:sz w:val="24"/>
                <w:szCs w:val="24"/>
              </w:rPr>
              <w:t>（</w:t>
            </w:r>
            <w:r>
              <w:rPr>
                <w:rFonts w:hint="eastAsia" w:cs="Times New Roman" w:asciiTheme="minorEastAsia" w:hAnsiTheme="minorEastAsia" w:eastAsiaTheme="minorEastAsia"/>
                <w:b/>
                <w:color w:val="auto"/>
                <w:sz w:val="24"/>
                <w:szCs w:val="24"/>
              </w:rPr>
              <w:t>https://jinrong.zcygov.cn/finance/letter/produc</w:t>
            </w:r>
          </w:p>
          <w:p w14:paraId="720E67BC">
            <w:pPr>
              <w:pStyle w:val="22"/>
              <w:keepLines w:val="0"/>
              <w:pageBreakBefore w:val="0"/>
              <w:kinsoku/>
              <w:wordWrap/>
              <w:overflowPunct/>
              <w:topLinePunct w:val="0"/>
              <w:autoSpaceDE/>
              <w:autoSpaceDN/>
              <w:bidi w:val="0"/>
              <w:adjustRightInd/>
              <w:snapToGrid/>
              <w:spacing w:line="240" w:lineRule="auto"/>
              <w:jc w:val="left"/>
              <w:rPr>
                <w:rFonts w:cs="Times New Roman" w:asciiTheme="minorEastAsia" w:hAnsiTheme="minorEastAsia" w:eastAsiaTheme="minorEastAsia"/>
                <w:b/>
                <w:color w:val="auto"/>
                <w:sz w:val="24"/>
                <w:szCs w:val="24"/>
              </w:rPr>
            </w:pPr>
            <w:r>
              <w:rPr>
                <w:rFonts w:hint="eastAsia" w:cs="Times New Roman" w:asciiTheme="minorEastAsia" w:hAnsiTheme="minorEastAsia" w:eastAsiaTheme="minorEastAsia"/>
                <w:b/>
                <w:color w:val="auto"/>
                <w:sz w:val="24"/>
                <w:szCs w:val="24"/>
              </w:rPr>
              <w:t>t/detail?id=30&amp;source=41</w:t>
            </w:r>
            <w:r>
              <w:rPr>
                <w:rFonts w:cs="Times New Roman" w:asciiTheme="minorEastAsia" w:hAnsiTheme="minorEastAsia" w:eastAsiaTheme="minorEastAsia"/>
                <w:b/>
                <w:color w:val="auto"/>
                <w:sz w:val="24"/>
                <w:szCs w:val="24"/>
              </w:rPr>
              <w:t>）</w:t>
            </w:r>
            <w:r>
              <w:rPr>
                <w:rFonts w:hint="eastAsia" w:cs="Times New Roman" w:asciiTheme="minorEastAsia" w:hAnsiTheme="minorEastAsia" w:eastAsiaTheme="minorEastAsia"/>
                <w:b/>
                <w:color w:val="auto"/>
                <w:sz w:val="24"/>
                <w:szCs w:val="24"/>
              </w:rPr>
              <w:t>，如遇问题可拨打客服电话：95763</w:t>
            </w:r>
          </w:p>
          <w:p w14:paraId="432BA30A">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cs="Times New Roman" w:asciiTheme="minorEastAsia" w:hAnsiTheme="minorEastAsia"/>
                <w:b/>
                <w:color w:val="auto"/>
                <w:sz w:val="24"/>
                <w:szCs w:val="24"/>
              </w:rPr>
              <w:t>若</w:t>
            </w:r>
            <w:r>
              <w:rPr>
                <w:rFonts w:hint="eastAsia" w:cs="Times New Roman" w:asciiTheme="minorEastAsia" w:hAnsiTheme="minorEastAsia"/>
                <w:b/>
                <w:color w:val="auto"/>
                <w:sz w:val="24"/>
                <w:szCs w:val="24"/>
              </w:rPr>
              <w:t>供应商</w:t>
            </w:r>
            <w:r>
              <w:rPr>
                <w:rFonts w:cs="Times New Roman" w:asciiTheme="minorEastAsia" w:hAnsiTheme="minorEastAsia"/>
                <w:b/>
                <w:color w:val="auto"/>
                <w:sz w:val="24"/>
                <w:szCs w:val="24"/>
              </w:rPr>
              <w:t>未按照上述缴纳</w:t>
            </w:r>
            <w:r>
              <w:rPr>
                <w:rFonts w:hint="eastAsia" w:cs="Times New Roman" w:asciiTheme="minorEastAsia" w:hAnsiTheme="minorEastAsia"/>
                <w:b/>
                <w:color w:val="auto"/>
                <w:sz w:val="24"/>
                <w:szCs w:val="24"/>
              </w:rPr>
              <w:t>磋商</w:t>
            </w:r>
            <w:r>
              <w:rPr>
                <w:rFonts w:cs="Times New Roman" w:asciiTheme="minorEastAsia" w:hAnsiTheme="minorEastAsia"/>
                <w:b/>
                <w:color w:val="auto"/>
                <w:sz w:val="24"/>
                <w:szCs w:val="24"/>
              </w:rPr>
              <w:t>保证金,</w:t>
            </w:r>
            <w:r>
              <w:rPr>
                <w:rFonts w:hint="eastAsia" w:cs="Times New Roman" w:asciiTheme="minorEastAsia" w:hAnsiTheme="minorEastAsia"/>
                <w:b/>
                <w:color w:val="auto"/>
                <w:sz w:val="24"/>
                <w:szCs w:val="24"/>
              </w:rPr>
              <w:t>响应</w:t>
            </w:r>
            <w:r>
              <w:rPr>
                <w:rFonts w:cs="Times New Roman" w:asciiTheme="minorEastAsia" w:hAnsiTheme="minorEastAsia"/>
                <w:b/>
                <w:color w:val="auto"/>
                <w:sz w:val="24"/>
                <w:szCs w:val="24"/>
              </w:rPr>
              <w:t>文件将被拒绝评审。</w:t>
            </w:r>
          </w:p>
        </w:tc>
      </w:tr>
      <w:tr w14:paraId="47C07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F16DDC6">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8</w:t>
            </w:r>
          </w:p>
        </w:tc>
        <w:tc>
          <w:tcPr>
            <w:tcW w:w="1410" w:type="dxa"/>
            <w:vAlign w:val="center"/>
          </w:tcPr>
          <w:p w14:paraId="620EB998">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现场踏勘</w:t>
            </w:r>
          </w:p>
        </w:tc>
        <w:tc>
          <w:tcPr>
            <w:tcW w:w="7354" w:type="dxa"/>
            <w:vAlign w:val="center"/>
          </w:tcPr>
          <w:p w14:paraId="61466AE6">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不组织</w:t>
            </w:r>
          </w:p>
        </w:tc>
      </w:tr>
      <w:tr w14:paraId="57F4F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7EA3B7D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9</w:t>
            </w:r>
          </w:p>
        </w:tc>
        <w:tc>
          <w:tcPr>
            <w:tcW w:w="1410" w:type="dxa"/>
            <w:vAlign w:val="center"/>
          </w:tcPr>
          <w:p w14:paraId="07B07D54">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采购答疑</w:t>
            </w:r>
          </w:p>
        </w:tc>
        <w:tc>
          <w:tcPr>
            <w:tcW w:w="7354" w:type="dxa"/>
            <w:vAlign w:val="center"/>
          </w:tcPr>
          <w:p w14:paraId="3F5EDD7C">
            <w:pPr>
              <w:keepLines w:val="0"/>
              <w:pageBreakBefore w:val="0"/>
              <w:kinsoku/>
              <w:wordWrap/>
              <w:overflowPunct/>
              <w:topLinePunct w:val="0"/>
              <w:autoSpaceDE/>
              <w:autoSpaceDN/>
              <w:bidi w:val="0"/>
              <w:adjustRightInd/>
              <w:snapToGrid/>
              <w:spacing w:line="240" w:lineRule="auto"/>
              <w:ind w:firstLine="360" w:firstLineChars="150"/>
              <w:jc w:val="left"/>
              <w:rPr>
                <w:rFonts w:eastAsia="宋体" w:cs="Arial" w:asciiTheme="minorEastAsia" w:hAnsiTheme="minorEastAsia"/>
                <w:color w:val="auto"/>
                <w:kern w:val="0"/>
                <w:sz w:val="24"/>
                <w:szCs w:val="24"/>
              </w:rPr>
            </w:pPr>
            <w:r>
              <w:rPr>
                <w:rFonts w:hint="eastAsia" w:cs="宋体" w:asciiTheme="minorEastAsia" w:hAnsiTheme="minorEastAsia"/>
                <w:bCs/>
                <w:color w:val="auto"/>
                <w:sz w:val="24"/>
                <w:szCs w:val="24"/>
                <w:lang w:val="zh-CN"/>
              </w:rPr>
              <w:t>对竞争性磋商文件提出质疑的，应当在获取竞争性磋商文件或者竞争性磋商文件公告期限届满之日后一次性提出。</w:t>
            </w:r>
          </w:p>
          <w:p w14:paraId="443BAC98">
            <w:pPr>
              <w:keepLines w:val="0"/>
              <w:pageBreakBefore w:val="0"/>
              <w:kinsoku/>
              <w:wordWrap/>
              <w:overflowPunct/>
              <w:topLinePunct w:val="0"/>
              <w:autoSpaceDE/>
              <w:autoSpaceDN/>
              <w:bidi w:val="0"/>
              <w:adjustRightInd/>
              <w:snapToGrid/>
              <w:spacing w:line="240" w:lineRule="auto"/>
              <w:ind w:firstLine="360" w:firstLineChars="150"/>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澄清修改内容可能影响竞争性磋商响应文件编制的，应当在投标截止时间至少5日前，以书面形式通知所有获取竞争性磋商文件的潜在供应商。</w:t>
            </w:r>
          </w:p>
        </w:tc>
      </w:tr>
      <w:tr w14:paraId="781DA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A8BB5E">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10</w:t>
            </w:r>
          </w:p>
        </w:tc>
        <w:tc>
          <w:tcPr>
            <w:tcW w:w="1410" w:type="dxa"/>
            <w:vAlign w:val="center"/>
          </w:tcPr>
          <w:p w14:paraId="6791067A">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竞争性磋商响应文件</w:t>
            </w:r>
          </w:p>
          <w:p w14:paraId="7417104B">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份数</w:t>
            </w:r>
          </w:p>
        </w:tc>
        <w:tc>
          <w:tcPr>
            <w:tcW w:w="7354" w:type="dxa"/>
            <w:vAlign w:val="center"/>
          </w:tcPr>
          <w:p w14:paraId="191E4BB3">
            <w:pPr>
              <w:keepLines w:val="0"/>
              <w:pageBreakBefore w:val="0"/>
              <w:kinsoku/>
              <w:wordWrap/>
              <w:overflowPunct/>
              <w:topLinePunct w:val="0"/>
              <w:autoSpaceDE/>
              <w:autoSpaceDN/>
              <w:bidi w:val="0"/>
              <w:adjustRightInd/>
              <w:snapToGrid/>
              <w:spacing w:line="240" w:lineRule="auto"/>
              <w:jc w:val="left"/>
              <w:rPr>
                <w:rFonts w:eastAsia="宋体" w:cs="Times New Roman" w:asciiTheme="minorEastAsia" w:hAnsiTheme="minorEastAsia"/>
                <w:color w:val="auto"/>
                <w:kern w:val="0"/>
                <w:sz w:val="24"/>
                <w:szCs w:val="24"/>
              </w:rPr>
            </w:pPr>
            <w:r>
              <w:rPr>
                <w:rFonts w:hint="eastAsia" w:cs="宋体" w:asciiTheme="minorEastAsia" w:hAnsiTheme="minorEastAsia"/>
                <w:bCs/>
                <w:color w:val="auto"/>
                <w:sz w:val="24"/>
                <w:szCs w:val="24"/>
                <w:lang w:val="zh-CN"/>
              </w:rPr>
              <w:t>加密的电子响应文件在响应文件递交截止时间前通过CA在政采云平台上传，加密的电子响应文件为使用政采云电子投标客户端制作生成的加密版响应文件。供应商未按上述要求提供加密的电子响应文件的，将导致投标无效。</w:t>
            </w:r>
          </w:p>
        </w:tc>
      </w:tr>
      <w:tr w14:paraId="6A7FD5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D423FD2">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11</w:t>
            </w:r>
          </w:p>
        </w:tc>
        <w:tc>
          <w:tcPr>
            <w:tcW w:w="1410" w:type="dxa"/>
            <w:vAlign w:val="center"/>
          </w:tcPr>
          <w:p w14:paraId="58F0BAB4">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竞争性磋商响应文件递交</w:t>
            </w:r>
          </w:p>
        </w:tc>
        <w:tc>
          <w:tcPr>
            <w:tcW w:w="7354" w:type="dxa"/>
            <w:vAlign w:val="center"/>
          </w:tcPr>
          <w:p w14:paraId="12CF1A78">
            <w:pPr>
              <w:keepLines w:val="0"/>
              <w:pageBreakBefore w:val="0"/>
              <w:kinsoku/>
              <w:wordWrap/>
              <w:overflowPunct/>
              <w:topLinePunct w:val="0"/>
              <w:autoSpaceDE/>
              <w:autoSpaceDN/>
              <w:bidi w:val="0"/>
              <w:adjustRightInd/>
              <w:snapToGrid/>
              <w:spacing w:line="24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截止时间：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auto"/>
                <w:kern w:val="0"/>
                <w:sz w:val="24"/>
                <w:szCs w:val="24"/>
                <w:u w:val="single"/>
              </w:rPr>
              <w:t>（北京时间）</w:t>
            </w:r>
          </w:p>
          <w:p w14:paraId="064517EB">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宋体" w:asciiTheme="minorEastAsia" w:hAnsiTheme="minorEastAsia"/>
                <w:color w:val="auto"/>
                <w:kern w:val="0"/>
                <w:sz w:val="24"/>
                <w:szCs w:val="24"/>
              </w:rPr>
              <w:t>递交地点：</w:t>
            </w:r>
            <w:r>
              <w:rPr>
                <w:rFonts w:cs="宋体" w:asciiTheme="minorEastAsia" w:hAnsiTheme="minorEastAsia"/>
                <w:b/>
                <w:bCs/>
                <w:color w:val="auto"/>
                <w:sz w:val="24"/>
                <w:szCs w:val="24"/>
                <w:lang w:val="zh-CN"/>
              </w:rPr>
              <w:t>将响应文件上传至政采云平台</w:t>
            </w:r>
            <w:r>
              <w:rPr>
                <w:rFonts w:cs="宋体" w:asciiTheme="minorEastAsia" w:hAnsiTheme="minorEastAsia"/>
                <w:b/>
                <w:bCs/>
                <w:color w:val="auto"/>
                <w:sz w:val="24"/>
                <w:szCs w:val="24"/>
              </w:rPr>
              <w:t>https://www.zcygov.cn/</w:t>
            </w:r>
            <w:r>
              <w:rPr>
                <w:rFonts w:cs="宋体" w:asciiTheme="minorEastAsia" w:hAnsiTheme="minorEastAsia"/>
                <w:b/>
                <w:bCs/>
                <w:color w:val="auto"/>
                <w:sz w:val="24"/>
                <w:szCs w:val="24"/>
                <w:lang w:val="zh-CN"/>
              </w:rPr>
              <w:t>对应位置</w:t>
            </w:r>
            <w:r>
              <w:rPr>
                <w:rFonts w:cs="宋体" w:asciiTheme="minorEastAsia" w:hAnsiTheme="minorEastAsia"/>
                <w:b/>
                <w:bCs/>
                <w:color w:val="auto"/>
                <w:sz w:val="24"/>
                <w:szCs w:val="24"/>
              </w:rPr>
              <w:t>（</w:t>
            </w:r>
            <w:r>
              <w:rPr>
                <w:rFonts w:cs="宋体" w:asciiTheme="minorEastAsia" w:hAnsiTheme="minorEastAsia"/>
                <w:b/>
                <w:bCs/>
                <w:color w:val="auto"/>
                <w:sz w:val="24"/>
                <w:szCs w:val="24"/>
                <w:lang w:val="zh-CN"/>
              </w:rPr>
              <w:t>逾期未上传的或不符合规定的响应文件将被拒绝接收</w:t>
            </w:r>
            <w:r>
              <w:rPr>
                <w:rFonts w:cs="宋体" w:asciiTheme="minorEastAsia" w:hAnsiTheme="minorEastAsia"/>
                <w:b/>
                <w:bCs/>
                <w:color w:val="auto"/>
                <w:sz w:val="24"/>
                <w:szCs w:val="24"/>
              </w:rPr>
              <w:t>）</w:t>
            </w:r>
            <w:r>
              <w:rPr>
                <w:rFonts w:cs="宋体" w:asciiTheme="minorEastAsia" w:hAnsiTheme="minorEastAsia"/>
                <w:b/>
                <w:bCs/>
                <w:color w:val="auto"/>
                <w:sz w:val="24"/>
                <w:szCs w:val="24"/>
                <w:lang w:val="zh-CN"/>
              </w:rPr>
              <w:t>。</w:t>
            </w:r>
          </w:p>
        </w:tc>
      </w:tr>
      <w:tr w14:paraId="14A6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2C5026F">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12</w:t>
            </w:r>
          </w:p>
        </w:tc>
        <w:tc>
          <w:tcPr>
            <w:tcW w:w="1410" w:type="dxa"/>
            <w:vAlign w:val="center"/>
          </w:tcPr>
          <w:p w14:paraId="162F6A84">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开标</w:t>
            </w:r>
          </w:p>
        </w:tc>
        <w:tc>
          <w:tcPr>
            <w:tcW w:w="7354" w:type="dxa"/>
            <w:vAlign w:val="center"/>
          </w:tcPr>
          <w:p w14:paraId="5B60929A">
            <w:pPr>
              <w:keepLines w:val="0"/>
              <w:pageBreakBefore w:val="0"/>
              <w:kinsoku/>
              <w:wordWrap/>
              <w:overflowPunct/>
              <w:topLinePunct w:val="0"/>
              <w:autoSpaceDE/>
              <w:autoSpaceDN/>
              <w:bidi w:val="0"/>
              <w:adjustRightInd/>
              <w:snapToGrid/>
              <w:spacing w:line="24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时间：</w:t>
            </w:r>
            <w:r>
              <w:rPr>
                <w:rFonts w:hint="eastAsia" w:asciiTheme="minorEastAsia" w:hAnsiTheme="minorEastAsia"/>
                <w:color w:val="FF0000"/>
                <w:sz w:val="24"/>
                <w:szCs w:val="24"/>
                <w:u w:val="single"/>
              </w:rPr>
              <w:t xml:space="preserve">2025 </w:t>
            </w:r>
            <w:r>
              <w:rPr>
                <w:rFonts w:asciiTheme="minorEastAsia" w:hAnsiTheme="minorEastAsia"/>
                <w:color w:val="FF0000"/>
                <w:sz w:val="24"/>
                <w:szCs w:val="24"/>
                <w:u w:val="single"/>
              </w:rPr>
              <w:t>年</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7</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月</w:t>
            </w:r>
            <w:r>
              <w:rPr>
                <w:rFonts w:hint="eastAsia" w:asciiTheme="minorEastAsia" w:hAnsiTheme="minorEastAsia"/>
                <w:color w:val="FF0000"/>
                <w:sz w:val="24"/>
                <w:szCs w:val="24"/>
                <w:u w:val="single"/>
              </w:rPr>
              <w:t xml:space="preserve"> </w:t>
            </w:r>
            <w:r>
              <w:rPr>
                <w:rFonts w:hint="eastAsia" w:asciiTheme="minorEastAsia" w:hAnsiTheme="minorEastAsia"/>
                <w:color w:val="FF0000"/>
                <w:sz w:val="24"/>
                <w:szCs w:val="24"/>
                <w:u w:val="single"/>
                <w:lang w:val="en-US" w:eastAsia="zh-CN"/>
              </w:rPr>
              <w:t>8</w:t>
            </w:r>
            <w:r>
              <w:rPr>
                <w:rFonts w:hint="eastAsia" w:asciiTheme="minorEastAsia" w:hAnsiTheme="minorEastAsia"/>
                <w:color w:val="FF0000"/>
                <w:sz w:val="24"/>
                <w:szCs w:val="24"/>
                <w:u w:val="single"/>
              </w:rPr>
              <w:t xml:space="preserve"> </w:t>
            </w:r>
            <w:r>
              <w:rPr>
                <w:rFonts w:asciiTheme="minorEastAsia" w:hAnsiTheme="minorEastAsia"/>
                <w:color w:val="FF0000"/>
                <w:sz w:val="24"/>
                <w:szCs w:val="24"/>
                <w:u w:val="single"/>
              </w:rPr>
              <w:t>日</w:t>
            </w:r>
            <w:r>
              <w:rPr>
                <w:rFonts w:hint="eastAsia" w:asciiTheme="minorEastAsia" w:hAnsiTheme="minorEastAsia"/>
                <w:color w:val="FF0000"/>
                <w:sz w:val="24"/>
                <w:szCs w:val="24"/>
                <w:u w:val="single"/>
              </w:rPr>
              <w:t>1</w:t>
            </w:r>
            <w:r>
              <w:rPr>
                <w:rFonts w:hint="eastAsia" w:asciiTheme="minorEastAsia" w:hAnsiTheme="minorEastAsia"/>
                <w:color w:val="FF0000"/>
                <w:sz w:val="24"/>
                <w:szCs w:val="24"/>
                <w:u w:val="single"/>
                <w:lang w:val="en-US" w:eastAsia="zh-CN"/>
              </w:rPr>
              <w:t>1</w:t>
            </w:r>
            <w:r>
              <w:rPr>
                <w:rFonts w:hint="eastAsia" w:asciiTheme="minorEastAsia" w:hAnsiTheme="minorEastAsia"/>
                <w:color w:val="FF0000"/>
                <w:sz w:val="24"/>
                <w:szCs w:val="24"/>
                <w:u w:val="single"/>
              </w:rPr>
              <w:t>:00</w:t>
            </w:r>
            <w:r>
              <w:rPr>
                <w:rFonts w:hint="eastAsia" w:cs="宋体" w:asciiTheme="minorEastAsia" w:hAnsiTheme="minorEastAsia"/>
                <w:color w:val="auto"/>
                <w:kern w:val="0"/>
                <w:sz w:val="24"/>
                <w:szCs w:val="24"/>
                <w:u w:val="single"/>
              </w:rPr>
              <w:t>（北京时间）</w:t>
            </w:r>
          </w:p>
          <w:p w14:paraId="7B04CB41">
            <w:pPr>
              <w:keepNext/>
              <w:keepLines w:val="0"/>
              <w:pageBreakBefore w:val="0"/>
              <w:widowControl/>
              <w:kinsoku/>
              <w:wordWrap/>
              <w:overflowPunct/>
              <w:topLinePunct w:val="0"/>
              <w:autoSpaceDE/>
              <w:autoSpaceDN/>
              <w:bidi w:val="0"/>
              <w:adjustRightInd/>
              <w:snapToGrid/>
              <w:spacing w:line="240" w:lineRule="auto"/>
              <w:jc w:val="left"/>
              <w:rPr>
                <w:rFonts w:cs="宋体" w:asciiTheme="minorEastAsia" w:hAnsiTheme="minorEastAsia"/>
                <w:b/>
                <w:bCs/>
                <w:color w:val="auto"/>
                <w:sz w:val="24"/>
                <w:szCs w:val="24"/>
                <w:lang w:val="zh-CN"/>
              </w:rPr>
            </w:pPr>
            <w:r>
              <w:rPr>
                <w:rFonts w:hint="eastAsia" w:cs="宋体" w:asciiTheme="minorEastAsia" w:hAnsiTheme="minorEastAsia"/>
                <w:color w:val="auto"/>
                <w:kern w:val="0"/>
                <w:sz w:val="24"/>
                <w:szCs w:val="24"/>
              </w:rPr>
              <w:t>地点：</w:t>
            </w:r>
            <w:r>
              <w:rPr>
                <w:rFonts w:hint="eastAsia" w:cs="宋体" w:asciiTheme="minorEastAsia" w:hAnsiTheme="minorEastAsia"/>
                <w:b/>
                <w:bCs/>
                <w:color w:val="auto"/>
                <w:sz w:val="24"/>
                <w:szCs w:val="24"/>
                <w:lang w:val="zh-CN"/>
              </w:rPr>
              <w:t>政采云平台 https://www.zcygov.cn/不见面开标大厅，供应商登录政采云平台，进入“项目采购-开标评标-右边选择对应项目点击“进入项目”进入开标大厅。</w:t>
            </w:r>
          </w:p>
          <w:p w14:paraId="7E86B1A2">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说明：</w:t>
            </w:r>
          </w:p>
          <w:p w14:paraId="0FFD39C5">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1、本次采购采用电子交易方式，电子交易平台为“政府采购云平台（www.zcygov.cn）”。供应商参与本项目电子交易活动前，应注册成为政府采购云平台供应商。编制电子响应文件前还需申领CA证书并绑定帐号。供应商应充分考虑完成平台注册、申领CA证书等所需的时间。因未注册入库、未办理CA数字证书等原因造成无法响应或响应失败等后果由供应商自行承担。</w:t>
            </w:r>
          </w:p>
          <w:p w14:paraId="38EEC87C">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2、供应商须在在提交响应文件截止时间前通过CA在政采云平台上传加密的电子响应文件。供应商在开标时须使用制作加密电子响应文件所使用的CA锁解密，供应商须提前配置好浏览器（建议使用360浏览器或谷歌浏览器），并确保开标期间电脑网络环境畅通，以便开标时解密。本项目解密时间定为30分钟，如因供应商自身原因导致无法正常解密，后果由供应商自行承担。</w:t>
            </w:r>
          </w:p>
          <w:p w14:paraId="725CD5E9">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3、参与电子投标供应商，“不见面开标”大厅操作提示：①开标前一小时在系统进行在线签到②30分钟内完成在线解密③开标结束后30分钟内完成“开标一览表”在线签章。注意：如未在规定时间进行以上操作，将导致投标（响应）无效。</w:t>
            </w:r>
          </w:p>
          <w:p w14:paraId="013542ED">
            <w:pPr>
              <w:pStyle w:val="275"/>
              <w:keepLines w:val="0"/>
              <w:pageBreakBefore w:val="0"/>
              <w:kinsoku/>
              <w:wordWrap/>
              <w:overflowPunct/>
              <w:topLinePunct w:val="0"/>
              <w:autoSpaceDE/>
              <w:autoSpaceDN/>
              <w:bidi w:val="0"/>
              <w:adjustRightInd/>
              <w:snapToGrid/>
              <w:spacing w:line="240" w:lineRule="auto"/>
              <w:rPr>
                <w:rFonts w:cs="Arial" w:asciiTheme="minorEastAsia" w:hAnsiTheme="minorEastAsia" w:eastAsiaTheme="minorEastAsia"/>
                <w:color w:val="auto"/>
                <w:sz w:val="24"/>
                <w:szCs w:val="24"/>
                <w:lang w:eastAsia="zh-CN"/>
              </w:rPr>
            </w:pPr>
            <w:r>
              <w:rPr>
                <w:rFonts w:hint="eastAsia" w:cs="Arial" w:asciiTheme="minorEastAsia" w:hAnsiTheme="minorEastAsia" w:eastAsiaTheme="minorEastAsia"/>
                <w:color w:val="auto"/>
                <w:sz w:val="24"/>
                <w:szCs w:val="24"/>
                <w:lang w:eastAsia="zh-CN"/>
              </w:rPr>
              <w:t>4、参与竞争性磋商项目供应商，开标结束后，请及时进入“网上报价”页面（详见操作手册），等待最终报价通知。如未在系统提示的报价时限内报价，则视为上一轮报价为最终报价。</w:t>
            </w:r>
          </w:p>
          <w:p w14:paraId="6C4CD3D8">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cs="Arial" w:asciiTheme="minorEastAsia" w:hAnsiTheme="minorEastAsia"/>
                <w:color w:val="auto"/>
                <w:sz w:val="24"/>
                <w:szCs w:val="24"/>
              </w:rPr>
              <w:t>5、各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02F07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80C940E">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13</w:t>
            </w:r>
          </w:p>
        </w:tc>
        <w:tc>
          <w:tcPr>
            <w:tcW w:w="1410" w:type="dxa"/>
            <w:vAlign w:val="center"/>
          </w:tcPr>
          <w:p w14:paraId="7159453C">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投标有效期</w:t>
            </w:r>
          </w:p>
        </w:tc>
        <w:tc>
          <w:tcPr>
            <w:tcW w:w="7354" w:type="dxa"/>
            <w:vAlign w:val="center"/>
          </w:tcPr>
          <w:p w14:paraId="6B9F7A11">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自投标截止之日90日历日</w:t>
            </w:r>
          </w:p>
        </w:tc>
      </w:tr>
      <w:tr w14:paraId="4937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35E94C88">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14</w:t>
            </w:r>
          </w:p>
        </w:tc>
        <w:tc>
          <w:tcPr>
            <w:tcW w:w="1410" w:type="dxa"/>
            <w:vAlign w:val="center"/>
          </w:tcPr>
          <w:p w14:paraId="2D42348F">
            <w:pPr>
              <w:keepLines w:val="0"/>
              <w:pageBreakBefore w:val="0"/>
              <w:kinsoku/>
              <w:wordWrap/>
              <w:overflowPunct/>
              <w:topLinePunct w:val="0"/>
              <w:autoSpaceDE/>
              <w:autoSpaceDN/>
              <w:bidi w:val="0"/>
              <w:adjustRightInd/>
              <w:snapToGrid/>
              <w:spacing w:line="240" w:lineRule="auto"/>
              <w:jc w:val="center"/>
              <w:rPr>
                <w:rFonts w:eastAsia="宋体" w:cs="宋体" w:asciiTheme="minorEastAsia" w:hAnsiTheme="minorEastAsia"/>
                <w:color w:val="auto"/>
                <w:kern w:val="0"/>
                <w:sz w:val="24"/>
                <w:szCs w:val="24"/>
              </w:rPr>
            </w:pPr>
            <w:r>
              <w:rPr>
                <w:rFonts w:hint="eastAsia" w:eastAsia="宋体" w:cs="宋体" w:asciiTheme="minorEastAsia" w:hAnsiTheme="minorEastAsia"/>
                <w:color w:val="auto"/>
                <w:kern w:val="0"/>
                <w:sz w:val="24"/>
                <w:szCs w:val="24"/>
              </w:rPr>
              <w:t>竞争性磋商公告发布媒体</w:t>
            </w:r>
          </w:p>
        </w:tc>
        <w:tc>
          <w:tcPr>
            <w:tcW w:w="7354" w:type="dxa"/>
            <w:vAlign w:val="center"/>
          </w:tcPr>
          <w:p w14:paraId="08AFB6A4">
            <w:pPr>
              <w:keepLines w:val="0"/>
              <w:pageBreakBefore w:val="0"/>
              <w:kinsoku/>
              <w:wordWrap/>
              <w:overflowPunct/>
              <w:topLinePunct w:val="0"/>
              <w:autoSpaceDE/>
              <w:autoSpaceDN/>
              <w:bidi w:val="0"/>
              <w:adjustRightInd/>
              <w:snapToGrid/>
              <w:spacing w:line="240" w:lineRule="auto"/>
              <w:rPr>
                <w:rFonts w:eastAsia="宋体" w:cs="宋体" w:asciiTheme="minorEastAsia" w:hAnsiTheme="minorEastAsia"/>
                <w:color w:val="auto"/>
                <w:kern w:val="0"/>
                <w:sz w:val="24"/>
                <w:szCs w:val="24"/>
                <w:u w:val="single"/>
              </w:rPr>
            </w:pPr>
            <w:r>
              <w:rPr>
                <w:rFonts w:hint="eastAsia" w:cs="Arial" w:asciiTheme="minorEastAsia" w:hAnsiTheme="minorEastAsia"/>
                <w:color w:val="auto"/>
                <w:kern w:val="0"/>
                <w:sz w:val="24"/>
                <w:szCs w:val="24"/>
              </w:rPr>
              <w:t>新疆政府采购网（</w:t>
            </w:r>
            <w:r>
              <w:rPr>
                <w:rFonts w:cs="Arial" w:asciiTheme="minorEastAsia" w:hAnsiTheme="minorEastAsia"/>
                <w:color w:val="auto"/>
                <w:kern w:val="0"/>
                <w:sz w:val="24"/>
                <w:szCs w:val="24"/>
              </w:rPr>
              <w:t>http://www.ccgp-xinjiang.gov.cn/</w:t>
            </w:r>
            <w:r>
              <w:rPr>
                <w:rFonts w:hint="eastAsia" w:cs="Arial" w:asciiTheme="minorEastAsia" w:hAnsiTheme="minorEastAsia"/>
                <w:color w:val="auto"/>
                <w:kern w:val="0"/>
                <w:sz w:val="24"/>
                <w:szCs w:val="24"/>
              </w:rPr>
              <w:t>）</w:t>
            </w:r>
          </w:p>
        </w:tc>
      </w:tr>
      <w:tr w14:paraId="1626E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1E7EED7">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15</w:t>
            </w:r>
          </w:p>
        </w:tc>
        <w:tc>
          <w:tcPr>
            <w:tcW w:w="1410" w:type="dxa"/>
            <w:vAlign w:val="center"/>
          </w:tcPr>
          <w:p w14:paraId="6EDCEACD">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履约保证金</w:t>
            </w:r>
          </w:p>
        </w:tc>
        <w:tc>
          <w:tcPr>
            <w:tcW w:w="7354" w:type="dxa"/>
            <w:vAlign w:val="center"/>
          </w:tcPr>
          <w:p w14:paraId="7CAF972A">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sym w:font="Wingdings" w:char="00A8"/>
            </w:r>
            <w:r>
              <w:rPr>
                <w:rFonts w:hint="eastAsia" w:ascii="宋体" w:hAnsi="宋体" w:cs="Arial"/>
                <w:color w:val="auto"/>
                <w:kern w:val="0"/>
                <w:sz w:val="24"/>
                <w:szCs w:val="24"/>
              </w:rPr>
              <w:t>缴纳</w:t>
            </w:r>
          </w:p>
          <w:p w14:paraId="22F97640">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sym w:font="Wingdings" w:char="00FE"/>
            </w:r>
            <w:r>
              <w:rPr>
                <w:rFonts w:hint="eastAsia" w:ascii="宋体" w:hAnsi="宋体" w:cs="Arial"/>
                <w:color w:val="auto"/>
                <w:kern w:val="0"/>
                <w:sz w:val="24"/>
                <w:szCs w:val="24"/>
              </w:rPr>
              <w:t>不缴纳</w:t>
            </w:r>
          </w:p>
          <w:p w14:paraId="395BBB41">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t>金额：合同签订价款的10%或遵循招标人约定；</w:t>
            </w:r>
          </w:p>
          <w:p w14:paraId="14073DD8">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t>递交时间：成交人收到《成交通知书》且签订合同时，向采购人缴纳；</w:t>
            </w:r>
          </w:p>
          <w:p w14:paraId="0EF60C1D">
            <w:pPr>
              <w:keepLines w:val="0"/>
              <w:pageBreakBefore w:val="0"/>
              <w:kinsoku/>
              <w:wordWrap/>
              <w:overflowPunct/>
              <w:topLinePunct w:val="0"/>
              <w:autoSpaceDE/>
              <w:autoSpaceDN/>
              <w:bidi w:val="0"/>
              <w:adjustRightInd/>
              <w:snapToGrid/>
              <w:spacing w:line="240" w:lineRule="auto"/>
              <w:rPr>
                <w:rFonts w:ascii="宋体" w:hAnsi="宋体" w:cs="Arial"/>
                <w:color w:val="auto"/>
                <w:kern w:val="0"/>
                <w:sz w:val="24"/>
                <w:szCs w:val="24"/>
              </w:rPr>
            </w:pPr>
            <w:r>
              <w:rPr>
                <w:rFonts w:hint="eastAsia" w:ascii="宋体" w:hAnsi="宋体" w:cs="Arial"/>
                <w:color w:val="auto"/>
                <w:kern w:val="0"/>
                <w:sz w:val="24"/>
                <w:szCs w:val="24"/>
              </w:rPr>
              <w:t>递交形式：汇票、银行转账、银行保函等非现金形式；</w:t>
            </w:r>
          </w:p>
          <w:p w14:paraId="70CFAF7F">
            <w:pPr>
              <w:keepNext/>
              <w:keepLines w:val="0"/>
              <w:pageBreakBefore w:val="0"/>
              <w:widowControl/>
              <w:kinsoku/>
              <w:wordWrap/>
              <w:overflowPunct/>
              <w:topLinePunct w:val="0"/>
              <w:autoSpaceDE/>
              <w:autoSpaceDN/>
              <w:bidi w:val="0"/>
              <w:adjustRightInd/>
              <w:snapToGrid/>
              <w:spacing w:line="240" w:lineRule="auto"/>
              <w:ind w:firstLine="120" w:firstLineChars="50"/>
              <w:jc w:val="left"/>
              <w:rPr>
                <w:rFonts w:cs="Arial" w:asciiTheme="minorEastAsia" w:hAnsiTheme="minorEastAsia"/>
                <w:color w:val="auto"/>
                <w:kern w:val="0"/>
                <w:sz w:val="24"/>
                <w:szCs w:val="24"/>
              </w:rPr>
            </w:pPr>
            <w:r>
              <w:rPr>
                <w:rFonts w:hint="eastAsia" w:ascii="宋体" w:hAnsi="宋体" w:cs="Arial"/>
                <w:color w:val="auto"/>
                <w:kern w:val="0"/>
                <w:sz w:val="24"/>
                <w:szCs w:val="24"/>
              </w:rPr>
              <w:t>退还时间及方式：项目通过最终验收后，采购人一次性退还给成交人。</w:t>
            </w:r>
          </w:p>
        </w:tc>
      </w:tr>
      <w:tr w14:paraId="2A6E1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2944099E">
            <w:pPr>
              <w:keepLines w:val="0"/>
              <w:pageBreakBefore w:val="0"/>
              <w:kinsoku/>
              <w:wordWrap/>
              <w:overflowPunct/>
              <w:topLinePunct w:val="0"/>
              <w:autoSpaceDE/>
              <w:autoSpaceDN/>
              <w:bidi w:val="0"/>
              <w:adjustRightInd/>
              <w:snapToGrid/>
              <w:spacing w:line="240" w:lineRule="auto"/>
              <w:jc w:val="center"/>
              <w:rPr>
                <w:rFonts w:eastAsia="宋体" w:cs="Times New Roman" w:asciiTheme="minorEastAsia" w:hAnsiTheme="minorEastAsia"/>
                <w:color w:val="auto"/>
                <w:kern w:val="0"/>
                <w:sz w:val="24"/>
                <w:szCs w:val="24"/>
              </w:rPr>
            </w:pPr>
            <w:r>
              <w:rPr>
                <w:rFonts w:hint="eastAsia" w:eastAsia="宋体" w:cs="Times New Roman" w:asciiTheme="minorEastAsia" w:hAnsiTheme="minorEastAsia"/>
                <w:color w:val="auto"/>
                <w:kern w:val="0"/>
                <w:sz w:val="24"/>
                <w:szCs w:val="24"/>
              </w:rPr>
              <w:t>16</w:t>
            </w:r>
          </w:p>
        </w:tc>
        <w:tc>
          <w:tcPr>
            <w:tcW w:w="1410" w:type="dxa"/>
            <w:vAlign w:val="center"/>
          </w:tcPr>
          <w:p w14:paraId="39455602">
            <w:pPr>
              <w:keepLines w:val="0"/>
              <w:pageBreakBefore w:val="0"/>
              <w:kinsoku/>
              <w:wordWrap/>
              <w:overflowPunct/>
              <w:topLinePunct w:val="0"/>
              <w:autoSpaceDE/>
              <w:autoSpaceDN/>
              <w:bidi w:val="0"/>
              <w:adjustRightInd/>
              <w:snapToGrid/>
              <w:spacing w:line="240" w:lineRule="auto"/>
              <w:rPr>
                <w:rFonts w:hint="eastAsia" w:ascii="宋体" w:hAnsi="宋体" w:cs="Arial"/>
                <w:color w:val="auto"/>
                <w:kern w:val="0"/>
                <w:sz w:val="24"/>
                <w:szCs w:val="24"/>
              </w:rPr>
            </w:pPr>
            <w:r>
              <w:rPr>
                <w:rFonts w:hint="eastAsia" w:ascii="宋体" w:hAnsi="宋体" w:cs="Arial"/>
                <w:color w:val="auto"/>
                <w:kern w:val="0"/>
                <w:sz w:val="24"/>
                <w:szCs w:val="24"/>
              </w:rPr>
              <w:t>付款方式</w:t>
            </w:r>
          </w:p>
        </w:tc>
        <w:tc>
          <w:tcPr>
            <w:tcW w:w="7354" w:type="dxa"/>
            <w:vAlign w:val="center"/>
          </w:tcPr>
          <w:p w14:paraId="57759E24">
            <w:pPr>
              <w:keepLines w:val="0"/>
              <w:pageBreakBefore w:val="0"/>
              <w:kinsoku/>
              <w:wordWrap/>
              <w:overflowPunct/>
              <w:topLinePunct w:val="0"/>
              <w:autoSpaceDE/>
              <w:autoSpaceDN/>
              <w:bidi w:val="0"/>
              <w:adjustRightInd/>
              <w:snapToGrid/>
              <w:spacing w:line="240" w:lineRule="auto"/>
              <w:rPr>
                <w:rFonts w:hint="eastAsia" w:ascii="宋体" w:hAnsi="宋体" w:cs="Arial"/>
                <w:color w:val="auto"/>
                <w:kern w:val="0"/>
                <w:sz w:val="24"/>
                <w:szCs w:val="24"/>
                <w:lang w:eastAsia="zh-CN"/>
              </w:rPr>
            </w:pPr>
            <w:r>
              <w:rPr>
                <w:rFonts w:hint="eastAsia" w:ascii="宋体" w:hAnsi="宋体" w:cs="Arial"/>
                <w:color w:val="auto"/>
                <w:kern w:val="0"/>
                <w:sz w:val="24"/>
                <w:szCs w:val="24"/>
                <w:lang w:eastAsia="zh-CN"/>
              </w:rPr>
              <w:t>详见采购文件第三章合同条款及格式</w:t>
            </w:r>
          </w:p>
        </w:tc>
      </w:tr>
      <w:tr w14:paraId="34489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vAlign w:val="center"/>
          </w:tcPr>
          <w:p w14:paraId="0EE9C668">
            <w:pPr>
              <w:keepLines w:val="0"/>
              <w:pageBreakBefore w:val="0"/>
              <w:kinsoku/>
              <w:wordWrap/>
              <w:overflowPunct/>
              <w:topLinePunct w:val="0"/>
              <w:autoSpaceDE/>
              <w:autoSpaceDN/>
              <w:bidi w:val="0"/>
              <w:adjustRightInd/>
              <w:snapToGrid/>
              <w:spacing w:line="240" w:lineRule="auto"/>
              <w:jc w:val="center"/>
              <w:rPr>
                <w:rFonts w:hint="default" w:eastAsia="宋体" w:cs="Times New Roman" w:asciiTheme="minorEastAsia" w:hAnsiTheme="minorEastAsia"/>
                <w:color w:val="auto"/>
                <w:kern w:val="0"/>
                <w:sz w:val="24"/>
                <w:szCs w:val="24"/>
                <w:lang w:val="en-US" w:eastAsia="zh-CN"/>
              </w:rPr>
            </w:pPr>
            <w:r>
              <w:rPr>
                <w:rFonts w:hint="eastAsia" w:eastAsia="宋体" w:cs="Times New Roman" w:asciiTheme="minorEastAsia" w:hAnsiTheme="minorEastAsia"/>
                <w:color w:val="auto"/>
                <w:kern w:val="0"/>
                <w:sz w:val="24"/>
                <w:szCs w:val="24"/>
                <w:lang w:val="en-US" w:eastAsia="zh-CN"/>
              </w:rPr>
              <w:t>17</w:t>
            </w:r>
          </w:p>
        </w:tc>
        <w:tc>
          <w:tcPr>
            <w:tcW w:w="1410" w:type="dxa"/>
            <w:shd w:val="clear" w:color="auto" w:fill="auto"/>
            <w:vAlign w:val="center"/>
          </w:tcPr>
          <w:p w14:paraId="07D9FEDC">
            <w:pPr>
              <w:keepNext/>
              <w:keepLines w:val="0"/>
              <w:pageBreakBefore w:val="0"/>
              <w:widowControl/>
              <w:kinsoku/>
              <w:wordWrap/>
              <w:overflowPunct/>
              <w:topLinePunct w:val="0"/>
              <w:autoSpaceDE/>
              <w:autoSpaceDN/>
              <w:bidi w:val="0"/>
              <w:adjustRightInd/>
              <w:snapToGrid/>
              <w:spacing w:line="240" w:lineRule="auto"/>
              <w:jc w:val="center"/>
              <w:rPr>
                <w:rFonts w:hint="eastAsia" w:eastAsia="宋体" w:cs="Arial" w:asciiTheme="minorEastAsia" w:hAnsiTheme="minorEastAsia"/>
                <w:color w:val="auto"/>
                <w:kern w:val="0"/>
                <w:sz w:val="24"/>
                <w:szCs w:val="24"/>
                <w:lang w:val="en-US" w:eastAsia="zh-CN" w:bidi="ar-SA"/>
              </w:rPr>
            </w:pPr>
            <w:r>
              <w:rPr>
                <w:rFonts w:hint="eastAsia" w:eastAsia="宋体" w:cs="Arial" w:asciiTheme="minorEastAsia" w:hAnsiTheme="minorEastAsia"/>
                <w:color w:val="auto"/>
                <w:kern w:val="0"/>
                <w:sz w:val="24"/>
                <w:szCs w:val="24"/>
              </w:rPr>
              <w:t>所属行业</w:t>
            </w:r>
          </w:p>
        </w:tc>
        <w:tc>
          <w:tcPr>
            <w:tcW w:w="7354" w:type="dxa"/>
            <w:shd w:val="clear" w:color="auto" w:fill="auto"/>
            <w:vAlign w:val="center"/>
          </w:tcPr>
          <w:p w14:paraId="23367E4C">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b/>
                <w:color w:val="auto"/>
                <w:kern w:val="0"/>
                <w:sz w:val="24"/>
                <w:szCs w:val="24"/>
                <w:u w:val="single"/>
              </w:rPr>
            </w:pPr>
            <w:r>
              <w:rPr>
                <w:rFonts w:hint="eastAsia" w:eastAsia="宋体" w:cs="宋体" w:asciiTheme="minorEastAsia" w:hAnsiTheme="minorEastAsia"/>
                <w:color w:val="auto"/>
                <w:kern w:val="0"/>
                <w:sz w:val="24"/>
                <w:szCs w:val="24"/>
              </w:rPr>
              <w:t>根据《关于印发中小企业划型标准规定的通知》工信部联企业〔2011〕300号，</w:t>
            </w:r>
            <w:r>
              <w:rPr>
                <w:rFonts w:hint="eastAsia" w:eastAsia="宋体" w:cs="宋体" w:asciiTheme="minorEastAsia" w:hAnsiTheme="minorEastAsia"/>
                <w:b/>
                <w:color w:val="auto"/>
                <w:kern w:val="0"/>
                <w:sz w:val="24"/>
                <w:szCs w:val="24"/>
              </w:rPr>
              <w:t>本项目属行业为：</w:t>
            </w:r>
            <w:r>
              <w:rPr>
                <w:rFonts w:hint="eastAsia" w:cs="Arial" w:asciiTheme="minorEastAsia" w:hAnsiTheme="minorEastAsia"/>
                <w:b/>
                <w:color w:val="auto"/>
                <w:kern w:val="0"/>
                <w:sz w:val="24"/>
                <w:szCs w:val="24"/>
                <w:u w:val="single"/>
              </w:rPr>
              <w:t>其他未列明行业</w:t>
            </w:r>
          </w:p>
          <w:p w14:paraId="2A44BF2C">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b/>
                <w:color w:val="auto"/>
                <w:kern w:val="0"/>
                <w:sz w:val="24"/>
                <w:szCs w:val="24"/>
                <w:u w:val="single"/>
                <w:lang w:val="en-US" w:eastAsia="zh-CN" w:bidi="ar-SA"/>
              </w:rPr>
            </w:pPr>
            <w:r>
              <w:rPr>
                <w:rFonts w:hint="eastAsia" w:cs="Arial" w:asciiTheme="minorEastAsia" w:hAnsiTheme="minorEastAsia"/>
                <w:color w:val="auto"/>
                <w:kern w:val="0"/>
                <w:sz w:val="24"/>
                <w:szCs w:val="24"/>
              </w:rPr>
              <w:t>其他未列明行业划分标准为：从业人员300人以下的为中小微型企业。其中，从业人员100人及以上的为中型企业；从业人员10人及以上的为小型企业；从业人员10人以下的为微型企业。</w:t>
            </w:r>
          </w:p>
        </w:tc>
      </w:tr>
      <w:tr w14:paraId="49FD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7382FF16">
            <w:pPr>
              <w:keepLines w:val="0"/>
              <w:pageBreakBefore w:val="0"/>
              <w:kinsoku/>
              <w:wordWrap/>
              <w:overflowPunct/>
              <w:topLinePunct w:val="0"/>
              <w:autoSpaceDE/>
              <w:autoSpaceDN/>
              <w:bidi w:val="0"/>
              <w:adjustRightInd/>
              <w:snapToGrid/>
              <w:spacing w:line="240" w:lineRule="auto"/>
              <w:jc w:val="center"/>
              <w:rPr>
                <w:rFonts w:hint="default" w:cs="Arial" w:asciiTheme="minorEastAsia" w:hAnsiTheme="minorEastAsia" w:eastAsiaTheme="minorEastAsia"/>
                <w:color w:val="auto"/>
                <w:kern w:val="2"/>
                <w:sz w:val="24"/>
                <w:szCs w:val="24"/>
                <w:lang w:val="en-US" w:eastAsia="zh-CN" w:bidi="ar-SA"/>
              </w:rPr>
            </w:pPr>
            <w:r>
              <w:rPr>
                <w:rFonts w:hint="eastAsia" w:cs="Arial" w:asciiTheme="minorEastAsia" w:hAnsiTheme="minorEastAsia"/>
                <w:color w:val="auto"/>
                <w:sz w:val="24"/>
                <w:szCs w:val="24"/>
                <w:lang w:val="en-US" w:eastAsia="zh-CN"/>
              </w:rPr>
              <w:t>18</w:t>
            </w:r>
          </w:p>
        </w:tc>
        <w:tc>
          <w:tcPr>
            <w:tcW w:w="1410" w:type="dxa"/>
            <w:shd w:val="clear" w:color="auto" w:fill="auto"/>
            <w:vAlign w:val="center"/>
          </w:tcPr>
          <w:p w14:paraId="5280F3A3">
            <w:pPr>
              <w:keepLines w:val="0"/>
              <w:pageBreakBefore w:val="0"/>
              <w:widowControl/>
              <w:kinsoku/>
              <w:wordWrap/>
              <w:overflowPunct/>
              <w:topLinePunct w:val="0"/>
              <w:autoSpaceDE/>
              <w:autoSpaceDN/>
              <w:bidi w:val="0"/>
              <w:adjustRightInd/>
              <w:snapToGrid/>
              <w:spacing w:line="240" w:lineRule="auto"/>
              <w:jc w:val="left"/>
              <w:rPr>
                <w:rFonts w:hint="eastAsia"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t>扶持小微企业优惠政策</w:t>
            </w:r>
          </w:p>
        </w:tc>
        <w:tc>
          <w:tcPr>
            <w:tcW w:w="7354" w:type="dxa"/>
            <w:shd w:val="clear" w:color="auto" w:fill="auto"/>
            <w:vAlign w:val="center"/>
          </w:tcPr>
          <w:p w14:paraId="6B236D42">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sym w:font="Wingdings" w:char="F0FE"/>
            </w:r>
            <w:r>
              <w:rPr>
                <w:rFonts w:cs="Arial" w:asciiTheme="minorEastAsia" w:hAnsiTheme="minorEastAsia"/>
                <w:color w:val="auto"/>
                <w:sz w:val="24"/>
                <w:szCs w:val="24"/>
              </w:rPr>
              <w:t xml:space="preserve">选择 </w:t>
            </w:r>
            <w:r>
              <w:rPr>
                <w:rFonts w:hint="eastAsia" w:cs="Arial" w:asciiTheme="minorEastAsia" w:hAnsiTheme="minorEastAsia"/>
                <w:color w:val="auto"/>
                <w:sz w:val="24"/>
                <w:szCs w:val="24"/>
              </w:rPr>
              <w:t>□</w:t>
            </w:r>
            <w:r>
              <w:rPr>
                <w:rFonts w:cs="Arial" w:asciiTheme="minorEastAsia" w:hAnsiTheme="minorEastAsia"/>
                <w:color w:val="auto"/>
                <w:sz w:val="24"/>
                <w:szCs w:val="24"/>
              </w:rPr>
              <w:t>不选择</w:t>
            </w:r>
          </w:p>
        </w:tc>
      </w:tr>
      <w:tr w14:paraId="0DF8F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vAlign w:val="center"/>
          </w:tcPr>
          <w:p w14:paraId="13B05DD3">
            <w:pPr>
              <w:keepLines w:val="0"/>
              <w:pageBreakBefore w:val="0"/>
              <w:widowControl/>
              <w:numPr>
                <w:ilvl w:val="0"/>
                <w:numId w:val="1"/>
              </w:numPr>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hint="eastAsia" w:cs="Arial" w:asciiTheme="minorEastAsia" w:hAnsiTheme="minorEastAsia"/>
                <w:color w:val="auto"/>
                <w:sz w:val="24"/>
                <w:szCs w:val="24"/>
              </w:rPr>
              <w:t>本</w:t>
            </w:r>
            <w:r>
              <w:rPr>
                <w:rFonts w:cs="Arial" w:asciiTheme="minorEastAsia" w:hAnsiTheme="minorEastAsia"/>
                <w:color w:val="auto"/>
                <w:sz w:val="24"/>
                <w:szCs w:val="24"/>
              </w:rPr>
              <w:t>项目对小微企业报价给予</w:t>
            </w:r>
            <w:r>
              <w:rPr>
                <w:rFonts w:hint="eastAsia" w:cs="Arial" w:asciiTheme="minorEastAsia" w:hAnsiTheme="minorEastAsia"/>
                <w:color w:val="auto"/>
                <w:sz w:val="24"/>
                <w:szCs w:val="24"/>
                <w:u w:val="single"/>
              </w:rPr>
              <w:t xml:space="preserve"> </w:t>
            </w:r>
            <w:r>
              <w:rPr>
                <w:rFonts w:cs="Arial" w:asciiTheme="minorEastAsia" w:hAnsiTheme="minorEastAsia"/>
                <w:color w:val="auto"/>
                <w:sz w:val="24"/>
                <w:szCs w:val="24"/>
                <w:u w:val="single"/>
              </w:rPr>
              <w:t>10%</w:t>
            </w:r>
            <w:r>
              <w:rPr>
                <w:rFonts w:hint="eastAsia" w:cs="Arial" w:asciiTheme="minorEastAsia" w:hAnsiTheme="minorEastAsia"/>
                <w:color w:val="auto"/>
                <w:sz w:val="24"/>
                <w:szCs w:val="24"/>
                <w:u w:val="single"/>
              </w:rPr>
              <w:t xml:space="preserve"> </w:t>
            </w:r>
            <w:r>
              <w:rPr>
                <w:rFonts w:cs="Arial" w:asciiTheme="minorEastAsia" w:hAnsiTheme="minorEastAsia"/>
                <w:color w:val="auto"/>
                <w:sz w:val="24"/>
                <w:szCs w:val="24"/>
              </w:rPr>
              <w:t>的扣除后的价格参加评审，经济标基准值以下浮后（如有）的最低价为准。</w:t>
            </w:r>
          </w:p>
          <w:p w14:paraId="5E96DFC2">
            <w:pPr>
              <w:keepLines w:val="0"/>
              <w:pageBreakBefore w:val="0"/>
              <w:widowControl/>
              <w:numPr>
                <w:ilvl w:val="0"/>
                <w:numId w:val="0"/>
              </w:numPr>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2.小微企业需认真阅读《政府采购促进中小企业发展管理办法》（财库</w:t>
            </w:r>
            <w:r>
              <w:rPr>
                <w:rFonts w:hint="eastAsia" w:cs="Arial" w:asciiTheme="minorEastAsia" w:hAnsiTheme="minorEastAsia"/>
                <w:color w:val="auto"/>
                <w:sz w:val="24"/>
                <w:szCs w:val="24"/>
              </w:rPr>
              <w:t>﹝</w:t>
            </w:r>
            <w:r>
              <w:rPr>
                <w:rFonts w:cs="Arial" w:asciiTheme="minorEastAsia" w:hAnsiTheme="minorEastAsia"/>
                <w:color w:val="auto"/>
                <w:sz w:val="24"/>
                <w:szCs w:val="24"/>
              </w:rPr>
              <w:t>2020</w:t>
            </w:r>
            <w:r>
              <w:rPr>
                <w:rFonts w:hint="eastAsia" w:cs="Arial" w:asciiTheme="minorEastAsia" w:hAnsiTheme="minorEastAsia"/>
                <w:color w:val="auto"/>
                <w:sz w:val="24"/>
                <w:szCs w:val="24"/>
              </w:rPr>
              <w:t>﹞</w:t>
            </w:r>
            <w:r>
              <w:rPr>
                <w:rFonts w:cs="Arial" w:asciiTheme="minorEastAsia" w:hAnsiTheme="minorEastAsia"/>
                <w:color w:val="auto"/>
                <w:sz w:val="24"/>
                <w:szCs w:val="24"/>
              </w:rPr>
              <w:t>46 号）的相关规定后在</w:t>
            </w:r>
            <w:r>
              <w:rPr>
                <w:rFonts w:hint="eastAsia" w:cs="Arial" w:asciiTheme="minorEastAsia" w:hAnsiTheme="minorEastAsia"/>
                <w:color w:val="auto"/>
                <w:sz w:val="24"/>
                <w:szCs w:val="24"/>
              </w:rPr>
              <w:t>响应</w:t>
            </w:r>
            <w:r>
              <w:rPr>
                <w:rFonts w:cs="Arial" w:asciiTheme="minorEastAsia" w:hAnsiTheme="minorEastAsia"/>
                <w:color w:val="auto"/>
                <w:sz w:val="24"/>
                <w:szCs w:val="24"/>
              </w:rPr>
              <w:t xml:space="preserve">文件中提供《中小企业声明函》。 </w:t>
            </w:r>
          </w:p>
          <w:p w14:paraId="5D130A4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hint="eastAsia" w:cs="Arial" w:asciiTheme="minorEastAsia" w:hAnsiTheme="minorEastAsia"/>
                <w:color w:val="auto"/>
                <w:sz w:val="24"/>
                <w:szCs w:val="24"/>
              </w:rPr>
              <w:t>3</w:t>
            </w:r>
            <w:r>
              <w:rPr>
                <w:rFonts w:cs="Arial" w:asciiTheme="minorEastAsia" w:hAnsiTheme="minorEastAsia"/>
                <w:color w:val="auto"/>
                <w:sz w:val="24"/>
                <w:szCs w:val="24"/>
              </w:rPr>
              <w:t>.依照《政府采购促进中小企业发展管理办法》（财库</w:t>
            </w:r>
            <w:r>
              <w:rPr>
                <w:rFonts w:hint="eastAsia" w:cs="Arial" w:asciiTheme="minorEastAsia" w:hAnsiTheme="minorEastAsia"/>
                <w:color w:val="auto"/>
                <w:sz w:val="24"/>
                <w:szCs w:val="24"/>
              </w:rPr>
              <w:t>﹝</w:t>
            </w:r>
            <w:r>
              <w:rPr>
                <w:rFonts w:cs="Arial" w:asciiTheme="minorEastAsia" w:hAnsiTheme="minorEastAsia"/>
                <w:color w:val="auto"/>
                <w:sz w:val="24"/>
                <w:szCs w:val="24"/>
              </w:rPr>
              <w:t>2020</w:t>
            </w:r>
            <w:r>
              <w:rPr>
                <w:rFonts w:hint="eastAsia" w:cs="Arial" w:asciiTheme="minorEastAsia" w:hAnsiTheme="minorEastAsia"/>
                <w:color w:val="auto"/>
                <w:sz w:val="24"/>
                <w:szCs w:val="24"/>
              </w:rPr>
              <w:t>﹞</w:t>
            </w:r>
            <w:r>
              <w:rPr>
                <w:rFonts w:cs="Arial" w:asciiTheme="minorEastAsia" w:hAnsiTheme="minorEastAsia"/>
                <w:color w:val="auto"/>
                <w:sz w:val="24"/>
                <w:szCs w:val="24"/>
              </w:rPr>
              <w:t>46 号）享受扶持政策获得政府采购合同的，小微企业不得将合同分包给大中型企业，中型企业不得将合同分包给大型企业，否则依照《中华人民共和国政府采购法》等国家有关规定追究相应责任。</w:t>
            </w:r>
          </w:p>
          <w:p w14:paraId="3E7E998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hint="eastAsia" w:cs="Arial" w:asciiTheme="minorEastAsia" w:hAnsiTheme="minorEastAsia"/>
                <w:color w:val="auto"/>
                <w:sz w:val="24"/>
                <w:szCs w:val="24"/>
              </w:rPr>
              <w:t>4</w:t>
            </w:r>
            <w:r>
              <w:rPr>
                <w:rFonts w:cs="Arial" w:asciiTheme="minorEastAsia" w:hAnsiTheme="minorEastAsia"/>
                <w:color w:val="auto"/>
                <w:sz w:val="24"/>
                <w:szCs w:val="24"/>
              </w:rPr>
              <w:t>.成交供应商享受中小企业扶持政策的随成交结果公开成交供应商的《中小企业声明函》。</w:t>
            </w:r>
          </w:p>
          <w:p w14:paraId="19D5291D">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b/>
                <w:color w:val="auto"/>
                <w:sz w:val="24"/>
                <w:szCs w:val="24"/>
              </w:rPr>
            </w:pPr>
            <w:r>
              <w:rPr>
                <w:rFonts w:hint="eastAsia" w:cs="Arial" w:asciiTheme="minorEastAsia" w:hAnsiTheme="minorEastAsia"/>
                <w:b/>
                <w:color w:val="auto"/>
                <w:sz w:val="24"/>
                <w:szCs w:val="24"/>
              </w:rPr>
              <w:t>5</w:t>
            </w:r>
            <w:r>
              <w:rPr>
                <w:rFonts w:cs="Arial" w:asciiTheme="minorEastAsia" w:hAnsiTheme="minorEastAsia"/>
                <w:b/>
                <w:color w:val="auto"/>
                <w:sz w:val="24"/>
                <w:szCs w:val="24"/>
              </w:rPr>
              <w:t>.供应商应根据企业自身情况选择（中型企业、小型企业、微型企业）其中之一填写。</w:t>
            </w:r>
          </w:p>
          <w:p w14:paraId="27463482">
            <w:pPr>
              <w:keepLines w:val="0"/>
              <w:pageBreakBefore w:val="0"/>
              <w:kinsoku/>
              <w:wordWrap/>
              <w:overflowPunct/>
              <w:topLinePunct w:val="0"/>
              <w:autoSpaceDE/>
              <w:autoSpaceDN/>
              <w:bidi w:val="0"/>
              <w:adjustRightInd/>
              <w:snapToGrid/>
              <w:spacing w:line="240" w:lineRule="auto"/>
              <w:rPr>
                <w:color w:val="auto"/>
              </w:rPr>
            </w:pPr>
            <w:r>
              <w:rPr>
                <w:rFonts w:hint="eastAsia" w:cs="Arial" w:asciiTheme="minorEastAsia" w:hAnsiTheme="minorEastAsia"/>
                <w:color w:val="auto"/>
                <w:sz w:val="24"/>
                <w:szCs w:val="24"/>
              </w:rPr>
              <w:t>6</w:t>
            </w:r>
            <w:r>
              <w:rPr>
                <w:rFonts w:cs="Arial" w:asciiTheme="minorEastAsia" w:hAnsiTheme="minorEastAsia"/>
                <w:color w:val="auto"/>
                <w:sz w:val="24"/>
                <w:szCs w:val="24"/>
              </w:rPr>
              <w:t>.符合中小企业划分标准的个体工商户视同中小企业。</w:t>
            </w:r>
          </w:p>
        </w:tc>
      </w:tr>
      <w:tr w14:paraId="5A29A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4C6FC489">
            <w:pPr>
              <w:keepLines w:val="0"/>
              <w:pageBreakBefore w:val="0"/>
              <w:kinsoku/>
              <w:wordWrap/>
              <w:overflowPunct/>
              <w:topLinePunct w:val="0"/>
              <w:autoSpaceDE/>
              <w:autoSpaceDN/>
              <w:bidi w:val="0"/>
              <w:adjustRightInd/>
              <w:snapToGrid/>
              <w:spacing w:line="240" w:lineRule="auto"/>
              <w:jc w:val="center"/>
              <w:rPr>
                <w:rFonts w:hint="default" w:cs="Arial" w:asciiTheme="minorEastAsia" w:hAnsiTheme="minorEastAsia" w:eastAsiaTheme="minorEastAsia"/>
                <w:color w:val="auto"/>
                <w:kern w:val="2"/>
                <w:sz w:val="24"/>
                <w:szCs w:val="24"/>
                <w:lang w:val="en-US" w:eastAsia="zh-CN" w:bidi="ar-SA"/>
              </w:rPr>
            </w:pPr>
            <w:r>
              <w:rPr>
                <w:rFonts w:hint="eastAsia" w:cs="Arial" w:asciiTheme="minorEastAsia" w:hAnsiTheme="minorEastAsia"/>
                <w:color w:val="auto"/>
                <w:sz w:val="24"/>
                <w:szCs w:val="24"/>
                <w:lang w:val="en-US" w:eastAsia="zh-CN"/>
              </w:rPr>
              <w:t>19</w:t>
            </w:r>
          </w:p>
        </w:tc>
        <w:tc>
          <w:tcPr>
            <w:tcW w:w="1410" w:type="dxa"/>
            <w:shd w:val="clear" w:color="auto" w:fill="auto"/>
            <w:vAlign w:val="center"/>
          </w:tcPr>
          <w:p w14:paraId="44920B6D">
            <w:pPr>
              <w:keepLines w:val="0"/>
              <w:pageBreakBefore w:val="0"/>
              <w:widowControl/>
              <w:kinsoku/>
              <w:wordWrap/>
              <w:overflowPunct/>
              <w:topLinePunct w:val="0"/>
              <w:autoSpaceDE/>
              <w:autoSpaceDN/>
              <w:bidi w:val="0"/>
              <w:adjustRightInd/>
              <w:snapToGrid/>
              <w:spacing w:line="240" w:lineRule="auto"/>
              <w:jc w:val="left"/>
              <w:rPr>
                <w:rFonts w:hint="eastAsia"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t>残疾人福利性单位优惠政策</w:t>
            </w:r>
          </w:p>
        </w:tc>
        <w:tc>
          <w:tcPr>
            <w:tcW w:w="7354" w:type="dxa"/>
            <w:shd w:val="clear" w:color="auto" w:fill="auto"/>
            <w:vAlign w:val="center"/>
          </w:tcPr>
          <w:p w14:paraId="7FB853EC">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sym w:font="Wingdings" w:char="F0FE"/>
            </w:r>
            <w:r>
              <w:rPr>
                <w:rFonts w:cs="Arial" w:asciiTheme="minorEastAsia" w:hAnsiTheme="minorEastAsia"/>
                <w:color w:val="auto"/>
                <w:sz w:val="24"/>
                <w:szCs w:val="24"/>
              </w:rPr>
              <w:t xml:space="preserve">选择 </w:t>
            </w:r>
            <w:r>
              <w:rPr>
                <w:rFonts w:hint="eastAsia" w:cs="Arial" w:asciiTheme="minorEastAsia" w:hAnsiTheme="minorEastAsia"/>
                <w:color w:val="auto"/>
                <w:sz w:val="24"/>
                <w:szCs w:val="24"/>
              </w:rPr>
              <w:t>□</w:t>
            </w:r>
            <w:r>
              <w:rPr>
                <w:rFonts w:cs="Arial" w:asciiTheme="minorEastAsia" w:hAnsiTheme="minorEastAsia"/>
                <w:color w:val="auto"/>
                <w:sz w:val="24"/>
                <w:szCs w:val="24"/>
              </w:rPr>
              <w:t>不选择</w:t>
            </w:r>
          </w:p>
        </w:tc>
      </w:tr>
      <w:tr w14:paraId="600C8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vAlign w:val="center"/>
          </w:tcPr>
          <w:p w14:paraId="080E3C45">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1、供应商须认真阅读《关于促进残疾人就业政府采购政策的通知》，残疾人福利单位须在投 </w:t>
            </w:r>
          </w:p>
          <w:p w14:paraId="252AD07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标(响应)文件中提供有效的《残疾人福利性单位声明函》。 </w:t>
            </w:r>
          </w:p>
          <w:p w14:paraId="768C8EA4">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2、残疾人福利性单位视同小型、微型企业，享受预留份额、评审中价格扣除等促进中小企业发展的政府采购政策。 </w:t>
            </w:r>
          </w:p>
          <w:p w14:paraId="09491DDF">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3、残疾人福利性单位属于小型、微型企业的，不重复享受扶持中小企业发展的优惠政策。</w:t>
            </w:r>
          </w:p>
          <w:p w14:paraId="3BCA99CD">
            <w:pPr>
              <w:keepLines w:val="0"/>
              <w:pageBreakBefore w:val="0"/>
              <w:kinsoku/>
              <w:wordWrap/>
              <w:overflowPunct/>
              <w:topLinePunct w:val="0"/>
              <w:autoSpaceDE/>
              <w:autoSpaceDN/>
              <w:bidi w:val="0"/>
              <w:adjustRightInd/>
              <w:snapToGrid/>
              <w:spacing w:line="240" w:lineRule="auto"/>
              <w:rPr>
                <w:color w:val="auto"/>
              </w:rPr>
            </w:pPr>
            <w:r>
              <w:rPr>
                <w:rFonts w:cs="Arial" w:asciiTheme="minorEastAsia" w:hAnsiTheme="minorEastAsia"/>
                <w:color w:val="auto"/>
                <w:sz w:val="24"/>
                <w:szCs w:val="24"/>
              </w:rPr>
              <w:t>4、成交供应商为残疾人福利性单位的，随成交结果同时公告其《残疾人福利性单位声明函》。</w:t>
            </w:r>
          </w:p>
        </w:tc>
      </w:tr>
      <w:tr w14:paraId="5B927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10B1494B">
            <w:pPr>
              <w:keepLines w:val="0"/>
              <w:pageBreakBefore w:val="0"/>
              <w:kinsoku/>
              <w:wordWrap/>
              <w:overflowPunct/>
              <w:topLinePunct w:val="0"/>
              <w:autoSpaceDE/>
              <w:autoSpaceDN/>
              <w:bidi w:val="0"/>
              <w:adjustRightInd/>
              <w:snapToGrid/>
              <w:spacing w:line="240" w:lineRule="auto"/>
              <w:jc w:val="center"/>
              <w:rPr>
                <w:rFonts w:hint="default" w:cs="Arial" w:asciiTheme="minorEastAsia" w:hAnsiTheme="minorEastAsia" w:eastAsiaTheme="minorEastAsia"/>
                <w:color w:val="auto"/>
                <w:kern w:val="2"/>
                <w:sz w:val="24"/>
                <w:szCs w:val="24"/>
                <w:lang w:val="en-US" w:eastAsia="zh-CN" w:bidi="ar-SA"/>
              </w:rPr>
            </w:pPr>
            <w:r>
              <w:rPr>
                <w:rFonts w:hint="eastAsia" w:cs="Arial" w:asciiTheme="minorEastAsia" w:hAnsiTheme="minorEastAsia"/>
                <w:color w:val="auto"/>
                <w:sz w:val="24"/>
                <w:szCs w:val="24"/>
                <w:lang w:val="en-US" w:eastAsia="zh-CN"/>
              </w:rPr>
              <w:t>20</w:t>
            </w:r>
          </w:p>
        </w:tc>
        <w:tc>
          <w:tcPr>
            <w:tcW w:w="1410" w:type="dxa"/>
            <w:shd w:val="clear" w:color="auto" w:fill="auto"/>
            <w:vAlign w:val="center"/>
          </w:tcPr>
          <w:p w14:paraId="7051B284">
            <w:pPr>
              <w:keepLines w:val="0"/>
              <w:pageBreakBefore w:val="0"/>
              <w:widowControl/>
              <w:kinsoku/>
              <w:wordWrap/>
              <w:overflowPunct/>
              <w:topLinePunct w:val="0"/>
              <w:autoSpaceDE/>
              <w:autoSpaceDN/>
              <w:bidi w:val="0"/>
              <w:adjustRightInd/>
              <w:snapToGrid/>
              <w:spacing w:line="240" w:lineRule="auto"/>
              <w:jc w:val="left"/>
              <w:rPr>
                <w:rFonts w:hint="eastAsia"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t>监狱企业优惠政策</w:t>
            </w:r>
          </w:p>
        </w:tc>
        <w:tc>
          <w:tcPr>
            <w:tcW w:w="7354" w:type="dxa"/>
            <w:shd w:val="clear" w:color="auto" w:fill="auto"/>
            <w:vAlign w:val="center"/>
          </w:tcPr>
          <w:p w14:paraId="2D2CC1CA">
            <w:pPr>
              <w:keepNext/>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eastAsiaTheme="minorEastAsia"/>
                <w:color w:val="auto"/>
                <w:kern w:val="2"/>
                <w:sz w:val="24"/>
                <w:szCs w:val="24"/>
                <w:lang w:val="en-US" w:eastAsia="zh-CN" w:bidi="ar-SA"/>
              </w:rPr>
            </w:pPr>
            <w:r>
              <w:rPr>
                <w:rFonts w:cs="Arial" w:asciiTheme="minorEastAsia" w:hAnsiTheme="minorEastAsia"/>
                <w:color w:val="auto"/>
                <w:sz w:val="24"/>
                <w:szCs w:val="24"/>
              </w:rPr>
              <w:sym w:font="Wingdings" w:char="F0FE"/>
            </w:r>
            <w:r>
              <w:rPr>
                <w:rFonts w:cs="Arial" w:asciiTheme="minorEastAsia" w:hAnsiTheme="minorEastAsia"/>
                <w:color w:val="auto"/>
                <w:sz w:val="24"/>
                <w:szCs w:val="24"/>
              </w:rPr>
              <w:t xml:space="preserve">选择 </w:t>
            </w:r>
            <w:r>
              <w:rPr>
                <w:rFonts w:hint="eastAsia" w:cs="Arial" w:asciiTheme="minorEastAsia" w:hAnsiTheme="minorEastAsia"/>
                <w:color w:val="auto"/>
                <w:sz w:val="24"/>
                <w:szCs w:val="24"/>
              </w:rPr>
              <w:t>□</w:t>
            </w:r>
            <w:r>
              <w:rPr>
                <w:rFonts w:cs="Arial" w:asciiTheme="minorEastAsia" w:hAnsiTheme="minorEastAsia"/>
                <w:color w:val="auto"/>
                <w:sz w:val="24"/>
                <w:szCs w:val="24"/>
              </w:rPr>
              <w:t>不选择</w:t>
            </w:r>
          </w:p>
        </w:tc>
      </w:tr>
      <w:tr w14:paraId="5163E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9361" w:type="dxa"/>
            <w:gridSpan w:val="3"/>
            <w:vAlign w:val="center"/>
          </w:tcPr>
          <w:p w14:paraId="7E18EC09">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1、供应商须认真阅读《财政部司法部关于政府采购支持监狱企业发展有关问题的通知》，监狱企业须在投标(响应)文件中提供由省级以上监狱管理局、戒毒管理局(含新疆生产建设兵团)出具的属于监狱企业的证明文件。 </w:t>
            </w:r>
          </w:p>
          <w:p w14:paraId="1D24115A">
            <w:pPr>
              <w:keepLines w:val="0"/>
              <w:pageBreakBefore w:val="0"/>
              <w:widowControl/>
              <w:kinsoku/>
              <w:wordWrap/>
              <w:overflowPunct/>
              <w:topLinePunct w:val="0"/>
              <w:autoSpaceDE/>
              <w:autoSpaceDN/>
              <w:bidi w:val="0"/>
              <w:adjustRightInd/>
              <w:snapToGrid/>
              <w:spacing w:line="240" w:lineRule="auto"/>
              <w:jc w:val="left"/>
              <w:rPr>
                <w:rFonts w:cs="Arial" w:asciiTheme="minorEastAsia" w:hAnsiTheme="minorEastAsia"/>
                <w:color w:val="auto"/>
                <w:sz w:val="24"/>
                <w:szCs w:val="24"/>
              </w:rPr>
            </w:pPr>
            <w:r>
              <w:rPr>
                <w:rFonts w:cs="Arial" w:asciiTheme="minorEastAsia" w:hAnsiTheme="minorEastAsia"/>
                <w:color w:val="auto"/>
                <w:sz w:val="24"/>
                <w:szCs w:val="24"/>
              </w:rPr>
              <w:t xml:space="preserve">2、监狱企业视同小型、微型企业，享受预留份额、评审中价格扣除等促进中小企业发展的政府采购政策。 </w:t>
            </w:r>
          </w:p>
          <w:p w14:paraId="07457219">
            <w:pPr>
              <w:keepLines w:val="0"/>
              <w:pageBreakBefore w:val="0"/>
              <w:kinsoku/>
              <w:wordWrap/>
              <w:overflowPunct/>
              <w:topLinePunct w:val="0"/>
              <w:autoSpaceDE/>
              <w:autoSpaceDN/>
              <w:bidi w:val="0"/>
              <w:adjustRightInd/>
              <w:snapToGrid/>
              <w:spacing w:line="240" w:lineRule="auto"/>
              <w:rPr>
                <w:color w:val="auto"/>
              </w:rPr>
            </w:pPr>
            <w:r>
              <w:rPr>
                <w:rFonts w:cs="Arial" w:asciiTheme="minorEastAsia" w:hAnsiTheme="minorEastAsia"/>
                <w:color w:val="auto"/>
                <w:sz w:val="24"/>
                <w:szCs w:val="24"/>
              </w:rPr>
              <w:t>3、监狱企业属于小型、微型企业的，不重复享受扶持中小企业发展的优惠政策。</w:t>
            </w:r>
          </w:p>
        </w:tc>
      </w:tr>
      <w:tr w14:paraId="2E718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468" w:hRule="atLeast"/>
          <w:jc w:val="center"/>
        </w:trPr>
        <w:tc>
          <w:tcPr>
            <w:tcW w:w="597" w:type="dxa"/>
            <w:shd w:val="clear" w:color="auto" w:fill="auto"/>
            <w:vAlign w:val="center"/>
          </w:tcPr>
          <w:p w14:paraId="2046C1A3">
            <w:pPr>
              <w:keepLines w:val="0"/>
              <w:pageBreakBefore w:val="0"/>
              <w:kinsoku/>
              <w:wordWrap/>
              <w:overflowPunct/>
              <w:topLinePunct w:val="0"/>
              <w:autoSpaceDE/>
              <w:autoSpaceDN/>
              <w:bidi w:val="0"/>
              <w:adjustRightInd/>
              <w:snapToGrid/>
              <w:spacing w:line="240" w:lineRule="auto"/>
              <w:jc w:val="center"/>
              <w:rPr>
                <w:rFonts w:hint="default" w:eastAsia="宋体" w:cs="Times New Roman" w:asciiTheme="minorEastAsia" w:hAnsiTheme="minorEastAsia"/>
                <w:color w:val="auto"/>
                <w:kern w:val="0"/>
                <w:sz w:val="24"/>
                <w:szCs w:val="24"/>
                <w:lang w:val="en-US" w:eastAsia="zh-CN"/>
              </w:rPr>
            </w:pPr>
            <w:r>
              <w:rPr>
                <w:rFonts w:hint="eastAsia" w:eastAsia="宋体" w:cs="Times New Roman" w:asciiTheme="minorEastAsia" w:hAnsiTheme="minorEastAsia"/>
                <w:color w:val="auto"/>
                <w:kern w:val="0"/>
                <w:sz w:val="24"/>
                <w:szCs w:val="24"/>
                <w:lang w:val="en-US" w:eastAsia="zh-CN"/>
              </w:rPr>
              <w:t>21</w:t>
            </w:r>
          </w:p>
        </w:tc>
        <w:tc>
          <w:tcPr>
            <w:tcW w:w="1410" w:type="dxa"/>
            <w:shd w:val="clear" w:color="auto" w:fill="auto"/>
            <w:vAlign w:val="center"/>
          </w:tcPr>
          <w:p w14:paraId="51B0D13D">
            <w:pPr>
              <w:keepNext/>
              <w:keepLines w:val="0"/>
              <w:pageBreakBefore w:val="0"/>
              <w:widowControl/>
              <w:kinsoku/>
              <w:wordWrap/>
              <w:overflowPunct/>
              <w:topLinePunct w:val="0"/>
              <w:autoSpaceDE/>
              <w:autoSpaceDN/>
              <w:bidi w:val="0"/>
              <w:adjustRightInd/>
              <w:snapToGrid/>
              <w:spacing w:line="240" w:lineRule="auto"/>
              <w:jc w:val="center"/>
              <w:rPr>
                <w:rFonts w:eastAsia="宋体" w:cs="Arial" w:asciiTheme="minorEastAsia" w:hAnsiTheme="minorEastAsia"/>
                <w:color w:val="auto"/>
                <w:kern w:val="0"/>
                <w:sz w:val="24"/>
                <w:szCs w:val="24"/>
              </w:rPr>
            </w:pPr>
            <w:r>
              <w:rPr>
                <w:rFonts w:hint="eastAsia" w:eastAsia="宋体" w:cs="Arial" w:asciiTheme="minorEastAsia" w:hAnsiTheme="minorEastAsia"/>
                <w:color w:val="auto"/>
                <w:kern w:val="0"/>
                <w:sz w:val="24"/>
                <w:szCs w:val="24"/>
              </w:rPr>
              <w:t>采购代理服务费</w:t>
            </w:r>
          </w:p>
        </w:tc>
        <w:tc>
          <w:tcPr>
            <w:tcW w:w="7354" w:type="dxa"/>
            <w:shd w:val="clear" w:color="auto" w:fill="auto"/>
            <w:vAlign w:val="center"/>
          </w:tcPr>
          <w:p w14:paraId="0010224A">
            <w:pPr>
              <w:keepNext/>
              <w:keepLines w:val="0"/>
              <w:pageBreakBefore w:val="0"/>
              <w:widowControl/>
              <w:kinsoku/>
              <w:wordWrap/>
              <w:overflowPunct/>
              <w:topLinePunct w:val="0"/>
              <w:autoSpaceDE/>
              <w:autoSpaceDN/>
              <w:bidi w:val="0"/>
              <w:adjustRightInd/>
              <w:snapToGrid/>
              <w:spacing w:line="240" w:lineRule="auto"/>
              <w:jc w:val="left"/>
              <w:rPr>
                <w:rFonts w:eastAsia="宋体" w:cs="Arial" w:asciiTheme="minorEastAsia" w:hAnsiTheme="minorEastAsia"/>
                <w:color w:val="auto"/>
                <w:kern w:val="0"/>
                <w:sz w:val="24"/>
                <w:szCs w:val="24"/>
              </w:rPr>
            </w:pPr>
            <w:bookmarkStart w:id="16" w:name="OLE_LINK20"/>
            <w:bookmarkStart w:id="17" w:name="OLE_LINK19"/>
            <w:r>
              <w:rPr>
                <w:rFonts w:hint="eastAsia" w:cs="Arial" w:asciiTheme="minorEastAsia" w:hAnsiTheme="minorEastAsia"/>
                <w:color w:val="auto"/>
                <w:kern w:val="0"/>
                <w:sz w:val="24"/>
                <w:szCs w:val="24"/>
              </w:rPr>
              <w:t>采购代理服务费的计算执行“《国家发展改革委关于进一步放开建设项目专业服务价格的通知》</w:t>
            </w:r>
            <w:r>
              <w:rPr>
                <w:rFonts w:cs="Arial" w:asciiTheme="minorEastAsia" w:hAnsiTheme="minorEastAsia"/>
                <w:color w:val="auto"/>
                <w:kern w:val="0"/>
                <w:sz w:val="24"/>
                <w:szCs w:val="24"/>
              </w:rPr>
              <w:t xml:space="preserve">[2015] 299 </w:t>
            </w:r>
            <w:r>
              <w:rPr>
                <w:rFonts w:hint="eastAsia" w:cs="Arial" w:asciiTheme="minorEastAsia" w:hAnsiTheme="minorEastAsia"/>
                <w:color w:val="auto"/>
                <w:kern w:val="0"/>
                <w:sz w:val="24"/>
                <w:szCs w:val="24"/>
              </w:rPr>
              <w:t>号文件”、本次采购代理服务费由成交单位支付</w:t>
            </w:r>
            <w:r>
              <w:rPr>
                <w:rFonts w:hint="eastAsia" w:cs="Arial" w:asciiTheme="minorEastAsia" w:hAnsiTheme="minorEastAsia"/>
                <w:color w:val="auto"/>
                <w:kern w:val="0"/>
                <w:sz w:val="24"/>
                <w:szCs w:val="24"/>
                <w:lang w:eastAsia="zh-CN"/>
              </w:rPr>
              <w:t>，</w:t>
            </w:r>
            <w:r>
              <w:rPr>
                <w:rFonts w:hint="eastAsia" w:cs="Arial" w:asciiTheme="minorEastAsia" w:hAnsiTheme="minorEastAsia"/>
                <w:color w:val="auto"/>
                <w:kern w:val="0"/>
                <w:sz w:val="24"/>
                <w:szCs w:val="24"/>
              </w:rPr>
              <w:t>采购代理费</w:t>
            </w:r>
            <w:r>
              <w:rPr>
                <w:rFonts w:hint="eastAsia" w:cs="Arial" w:asciiTheme="minorEastAsia" w:hAnsiTheme="minorEastAsia"/>
                <w:color w:val="auto"/>
                <w:kern w:val="0"/>
                <w:sz w:val="24"/>
                <w:szCs w:val="24"/>
                <w:lang w:eastAsia="zh-CN"/>
              </w:rPr>
              <w:t>为</w:t>
            </w:r>
            <w:r>
              <w:rPr>
                <w:rFonts w:hint="eastAsia" w:cs="Arial" w:asciiTheme="minorEastAsia" w:hAnsiTheme="minorEastAsia"/>
                <w:color w:val="auto"/>
                <w:kern w:val="0"/>
                <w:sz w:val="24"/>
                <w:szCs w:val="24"/>
                <w:lang w:val="en-US" w:eastAsia="zh-CN"/>
              </w:rPr>
              <w:t>6000元</w:t>
            </w:r>
            <w:r>
              <w:rPr>
                <w:rFonts w:hint="eastAsia" w:cs="Arial" w:asciiTheme="minorEastAsia" w:hAnsiTheme="minorEastAsia"/>
                <w:color w:val="auto"/>
                <w:kern w:val="0"/>
                <w:sz w:val="24"/>
                <w:szCs w:val="24"/>
              </w:rPr>
              <w:t>。</w:t>
            </w:r>
            <w:bookmarkEnd w:id="16"/>
            <w:bookmarkEnd w:id="17"/>
          </w:p>
        </w:tc>
      </w:tr>
    </w:tbl>
    <w:p w14:paraId="3489C182">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18" w:name="_BookMark_3"/>
      <w:bookmarkEnd w:id="18"/>
      <w:r>
        <w:rPr>
          <w:rFonts w:ascii="宋体" w:hAnsi="Calibri" w:eastAsia="宋体" w:cs="Arial"/>
          <w:color w:val="auto"/>
          <w:kern w:val="0"/>
          <w:sz w:val="24"/>
          <w:szCs w:val="24"/>
        </w:rPr>
        <w:br w:type="page"/>
      </w:r>
      <w:bookmarkStart w:id="19" w:name="_Toc20585"/>
      <w:r>
        <w:rPr>
          <w:rFonts w:hint="eastAsia" w:ascii="宋体" w:hAnsi="宋体" w:eastAsia="宋体" w:cs="宋体"/>
          <w:b/>
          <w:color w:val="auto"/>
          <w:sz w:val="24"/>
          <w:szCs w:val="24"/>
        </w:rPr>
        <w:t>第一章 供应商须知</w:t>
      </w:r>
      <w:bookmarkEnd w:id="19"/>
      <w:bookmarkStart w:id="20" w:name="_BookMark_2"/>
      <w:bookmarkEnd w:id="20"/>
    </w:p>
    <w:p w14:paraId="2B49DFF7">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21" w:name="_Toc22006"/>
      <w:r>
        <w:rPr>
          <w:rFonts w:ascii="宋体" w:hAnsi="宋体" w:eastAsia="宋体" w:cs="宋体"/>
          <w:b/>
          <w:color w:val="auto"/>
          <w:sz w:val="24"/>
          <w:szCs w:val="24"/>
        </w:rPr>
        <w:t>1</w:t>
      </w:r>
      <w:r>
        <w:rPr>
          <w:rFonts w:hint="eastAsia" w:ascii="宋体" w:hAnsi="宋体" w:eastAsia="宋体" w:cs="宋体"/>
          <w:b/>
          <w:color w:val="auto"/>
          <w:sz w:val="24"/>
          <w:szCs w:val="24"/>
        </w:rPr>
        <w:t>．总则</w:t>
      </w:r>
      <w:bookmarkEnd w:id="21"/>
    </w:p>
    <w:p w14:paraId="405CE31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1.1 </w:t>
      </w:r>
      <w:r>
        <w:rPr>
          <w:rFonts w:hint="eastAsia" w:ascii="宋体" w:hAnsi="宋体" w:eastAsia="宋体" w:cs="Arial"/>
          <w:color w:val="auto"/>
          <w:kern w:val="0"/>
          <w:sz w:val="24"/>
          <w:szCs w:val="24"/>
        </w:rPr>
        <w:t>采购项目概况</w:t>
      </w:r>
    </w:p>
    <w:p w14:paraId="5184F87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1.1.1</w:t>
      </w:r>
      <w:r>
        <w:rPr>
          <w:rFonts w:hint="eastAsia" w:ascii="宋体" w:hAnsi="宋体" w:eastAsia="宋体" w:cs="Arial"/>
          <w:color w:val="auto"/>
          <w:kern w:val="0"/>
          <w:sz w:val="24"/>
          <w:szCs w:val="24"/>
        </w:rPr>
        <w:t>项目名称：见供应商须知前附表。</w:t>
      </w:r>
    </w:p>
    <w:p w14:paraId="372EF54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3项目编号：见供应商须知前附表。</w:t>
      </w:r>
    </w:p>
    <w:p w14:paraId="0C9DD19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2采购人：见供应商须知前附表。</w:t>
      </w:r>
    </w:p>
    <w:p w14:paraId="51F869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3采购代理机构：见供应商须知前附表。</w:t>
      </w:r>
    </w:p>
    <w:p w14:paraId="1FB5D13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4服务地点：见供应商须知前附表。</w:t>
      </w:r>
    </w:p>
    <w:p w14:paraId="6BE3D22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5资金来源：见供应商须知前附表。</w:t>
      </w:r>
    </w:p>
    <w:p w14:paraId="3AA5322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1.1.</w:t>
      </w:r>
      <w:r>
        <w:rPr>
          <w:rFonts w:hint="eastAsia" w:ascii="宋体" w:hAnsi="宋体" w:eastAsia="宋体" w:cs="Arial"/>
          <w:color w:val="auto"/>
          <w:kern w:val="0"/>
          <w:sz w:val="24"/>
          <w:szCs w:val="24"/>
        </w:rPr>
        <w:t>6采购预算金额：见供应商须知前附表。</w:t>
      </w:r>
    </w:p>
    <w:p w14:paraId="3EB1C35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1.1.7 服务周期：见供应商须知前附表。</w:t>
      </w:r>
    </w:p>
    <w:p w14:paraId="0FDF86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1.1.8 项目概况：见供应商须知前附表。</w:t>
      </w:r>
    </w:p>
    <w:p w14:paraId="16FA21D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1.2</w:t>
      </w:r>
      <w:r>
        <w:rPr>
          <w:rFonts w:hint="eastAsia" w:ascii="宋体" w:hAnsi="宋体" w:eastAsia="宋体" w:cs="Arial"/>
          <w:color w:val="auto"/>
          <w:kern w:val="0"/>
          <w:sz w:val="24"/>
          <w:szCs w:val="24"/>
        </w:rPr>
        <w:t xml:space="preserve"> 采购范围：见供应商须知前附表。</w:t>
      </w:r>
    </w:p>
    <w:p w14:paraId="5622FCE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1.3 </w:t>
      </w:r>
      <w:r>
        <w:rPr>
          <w:rFonts w:hint="eastAsia" w:ascii="宋体" w:hAnsi="宋体" w:eastAsia="宋体" w:cs="Arial"/>
          <w:color w:val="auto"/>
          <w:kern w:val="0"/>
          <w:sz w:val="24"/>
          <w:szCs w:val="24"/>
        </w:rPr>
        <w:t>采购方式和资格审查方式</w:t>
      </w:r>
    </w:p>
    <w:p w14:paraId="26082BF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1.3.1 </w:t>
      </w:r>
      <w:r>
        <w:rPr>
          <w:rFonts w:hint="eastAsia" w:ascii="宋体" w:hAnsi="宋体" w:eastAsia="宋体" w:cs="Arial"/>
          <w:color w:val="auto"/>
          <w:kern w:val="0"/>
          <w:sz w:val="24"/>
          <w:szCs w:val="24"/>
        </w:rPr>
        <w:t>采购方式：见供应商须知前附表。</w:t>
      </w:r>
    </w:p>
    <w:p w14:paraId="4151177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1.3.2 </w:t>
      </w:r>
      <w:r>
        <w:rPr>
          <w:rFonts w:hint="eastAsia" w:ascii="宋体" w:hAnsi="宋体" w:eastAsia="宋体" w:cs="Arial"/>
          <w:color w:val="auto"/>
          <w:kern w:val="0"/>
          <w:sz w:val="24"/>
          <w:szCs w:val="24"/>
        </w:rPr>
        <w:t>资格审查方式：见供应商须知前附表。</w:t>
      </w:r>
    </w:p>
    <w:p w14:paraId="2280174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1.4 </w:t>
      </w:r>
      <w:r>
        <w:rPr>
          <w:rFonts w:hint="eastAsia" w:ascii="宋体" w:hAnsi="宋体" w:eastAsia="宋体" w:cs="Arial"/>
          <w:color w:val="auto"/>
          <w:kern w:val="0"/>
          <w:sz w:val="24"/>
          <w:szCs w:val="24"/>
        </w:rPr>
        <w:t>评标办法及定标方法</w:t>
      </w:r>
    </w:p>
    <w:p w14:paraId="6DA2057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1.4.1 </w:t>
      </w:r>
      <w:r>
        <w:rPr>
          <w:rFonts w:hint="eastAsia" w:ascii="宋体" w:hAnsi="宋体" w:eastAsia="宋体" w:cs="Arial"/>
          <w:color w:val="auto"/>
          <w:kern w:val="0"/>
          <w:sz w:val="24"/>
          <w:szCs w:val="24"/>
        </w:rPr>
        <w:t>评标办法：见供应商须知前附表。</w:t>
      </w:r>
    </w:p>
    <w:p w14:paraId="115531B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1.4.2</w:t>
      </w:r>
      <w:r>
        <w:rPr>
          <w:rFonts w:hint="eastAsia" w:ascii="宋体" w:hAnsi="宋体" w:eastAsia="宋体" w:cs="Arial"/>
          <w:color w:val="auto"/>
          <w:kern w:val="0"/>
          <w:sz w:val="24"/>
          <w:szCs w:val="24"/>
        </w:rPr>
        <w:t xml:space="preserve"> 定标方法：见供应商须知前附表。</w:t>
      </w:r>
    </w:p>
    <w:p w14:paraId="5183024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 </w:t>
      </w:r>
      <w:r>
        <w:rPr>
          <w:rFonts w:hint="eastAsia" w:ascii="宋体" w:hAnsi="宋体" w:eastAsia="宋体" w:cs="Arial"/>
          <w:color w:val="auto"/>
          <w:kern w:val="0"/>
          <w:sz w:val="24"/>
          <w:szCs w:val="24"/>
        </w:rPr>
        <w:t>供应商资格条件和能力要求</w:t>
      </w:r>
    </w:p>
    <w:p w14:paraId="7E45628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1.5.1 </w:t>
      </w:r>
      <w:r>
        <w:rPr>
          <w:rFonts w:hint="eastAsia" w:ascii="宋体" w:hAnsi="宋体" w:eastAsia="宋体" w:cs="Arial"/>
          <w:color w:val="auto"/>
          <w:kern w:val="0"/>
          <w:sz w:val="24"/>
          <w:szCs w:val="24"/>
        </w:rPr>
        <w:t>供应商应具备承担本采购项目的资格条件和能力，具体要求见供应商须知前附表。</w:t>
      </w:r>
    </w:p>
    <w:p w14:paraId="2C12633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1.5.2 </w:t>
      </w:r>
      <w:r>
        <w:rPr>
          <w:rFonts w:hint="eastAsia" w:ascii="宋体" w:hAnsi="宋体" w:eastAsia="宋体" w:cs="Arial"/>
          <w:color w:val="auto"/>
          <w:kern w:val="0"/>
          <w:sz w:val="24"/>
          <w:szCs w:val="24"/>
        </w:rPr>
        <w:t>供应商须知前附表规定接受联合体投标的，除应符合本章第</w:t>
      </w:r>
      <w:r>
        <w:rPr>
          <w:rFonts w:ascii="宋体" w:hAnsi="宋体" w:eastAsia="宋体" w:cs="Arial"/>
          <w:color w:val="auto"/>
          <w:kern w:val="0"/>
          <w:sz w:val="24"/>
          <w:szCs w:val="24"/>
        </w:rPr>
        <w:t>1.</w:t>
      </w:r>
      <w:r>
        <w:rPr>
          <w:rFonts w:hint="eastAsia" w:ascii="宋体" w:hAnsi="宋体" w:eastAsia="宋体" w:cs="Arial"/>
          <w:color w:val="auto"/>
          <w:kern w:val="0"/>
          <w:sz w:val="24"/>
          <w:szCs w:val="24"/>
        </w:rPr>
        <w:t>5</w:t>
      </w:r>
      <w:r>
        <w:rPr>
          <w:rFonts w:ascii="宋体" w:hAnsi="宋体" w:eastAsia="宋体" w:cs="Arial"/>
          <w:color w:val="auto"/>
          <w:kern w:val="0"/>
          <w:sz w:val="24"/>
          <w:szCs w:val="24"/>
        </w:rPr>
        <w:t>.1</w:t>
      </w:r>
      <w:r>
        <w:rPr>
          <w:rFonts w:hint="eastAsia" w:ascii="宋体" w:hAnsi="宋体" w:eastAsia="宋体" w:cs="Arial"/>
          <w:color w:val="auto"/>
          <w:kern w:val="0"/>
          <w:sz w:val="24"/>
          <w:szCs w:val="24"/>
        </w:rPr>
        <w:t>款和供应商须知前附表的要求外，还应遵守以下规定：（</w:t>
      </w:r>
      <w:r>
        <w:rPr>
          <w:rFonts w:ascii="宋体" w:hAnsi="宋体" w:eastAsia="宋体" w:cs="Arial"/>
          <w:color w:val="auto"/>
          <w:kern w:val="0"/>
          <w:sz w:val="24"/>
          <w:szCs w:val="24"/>
        </w:rPr>
        <w:t>1</w:t>
      </w:r>
      <w:r>
        <w:rPr>
          <w:rFonts w:hint="eastAsia" w:ascii="宋体" w:hAnsi="宋体" w:eastAsia="宋体" w:cs="Arial"/>
          <w:color w:val="auto"/>
          <w:kern w:val="0"/>
          <w:sz w:val="24"/>
          <w:szCs w:val="24"/>
        </w:rPr>
        <w:t>）联合体各方应按竞争性磋商文件提供的格式签订联合体协议书，明确联合体牵头人和各方权利义务；（</w:t>
      </w:r>
      <w:r>
        <w:rPr>
          <w:rFonts w:ascii="宋体" w:hAnsi="宋体" w:eastAsia="宋体" w:cs="Arial"/>
          <w:color w:val="auto"/>
          <w:kern w:val="0"/>
          <w:sz w:val="24"/>
          <w:szCs w:val="24"/>
        </w:rPr>
        <w:t>2</w:t>
      </w:r>
      <w:r>
        <w:rPr>
          <w:rFonts w:hint="eastAsia" w:ascii="宋体" w:hAnsi="宋体" w:eastAsia="宋体" w:cs="Arial"/>
          <w:color w:val="auto"/>
          <w:kern w:val="0"/>
          <w:sz w:val="24"/>
          <w:szCs w:val="24"/>
        </w:rPr>
        <w:t>）联合体各方不得再以自己名义单独或参加其他联合体在本采购项目中投标。</w:t>
      </w:r>
    </w:p>
    <w:p w14:paraId="26F45A5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1.5.3 </w:t>
      </w:r>
      <w:r>
        <w:rPr>
          <w:rFonts w:hint="eastAsia" w:ascii="宋体" w:hAnsi="宋体" w:eastAsia="宋体" w:cs="Arial"/>
          <w:color w:val="auto"/>
          <w:kern w:val="0"/>
          <w:sz w:val="24"/>
          <w:szCs w:val="24"/>
        </w:rPr>
        <w:t>供应商不得存在下列情形之一，否则相关投标均应被否决：</w:t>
      </w:r>
    </w:p>
    <w:p w14:paraId="1192FC5D">
      <w:pPr>
        <w:keepLines w:val="0"/>
        <w:pageBreakBefore w:val="0"/>
        <w:kinsoku/>
        <w:wordWrap/>
        <w:overflowPunct/>
        <w:topLinePunct w:val="0"/>
        <w:autoSpaceDE w:val="0"/>
        <w:autoSpaceDN w:val="0"/>
        <w:bidi w:val="0"/>
        <w:spacing w:line="360" w:lineRule="auto"/>
        <w:ind w:firstLine="480" w:firstLineChars="200"/>
        <w:jc w:val="left"/>
        <w:rPr>
          <w:color w:val="auto"/>
          <w:sz w:val="24"/>
          <w:szCs w:val="24"/>
        </w:rPr>
      </w:pPr>
      <w:bookmarkStart w:id="22" w:name="_BookMark_5"/>
      <w:bookmarkEnd w:id="22"/>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w:t>
      </w:r>
      <w:r>
        <w:rPr>
          <w:color w:val="auto"/>
          <w:sz w:val="24"/>
          <w:szCs w:val="24"/>
        </w:rPr>
        <w:t>与采购人存在利害关系可能影响</w:t>
      </w:r>
      <w:r>
        <w:rPr>
          <w:rFonts w:hint="eastAsia"/>
          <w:color w:val="auto"/>
          <w:sz w:val="24"/>
          <w:szCs w:val="24"/>
        </w:rPr>
        <w:t>采购</w:t>
      </w:r>
      <w:r>
        <w:rPr>
          <w:color w:val="auto"/>
          <w:sz w:val="24"/>
          <w:szCs w:val="24"/>
        </w:rPr>
        <w:t>公正性的法人、其他组织或者个人，不得参加投标。</w:t>
      </w:r>
    </w:p>
    <w:p w14:paraId="6D3C8EA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）单位负责人为同一人或者存在控股、管理关系的不同供应商，不得参加同一合同项下的采购活动。</w:t>
      </w:r>
    </w:p>
    <w:p w14:paraId="7000DF9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6费用承担</w:t>
      </w:r>
    </w:p>
    <w:p w14:paraId="540951A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1.6.1竞争性磋商文件费：见供应商须知前附表。</w:t>
      </w:r>
    </w:p>
    <w:p w14:paraId="5B8C45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1.6.2供应商应承担其编制竞争性磋商响应文件与递交竞争性磋商响应文件所涉及的一切费用，无论投标结果如何，采购人及采购代理机构对上述费用不作任何补偿。采购代理费由成交人支付。</w:t>
      </w:r>
    </w:p>
    <w:p w14:paraId="234B34D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7磋商保证金：见供应商须知前附表。</w:t>
      </w:r>
    </w:p>
    <w:p w14:paraId="5399EF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1.8踏勘现场</w:t>
      </w:r>
    </w:p>
    <w:p w14:paraId="44C434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8</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供应商须知前附表规定不组织踏勘现场。</w:t>
      </w:r>
    </w:p>
    <w:p w14:paraId="7EC06F2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9采购答疑会和采购澄清答疑要求</w:t>
      </w:r>
    </w:p>
    <w:p w14:paraId="01DDD03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供应商须知前附表规定召开采购答疑会的，采购人或采购代理机构按照供应商须知前附表规定的时间和地点召开采购答疑会，澄清供应商提出的问题。</w:t>
      </w:r>
    </w:p>
    <w:p w14:paraId="100E5E3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供应商若有疑问，应按供应商须知前附表规定的时间、方式向采购人或采购代理机构提出，要求采购人对竞争性磋商文件予以澄清。</w:t>
      </w:r>
    </w:p>
    <w:p w14:paraId="04C3956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采购人或采购代理机构将按照供应商须知前附表规定的时间方式对供应商的疑问作出统一的解答。</w:t>
      </w:r>
    </w:p>
    <w:p w14:paraId="2129E4F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1.10竞争性磋商响应文件份数：见供应商须知前附表。</w:t>
      </w:r>
    </w:p>
    <w:p w14:paraId="76E15BB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1.11竞争性磋商响应文件递交：见供应商须知前附表。</w:t>
      </w:r>
    </w:p>
    <w:p w14:paraId="6CE3DCE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1.12开标：见供应商须知前附表。</w:t>
      </w:r>
    </w:p>
    <w:p w14:paraId="4EC451C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1.13投标有效期：见供应商须知前附表。</w:t>
      </w:r>
    </w:p>
    <w:p w14:paraId="38AF20E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1.14竞争性磋商公告发布媒体：见供应商须知前附表。</w:t>
      </w:r>
    </w:p>
    <w:p w14:paraId="084CD59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1.15履约保证金：见供应商须知前附表。</w:t>
      </w:r>
    </w:p>
    <w:p w14:paraId="6376CF7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1.16保密</w:t>
      </w:r>
    </w:p>
    <w:p w14:paraId="391C50A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参与采购投标活动的各方应当对竞争性磋商文件和竞争性磋商响应文件中的商业和技术等秘密保密，否则应当承担相应的法律责任。</w:t>
      </w:r>
    </w:p>
    <w:p w14:paraId="08669C1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17语言文字</w:t>
      </w:r>
    </w:p>
    <w:p w14:paraId="469CE93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除专用术语外，与采购投标有关的语言均应当使用中文。必要时专用术语应附有中文注释。</w:t>
      </w:r>
    </w:p>
    <w:p w14:paraId="08AAED7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18计量单位</w:t>
      </w:r>
    </w:p>
    <w:p w14:paraId="5FC18CE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所有计量均采用中华人民共和国法定计量单位。</w:t>
      </w:r>
    </w:p>
    <w:p w14:paraId="60ED9E4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1.</w:t>
      </w:r>
      <w:r>
        <w:rPr>
          <w:rFonts w:hint="eastAsia" w:ascii="宋体" w:hAnsi="宋体" w:eastAsia="宋体" w:cs="Arial"/>
          <w:color w:val="auto"/>
          <w:kern w:val="0"/>
          <w:sz w:val="24"/>
          <w:szCs w:val="24"/>
        </w:rPr>
        <w:t>19偏离</w:t>
      </w:r>
    </w:p>
    <w:p w14:paraId="1E9F5AC3">
      <w:pPr>
        <w:keepLines w:val="0"/>
        <w:pageBreakBefore w:val="0"/>
        <w:kinsoku/>
        <w:wordWrap/>
        <w:overflowPunct/>
        <w:topLinePunct w:val="0"/>
        <w:bidi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1.</w:t>
      </w:r>
      <w:r>
        <w:rPr>
          <w:rFonts w:hint="eastAsia" w:cs="Arial" w:asciiTheme="minorEastAsia" w:hAnsiTheme="minorEastAsia"/>
          <w:color w:val="auto"/>
          <w:kern w:val="0"/>
          <w:sz w:val="24"/>
          <w:szCs w:val="24"/>
        </w:rPr>
        <w:t>19.1本条所称偏离为响应文件对采购文件的偏离，即不满足、或不响应采购文件的要求。偏离分为对采购文件的实质性要求条款偏离和对采购文件的一般商务和技术条款偏离。</w:t>
      </w:r>
    </w:p>
    <w:p w14:paraId="771E8680">
      <w:pPr>
        <w:keepLines w:val="0"/>
        <w:pageBreakBefore w:val="0"/>
        <w:widowControl/>
        <w:shd w:val="clear" w:color="auto" w:fill="FFFFFF"/>
        <w:kinsoku/>
        <w:wordWrap/>
        <w:overflowPunct/>
        <w:topLinePunct w:val="0"/>
        <w:bidi w:val="0"/>
        <w:snapToGrid w:val="0"/>
        <w:spacing w:line="360" w:lineRule="auto"/>
        <w:ind w:firstLine="482" w:firstLineChars="200"/>
        <w:rPr>
          <w:rFonts w:ascii="宋体" w:hAnsi="Calibri" w:eastAsia="宋体" w:cs="Arial"/>
          <w:color w:val="auto"/>
          <w:kern w:val="0"/>
          <w:sz w:val="24"/>
          <w:szCs w:val="24"/>
        </w:rPr>
      </w:pPr>
      <w:r>
        <w:rPr>
          <w:rFonts w:cs="Arial" w:asciiTheme="minorEastAsia" w:hAnsiTheme="minorEastAsia"/>
          <w:b/>
          <w:color w:val="auto"/>
          <w:kern w:val="0"/>
          <w:sz w:val="24"/>
          <w:szCs w:val="24"/>
        </w:rPr>
        <w:t>1.</w:t>
      </w:r>
      <w:r>
        <w:rPr>
          <w:rFonts w:hint="eastAsia" w:cs="Arial" w:asciiTheme="minorEastAsia" w:hAnsiTheme="minorEastAsia"/>
          <w:b/>
          <w:color w:val="auto"/>
          <w:kern w:val="0"/>
          <w:sz w:val="24"/>
          <w:szCs w:val="24"/>
        </w:rPr>
        <w:t>19.2除法律、法规和规章规定外。采购文件中加下划线、“拒绝”“不接受”“无效”“不得”“投标被否决”等文字规定或标注“★”“▲”符号的条款为实质性要求条款（即重要条款），对其中任一条的偏离，在评审时将其视为无效响应。未用上述文字规定或符号标注的条款为非实质性要求条款（即一般条款）。着重提醒各供应商注意，并认真查看采购文件中的每一个条款及要求，因误读采购文件而造成的后果，采购人概不负责。</w:t>
      </w:r>
    </w:p>
    <w:p w14:paraId="301A2747">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23" w:name="_Toc3217"/>
      <w:r>
        <w:rPr>
          <w:rFonts w:ascii="宋体" w:hAnsi="宋体" w:eastAsia="宋体" w:cs="宋体"/>
          <w:b/>
          <w:color w:val="auto"/>
          <w:sz w:val="24"/>
          <w:szCs w:val="24"/>
        </w:rPr>
        <w:t>2</w:t>
      </w:r>
      <w:r>
        <w:rPr>
          <w:rFonts w:hint="eastAsia" w:ascii="宋体" w:hAnsi="宋体" w:eastAsia="宋体" w:cs="宋体"/>
          <w:b/>
          <w:color w:val="auto"/>
          <w:sz w:val="24"/>
          <w:szCs w:val="24"/>
        </w:rPr>
        <w:t>．竞争性磋商文件</w:t>
      </w:r>
      <w:bookmarkEnd w:id="23"/>
    </w:p>
    <w:p w14:paraId="3F7B813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2.1 </w:t>
      </w:r>
      <w:r>
        <w:rPr>
          <w:rFonts w:hint="eastAsia" w:ascii="宋体" w:hAnsi="宋体" w:eastAsia="宋体" w:cs="Arial"/>
          <w:color w:val="auto"/>
          <w:kern w:val="0"/>
          <w:sz w:val="24"/>
          <w:szCs w:val="24"/>
        </w:rPr>
        <w:t>竞争性磋商文件的组成</w:t>
      </w:r>
    </w:p>
    <w:p w14:paraId="507B7F0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Calibri" w:eastAsia="宋体" w:cs="Arial"/>
          <w:color w:val="auto"/>
          <w:kern w:val="0"/>
          <w:sz w:val="24"/>
          <w:szCs w:val="24"/>
        </w:rPr>
        <w:t>（1）竞争性磋商公告</w:t>
      </w:r>
    </w:p>
    <w:p w14:paraId="293A917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（2）供应商须知；</w:t>
      </w:r>
    </w:p>
    <w:p w14:paraId="6804298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（3）评标办法；</w:t>
      </w:r>
    </w:p>
    <w:p w14:paraId="744CDD5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（4）合同条款及格式；</w:t>
      </w:r>
    </w:p>
    <w:p w14:paraId="189F508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（5）服务标准和要求；</w:t>
      </w:r>
    </w:p>
    <w:p w14:paraId="3D27C22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（6）竞争性磋商响应文件格式；</w:t>
      </w:r>
    </w:p>
    <w:p w14:paraId="7A1D6DB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根据本章第</w:t>
      </w:r>
      <w:r>
        <w:rPr>
          <w:rFonts w:ascii="宋体" w:hAnsi="宋体" w:eastAsia="宋体" w:cs="Arial"/>
          <w:color w:val="auto"/>
          <w:kern w:val="0"/>
          <w:sz w:val="24"/>
          <w:szCs w:val="24"/>
        </w:rPr>
        <w:t>2.4</w:t>
      </w:r>
      <w:r>
        <w:rPr>
          <w:rFonts w:hint="eastAsia" w:ascii="宋体" w:hAnsi="宋体" w:eastAsia="宋体" w:cs="Arial"/>
          <w:color w:val="auto"/>
          <w:kern w:val="0"/>
          <w:sz w:val="24"/>
          <w:szCs w:val="24"/>
        </w:rPr>
        <w:t>款和第</w:t>
      </w:r>
      <w:r>
        <w:rPr>
          <w:rFonts w:ascii="宋体" w:hAnsi="宋体" w:eastAsia="宋体" w:cs="Arial"/>
          <w:color w:val="auto"/>
          <w:kern w:val="0"/>
          <w:sz w:val="24"/>
          <w:szCs w:val="24"/>
        </w:rPr>
        <w:t>2.5</w:t>
      </w:r>
      <w:r>
        <w:rPr>
          <w:rFonts w:hint="eastAsia" w:ascii="宋体" w:hAnsi="宋体" w:eastAsia="宋体" w:cs="Arial"/>
          <w:color w:val="auto"/>
          <w:kern w:val="0"/>
          <w:sz w:val="24"/>
          <w:szCs w:val="24"/>
        </w:rPr>
        <w:t>款对竞争性磋商文件所作的澄清、修改，构成竞争性磋商文件的组成部分。</w:t>
      </w:r>
    </w:p>
    <w:p w14:paraId="70D588C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2竞争性磋商文件的获取</w:t>
      </w:r>
    </w:p>
    <w:p w14:paraId="1B7C429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cs="Arial" w:asciiTheme="minorEastAsia" w:hAnsiTheme="minorEastAsia"/>
          <w:color w:val="auto"/>
          <w:kern w:val="0"/>
          <w:sz w:val="24"/>
          <w:szCs w:val="24"/>
        </w:rPr>
        <w:t>凡有意参加并符合供应商须知前附表“供应商资格条件和能力”的供应商，均可登陆政采云https://www.zcygov.cn/平台后进入“项目采购“应用，在获取文件菜单中选择项目，申请获取</w:t>
      </w:r>
      <w:r>
        <w:rPr>
          <w:rFonts w:hint="eastAsia" w:ascii="宋体" w:hAnsi="宋体" w:eastAsia="宋体" w:cs="Arial"/>
          <w:color w:val="auto"/>
          <w:kern w:val="0"/>
          <w:sz w:val="24"/>
          <w:szCs w:val="24"/>
        </w:rPr>
        <w:t>竞争性磋商文件。</w:t>
      </w:r>
    </w:p>
    <w:p w14:paraId="5D9EA0A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3竞争性磋商文件的澄清</w:t>
      </w:r>
    </w:p>
    <w:p w14:paraId="3187CE4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供应商应当仔细阅读和检查竞争性磋商文件的全部内容。如发现缺页或附件不全，应当及时向采购人提出，以便补齐。如有疑问，应当在供应商须知前附表规定的时间、方式向采购人提出，要求采购人对竞争性磋商文件予以澄清。</w:t>
      </w:r>
    </w:p>
    <w:p w14:paraId="535120E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竞争性磋商文件的澄清将按照供应商须知前附表规定的时间、方式发布，但不指明澄清问题的来源。</w:t>
      </w:r>
    </w:p>
    <w:p w14:paraId="188AFBD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4竞争性磋商文件的修改</w:t>
      </w:r>
    </w:p>
    <w:p w14:paraId="70F6829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竞争性磋商文件的修改将按照供应商须知前附表规定的时间、方式发布，但不指明澄清问题的来源。</w:t>
      </w:r>
    </w:p>
    <w:p w14:paraId="630B1BD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在供应商须知前附表规定的截止时间前，无论出于何种原因，采购代理机构和采购人可主动地或在解答潜在供应商提出的澄清问题时对竞争性磋商文件进行修改。</w:t>
      </w:r>
    </w:p>
    <w:p w14:paraId="1EE02E4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竞争性磋商文件的修改部分是竞争性磋商文件的组成部分对供应商具有约束力。</w:t>
      </w:r>
    </w:p>
    <w:p w14:paraId="38E8B08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.4 </w:t>
      </w:r>
      <w:r>
        <w:rPr>
          <w:rFonts w:hint="eastAsia" w:ascii="宋体" w:hAnsi="宋体" w:eastAsia="宋体" w:cs="Arial"/>
          <w:color w:val="auto"/>
          <w:kern w:val="0"/>
          <w:sz w:val="24"/>
          <w:szCs w:val="24"/>
        </w:rPr>
        <w:t>为使供应商准备投标时有充分时间对竞争性磋商文件的修改部分进行研究，采购人可适当推迟响应文件递交截止期。</w:t>
      </w:r>
    </w:p>
    <w:p w14:paraId="1385FA0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.5 </w:t>
      </w:r>
      <w:r>
        <w:rPr>
          <w:rFonts w:hint="eastAsia" w:ascii="宋体" w:hAnsi="宋体" w:eastAsia="宋体" w:cs="Arial"/>
          <w:color w:val="auto"/>
          <w:kern w:val="0"/>
          <w:sz w:val="24"/>
          <w:szCs w:val="24"/>
        </w:rPr>
        <w:t>当采购人发放的竞争性磋商文件及竞争性磋商文件的答疑文件、修改文件、补充文件前后不一致，发生矛盾情况时，以最后发出的为准。</w:t>
      </w:r>
    </w:p>
    <w:p w14:paraId="790236E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.6 </w:t>
      </w:r>
      <w:r>
        <w:rPr>
          <w:rFonts w:hint="eastAsia" w:ascii="宋体" w:hAnsi="宋体" w:eastAsia="宋体" w:cs="Arial"/>
          <w:color w:val="auto"/>
          <w:kern w:val="0"/>
          <w:sz w:val="24"/>
          <w:szCs w:val="24"/>
        </w:rPr>
        <w:t>如果竞争性磋商文件各个组成部分之间出现歧义或相互矛盾，或任何文件中呈现明显的或不符合逻辑等的错误，或在文件编写过程中经常出现的打印错误等，供应商应将需要澄清的内容在供应商须知前附表规定的时间之前提出。根据合同条款中的相关约定，如果供应商在投标过程中未能发现并对有关歧义、矛盾或错误提出澄清请求，而在成交后发现并提出，成交人将必须接受由采购人依据合同有关条款而做出的书面澄清。</w:t>
      </w:r>
    </w:p>
    <w:p w14:paraId="3B99DE84">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24" w:name="_BookMark_6"/>
      <w:bookmarkEnd w:id="24"/>
      <w:bookmarkStart w:id="25" w:name="_Toc26929"/>
      <w:r>
        <w:rPr>
          <w:rFonts w:ascii="宋体" w:hAnsi="宋体" w:eastAsia="宋体" w:cs="宋体"/>
          <w:b/>
          <w:color w:val="auto"/>
          <w:sz w:val="24"/>
          <w:szCs w:val="24"/>
        </w:rPr>
        <w:t>3</w:t>
      </w:r>
      <w:r>
        <w:rPr>
          <w:rFonts w:hint="eastAsia" w:ascii="宋体" w:hAnsi="宋体" w:eastAsia="宋体" w:cs="宋体"/>
          <w:b/>
          <w:color w:val="auto"/>
          <w:sz w:val="24"/>
          <w:szCs w:val="24"/>
        </w:rPr>
        <w:t>．竞争性磋商响应文件</w:t>
      </w:r>
      <w:bookmarkEnd w:id="25"/>
    </w:p>
    <w:p w14:paraId="1378991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3.1 </w:t>
      </w:r>
      <w:r>
        <w:rPr>
          <w:rFonts w:hint="eastAsia" w:ascii="宋体" w:hAnsi="宋体" w:eastAsia="宋体" w:cs="Arial"/>
          <w:color w:val="auto"/>
          <w:kern w:val="0"/>
          <w:sz w:val="24"/>
          <w:szCs w:val="24"/>
        </w:rPr>
        <w:t>竞争性磋商响应文件的组成</w:t>
      </w:r>
    </w:p>
    <w:p w14:paraId="056A49DA">
      <w:pPr>
        <w:keepLines w:val="0"/>
        <w:pageBreakBefore w:val="0"/>
        <w:kinsoku/>
        <w:wordWrap/>
        <w:overflowPunct/>
        <w:topLinePunct w:val="0"/>
        <w:autoSpaceDE w:val="0"/>
        <w:autoSpaceDN w:val="0"/>
        <w:bidi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.1</w:t>
      </w:r>
      <w:bookmarkStart w:id="26" w:name="_Toc83546621"/>
      <w:bookmarkStart w:id="27" w:name="_Toc19188"/>
      <w:bookmarkStart w:id="28" w:name="_Toc136609705"/>
      <w:bookmarkStart w:id="29" w:name="_Toc21563"/>
      <w:r>
        <w:rPr>
          <w:rFonts w:ascii="宋体" w:hAnsi="宋体" w:cs="宋体"/>
          <w:b/>
          <w:color w:val="auto"/>
          <w:kern w:val="0"/>
          <w:sz w:val="24"/>
          <w:szCs w:val="24"/>
        </w:rPr>
        <w:t>.</w:t>
      </w:r>
      <w:r>
        <w:rPr>
          <w:rFonts w:hint="eastAsia" w:ascii="宋体" w:hAnsi="宋体" w:cs="宋体"/>
          <w:b/>
          <w:color w:val="auto"/>
          <w:kern w:val="0"/>
          <w:sz w:val="24"/>
          <w:szCs w:val="24"/>
        </w:rPr>
        <w:t>1（第一部分）资格响应文件</w:t>
      </w:r>
      <w:bookmarkEnd w:id="26"/>
      <w:bookmarkEnd w:id="27"/>
      <w:bookmarkEnd w:id="28"/>
      <w:bookmarkEnd w:id="29"/>
    </w:p>
    <w:p w14:paraId="2837BFBF">
      <w:pPr>
        <w:keepLines w:val="0"/>
        <w:pageBreakBefore w:val="0"/>
        <w:kinsoku/>
        <w:wordWrap/>
        <w:overflowPunct/>
        <w:topLinePunct w:val="0"/>
        <w:bidi w:val="0"/>
        <w:spacing w:line="360" w:lineRule="auto"/>
        <w:ind w:firstLine="480"/>
        <w:rPr>
          <w:rFonts w:cs="仿宋" w:asciiTheme="minorEastAsia" w:hAnsiTheme="minorEastAsia"/>
          <w:color w:val="auto"/>
          <w:sz w:val="24"/>
          <w:szCs w:val="24"/>
        </w:rPr>
      </w:pPr>
      <w:r>
        <w:rPr>
          <w:rFonts w:hint="eastAsia" w:cs="仿宋" w:asciiTheme="minorEastAsia" w:hAnsiTheme="minorEastAsia"/>
          <w:color w:val="auto"/>
          <w:sz w:val="24"/>
          <w:szCs w:val="24"/>
        </w:rPr>
        <w:t>（1）</w:t>
      </w:r>
      <w:r>
        <w:rPr>
          <w:rFonts w:hint="eastAsia" w:ascii="宋体" w:hAnsi="宋体" w:cs="宋体"/>
          <w:color w:val="auto"/>
          <w:kern w:val="0"/>
          <w:sz w:val="24"/>
          <w:szCs w:val="24"/>
        </w:rPr>
        <w:t>关于资格的声明函；</w:t>
      </w:r>
      <w:r>
        <w:rPr>
          <w:rFonts w:cs="仿宋" w:asciiTheme="minorEastAsia" w:hAnsiTheme="minorEastAsia"/>
          <w:color w:val="auto"/>
          <w:sz w:val="24"/>
          <w:szCs w:val="24"/>
        </w:rPr>
        <w:t xml:space="preserve"> </w:t>
      </w:r>
    </w:p>
    <w:p w14:paraId="53408144">
      <w:pPr>
        <w:keepLines w:val="0"/>
        <w:pageBreakBefore w:val="0"/>
        <w:kinsoku/>
        <w:wordWrap/>
        <w:overflowPunct/>
        <w:topLinePunct w:val="0"/>
        <w:bidi w:val="0"/>
        <w:spacing w:line="360" w:lineRule="auto"/>
        <w:ind w:firstLine="480"/>
        <w:rPr>
          <w:rFonts w:cs="仿宋" w:asciiTheme="minorEastAsia" w:hAnsiTheme="minorEastAsia"/>
          <w:color w:val="auto"/>
          <w:sz w:val="24"/>
          <w:szCs w:val="24"/>
        </w:rPr>
      </w:pPr>
      <w:r>
        <w:rPr>
          <w:rFonts w:hint="eastAsia" w:cs="仿宋" w:asciiTheme="minorEastAsia" w:hAnsiTheme="minorEastAsia"/>
          <w:color w:val="auto"/>
          <w:sz w:val="24"/>
          <w:szCs w:val="24"/>
        </w:rPr>
        <w:t>（2）提供法定代表人身份证明及法定代表人授权委托书；</w:t>
      </w:r>
    </w:p>
    <w:p w14:paraId="52043F7D">
      <w:pPr>
        <w:keepLines w:val="0"/>
        <w:pageBreakBefore w:val="0"/>
        <w:kinsoku/>
        <w:wordWrap/>
        <w:overflowPunct/>
        <w:topLinePunct w:val="0"/>
        <w:bidi w:val="0"/>
        <w:spacing w:line="360" w:lineRule="auto"/>
        <w:ind w:firstLine="480"/>
        <w:rPr>
          <w:rFonts w:ascii="宋体" w:hAnsi="宋体" w:cs="宋体"/>
          <w:color w:val="auto"/>
          <w:kern w:val="0"/>
          <w:sz w:val="24"/>
          <w:szCs w:val="24"/>
        </w:rPr>
      </w:pPr>
      <w:r>
        <w:rPr>
          <w:rFonts w:hint="eastAsia" w:cs="仿宋" w:asciiTheme="minorEastAsia" w:hAnsiTheme="minorEastAsia"/>
          <w:color w:val="auto"/>
          <w:sz w:val="24"/>
          <w:szCs w:val="24"/>
        </w:rPr>
        <w:t>（3）</w:t>
      </w:r>
      <w:r>
        <w:rPr>
          <w:rFonts w:hint="eastAsia" w:ascii="宋体" w:hAnsi="宋体" w:cs="宋体"/>
          <w:color w:val="auto"/>
          <w:kern w:val="0"/>
          <w:sz w:val="24"/>
          <w:szCs w:val="24"/>
        </w:rPr>
        <w:t>磋商保证金提交证明；</w:t>
      </w:r>
    </w:p>
    <w:p w14:paraId="50804BC3">
      <w:pPr>
        <w:keepLines w:val="0"/>
        <w:pageBreakBefore w:val="0"/>
        <w:kinsoku/>
        <w:wordWrap/>
        <w:overflowPunct/>
        <w:topLinePunct w:val="0"/>
        <w:autoSpaceDE w:val="0"/>
        <w:autoSpaceDN w:val="0"/>
        <w:bidi w:val="0"/>
        <w:adjustRightInd w:val="0"/>
        <w:spacing w:line="360" w:lineRule="auto"/>
        <w:ind w:firstLine="480" w:firstLineChars="200"/>
        <w:jc w:val="left"/>
        <w:rPr>
          <w:rFonts w:hint="eastAsia" w:ascii="宋体" w:hAnsi="宋体" w:cs="宋体" w:eastAsiaTheme="minorEastAsia"/>
          <w:color w:val="auto"/>
          <w:kern w:val="0"/>
          <w:sz w:val="24"/>
          <w:szCs w:val="24"/>
          <w:lang w:eastAsia="zh-CN"/>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）中小微企业证明文件；</w:t>
      </w:r>
      <w:r>
        <w:rPr>
          <w:rFonts w:hint="eastAsia" w:ascii="宋体" w:hAnsi="宋体" w:cs="宋体"/>
          <w:color w:val="auto"/>
          <w:kern w:val="0"/>
          <w:sz w:val="24"/>
          <w:szCs w:val="24"/>
          <w:lang w:eastAsia="zh-CN"/>
        </w:rPr>
        <w:t>（如有）</w:t>
      </w:r>
    </w:p>
    <w:p w14:paraId="7FD38494">
      <w:pPr>
        <w:keepLines w:val="0"/>
        <w:pageBreakBefore w:val="0"/>
        <w:kinsoku/>
        <w:wordWrap/>
        <w:overflowPunct/>
        <w:topLinePunct w:val="0"/>
        <w:bidi w:val="0"/>
        <w:spacing w:line="360" w:lineRule="auto"/>
        <w:ind w:firstLine="480"/>
        <w:rPr>
          <w:rFonts w:ascii="宋体" w:hAnsi="宋体" w:cs="宋体"/>
          <w:color w:val="auto"/>
          <w:kern w:val="0"/>
          <w:sz w:val="24"/>
          <w:szCs w:val="24"/>
        </w:rPr>
      </w:pP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）供应商满足</w:t>
      </w:r>
      <w:r>
        <w:rPr>
          <w:rFonts w:ascii="宋体" w:hAnsi="宋体" w:cs="宋体"/>
          <w:color w:val="auto"/>
          <w:kern w:val="0"/>
          <w:sz w:val="24"/>
          <w:szCs w:val="24"/>
        </w:rPr>
        <w:t>《中华人民共和国政府采购法》第二十二条规定</w:t>
      </w:r>
      <w:r>
        <w:rPr>
          <w:rFonts w:hint="eastAsia" w:ascii="宋体" w:hAnsi="宋体" w:cs="宋体"/>
          <w:color w:val="auto"/>
          <w:kern w:val="0"/>
          <w:sz w:val="24"/>
          <w:szCs w:val="24"/>
        </w:rPr>
        <w:t>所具备证明材料</w:t>
      </w:r>
      <w:r>
        <w:rPr>
          <w:rFonts w:ascii="宋体" w:hAnsi="宋体" w:cs="宋体"/>
          <w:color w:val="auto"/>
          <w:kern w:val="0"/>
          <w:sz w:val="24"/>
          <w:szCs w:val="24"/>
        </w:rPr>
        <w:t>；</w:t>
      </w:r>
    </w:p>
    <w:p w14:paraId="226D987F">
      <w:pPr>
        <w:keepLines w:val="0"/>
        <w:pageBreakBefore w:val="0"/>
        <w:kinsoku/>
        <w:wordWrap/>
        <w:overflowPunct/>
        <w:topLinePunct w:val="0"/>
        <w:autoSpaceDE w:val="0"/>
        <w:autoSpaceDN w:val="0"/>
        <w:bidi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.1.</w:t>
      </w:r>
      <w:r>
        <w:rPr>
          <w:rFonts w:hint="eastAsia" w:ascii="宋体" w:hAnsi="宋体" w:cs="宋体"/>
          <w:b/>
          <w:color w:val="auto"/>
          <w:kern w:val="0"/>
          <w:sz w:val="24"/>
          <w:szCs w:val="24"/>
        </w:rPr>
        <w:t>2（第二部分）报价要求响应文件</w:t>
      </w:r>
    </w:p>
    <w:p w14:paraId="346E7E08">
      <w:pPr>
        <w:keepLines w:val="0"/>
        <w:pageBreakBefore w:val="0"/>
        <w:kinsoku/>
        <w:wordWrap/>
        <w:overflowPunct/>
        <w:topLinePunct w:val="0"/>
        <w:autoSpaceDE w:val="0"/>
        <w:autoSpaceDN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（1）开标一览表</w:t>
      </w:r>
    </w:p>
    <w:p w14:paraId="3FF97F31">
      <w:pPr>
        <w:keepLines w:val="0"/>
        <w:pageBreakBefore w:val="0"/>
        <w:kinsoku/>
        <w:wordWrap/>
        <w:overflowPunct/>
        <w:topLinePunct w:val="0"/>
        <w:autoSpaceDE w:val="0"/>
        <w:autoSpaceDN w:val="0"/>
        <w:bidi w:val="0"/>
        <w:spacing w:line="360" w:lineRule="auto"/>
        <w:ind w:firstLine="482" w:firstLineChars="200"/>
        <w:jc w:val="left"/>
        <w:rPr>
          <w:rFonts w:ascii="宋体" w:hAnsi="宋体" w:cs="宋体"/>
          <w:b/>
          <w:color w:val="auto"/>
          <w:kern w:val="0"/>
          <w:sz w:val="24"/>
          <w:szCs w:val="24"/>
        </w:rPr>
      </w:pPr>
      <w:r>
        <w:rPr>
          <w:rFonts w:hint="eastAsia" w:ascii="宋体" w:hAnsi="宋体" w:cs="宋体"/>
          <w:b/>
          <w:color w:val="auto"/>
          <w:kern w:val="0"/>
          <w:sz w:val="24"/>
          <w:szCs w:val="24"/>
        </w:rPr>
        <w:t>3</w:t>
      </w:r>
      <w:r>
        <w:rPr>
          <w:rFonts w:ascii="宋体" w:hAnsi="宋体" w:cs="宋体"/>
          <w:b/>
          <w:color w:val="auto"/>
          <w:kern w:val="0"/>
          <w:sz w:val="24"/>
          <w:szCs w:val="24"/>
        </w:rPr>
        <w:t>.1.</w:t>
      </w:r>
      <w:r>
        <w:rPr>
          <w:rFonts w:hint="eastAsia" w:ascii="宋体" w:hAnsi="宋体" w:cs="宋体"/>
          <w:b/>
          <w:color w:val="auto"/>
          <w:kern w:val="0"/>
          <w:sz w:val="24"/>
          <w:szCs w:val="24"/>
        </w:rPr>
        <w:t>3（第三部分）商务技术响应文件</w:t>
      </w:r>
    </w:p>
    <w:p w14:paraId="172C2202">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（1）投标函；</w:t>
      </w:r>
    </w:p>
    <w:p w14:paraId="539F6C18">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（2）偏离表；</w:t>
      </w:r>
    </w:p>
    <w:p w14:paraId="611DC695">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（3）近三年内已完成的类似项目业绩；</w:t>
      </w:r>
    </w:p>
    <w:p w14:paraId="46F8F39F">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（4）项目整体服务方案； </w:t>
      </w:r>
    </w:p>
    <w:p w14:paraId="597428C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（5）服务承诺书；</w:t>
      </w:r>
    </w:p>
    <w:p w14:paraId="6C10A660">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（6）其他有利资料；</w:t>
      </w:r>
    </w:p>
    <w:p w14:paraId="3F7AD2C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（7）供应商反商业贿赂承诺书。</w:t>
      </w:r>
    </w:p>
    <w:p w14:paraId="2C42F836">
      <w:pPr>
        <w:keepLines w:val="0"/>
        <w:pageBreakBefore w:val="0"/>
        <w:kinsoku/>
        <w:wordWrap/>
        <w:overflowPunct/>
        <w:topLinePunct w:val="0"/>
        <w:autoSpaceDE w:val="0"/>
        <w:autoSpaceDN w:val="0"/>
        <w:bidi w:val="0"/>
        <w:spacing w:line="360" w:lineRule="auto"/>
        <w:ind w:firstLine="480" w:firstLineChars="200"/>
        <w:jc w:val="left"/>
        <w:rPr>
          <w:rFonts w:ascii="宋体" w:hAnsi="宋体" w:eastAsia="宋体" w:cs="Times New Roman"/>
          <w:bCs/>
          <w:color w:val="auto"/>
          <w:sz w:val="24"/>
          <w:szCs w:val="24"/>
        </w:rPr>
      </w:pPr>
      <w:r>
        <w:rPr>
          <w:rFonts w:hint="eastAsia" w:ascii="宋体" w:hAnsi="宋体" w:eastAsia="宋体" w:cs="Times New Roman"/>
          <w:bCs/>
          <w:color w:val="auto"/>
          <w:sz w:val="24"/>
          <w:szCs w:val="24"/>
        </w:rPr>
        <w:t xml:space="preserve"> </w:t>
      </w:r>
      <w:r>
        <w:rPr>
          <w:rFonts w:hint="eastAsia" w:ascii="宋体" w:hAnsi="宋体" w:eastAsia="宋体" w:cs="宋体"/>
          <w:color w:val="auto"/>
          <w:kern w:val="0"/>
          <w:sz w:val="24"/>
          <w:szCs w:val="24"/>
        </w:rPr>
        <w:t>响应</w:t>
      </w:r>
      <w:r>
        <w:rPr>
          <w:rFonts w:hint="eastAsia" w:ascii="宋体" w:hAnsi="宋体" w:cs="宋体"/>
          <w:color w:val="auto"/>
          <w:kern w:val="0"/>
          <w:sz w:val="24"/>
          <w:szCs w:val="24"/>
        </w:rPr>
        <w:t>文件包括但不仅限于上述内容，如有不足，请自行补充提供。所有资格证明文件必须满足采购文件的要求，否则将导致投标被否决。</w:t>
      </w:r>
      <w:r>
        <w:rPr>
          <w:rFonts w:ascii="宋体" w:hAnsi="宋体" w:cs="宋体"/>
          <w:color w:val="auto"/>
          <w:kern w:val="0"/>
          <w:sz w:val="24"/>
          <w:szCs w:val="24"/>
        </w:rPr>
        <w:t xml:space="preserve"> </w:t>
      </w:r>
    </w:p>
    <w:p w14:paraId="0BFA365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 </w:t>
      </w:r>
      <w:r>
        <w:rPr>
          <w:rFonts w:hint="eastAsia" w:ascii="宋体" w:hAnsi="宋体" w:eastAsia="宋体" w:cs="Arial"/>
          <w:color w:val="auto"/>
          <w:kern w:val="0"/>
          <w:sz w:val="24"/>
          <w:szCs w:val="24"/>
        </w:rPr>
        <w:t>投标价格</w:t>
      </w:r>
    </w:p>
    <w:p w14:paraId="01B5F45F">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2.1供应商应在投标报价表中标明其提供的所有服务及其完成本项目相关工作范围内所有费用的总价，采购人不接受有任何选择性报价。供应商漏报的单价或单价中漏报、少报的费用，均视为此项费用已隐含在其他报价中，成交后不予调整。</w:t>
      </w:r>
    </w:p>
    <w:p w14:paraId="64C4082C">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2.2其报价须保证在投标有效期及交付期内固定不变。采购人不接受有任何选择性报价。</w:t>
      </w:r>
    </w:p>
    <w:p w14:paraId="0532CBA5">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2.3为了防止本次采购的投标报价过高，超出采购人为本次采购项目的资金支付能力，采购人依据主管部门的批复为本次采购项目的设定了最高投标限价（即采购预算），如果供应商的投标报价高于本项目的最高投标限价，其响应文件将被拒绝；如果所有供应商的投标报价均超出最高投标限价，采购人有权重新组织采购。</w:t>
      </w:r>
    </w:p>
    <w:p w14:paraId="54D4BC11">
      <w:pPr>
        <w:keepLines w:val="0"/>
        <w:pageBreakBefore w:val="0"/>
        <w:widowControl/>
        <w:shd w:val="clear" w:color="auto" w:fill="FFFFFF"/>
        <w:kinsoku/>
        <w:wordWrap/>
        <w:overflowPunct/>
        <w:topLinePunct w:val="0"/>
        <w:bidi w:val="0"/>
        <w:snapToGrid w:val="0"/>
        <w:spacing w:line="360" w:lineRule="auto"/>
        <w:ind w:firstLine="482" w:firstLineChars="200"/>
        <w:rPr>
          <w:rFonts w:cs="Arial" w:asciiTheme="minorEastAsia" w:hAnsiTheme="minorEastAsia"/>
          <w:b/>
          <w:color w:val="auto"/>
          <w:kern w:val="0"/>
          <w:sz w:val="24"/>
          <w:szCs w:val="24"/>
        </w:rPr>
      </w:pPr>
      <w:r>
        <w:rPr>
          <w:rFonts w:cs="Arial" w:asciiTheme="minorEastAsia" w:hAnsiTheme="minorEastAsia"/>
          <w:b/>
          <w:color w:val="auto"/>
          <w:kern w:val="0"/>
          <w:sz w:val="24"/>
          <w:szCs w:val="24"/>
        </w:rPr>
        <w:t>3.</w:t>
      </w:r>
      <w:r>
        <w:rPr>
          <w:rFonts w:hint="eastAsia" w:cs="Arial" w:asciiTheme="minorEastAsia" w:hAnsiTheme="minorEastAsia"/>
          <w:b/>
          <w:color w:val="auto"/>
          <w:kern w:val="0"/>
          <w:sz w:val="24"/>
          <w:szCs w:val="24"/>
        </w:rPr>
        <w:t>2.4 磋商结束后，磋商小组可根据磋商情况，要求供应商进行第二次报价或多轮报价，并确定最终报价。最终报价是响应文件的有效组成部分。</w:t>
      </w:r>
    </w:p>
    <w:p w14:paraId="294D5BCB">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2.5 参与竞争性磋商项目供应商，开标结束后，请及时进入“网上报价”页面（详见操作手册），等待最终报价通知。如未在系统提示的报价时限内报价，则视为上一轮报价为最终报价。</w:t>
      </w:r>
    </w:p>
    <w:p w14:paraId="646BA419">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2.6投标报价货币单位：人民币。</w:t>
      </w:r>
    </w:p>
    <w:p w14:paraId="76749629">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3.</w:t>
      </w:r>
      <w:r>
        <w:rPr>
          <w:rFonts w:hint="eastAsia" w:cs="Arial" w:asciiTheme="minorEastAsia" w:hAnsiTheme="minorEastAsia"/>
          <w:color w:val="auto"/>
          <w:kern w:val="0"/>
          <w:sz w:val="24"/>
          <w:szCs w:val="24"/>
        </w:rPr>
        <w:t>2</w:t>
      </w:r>
      <w:r>
        <w:rPr>
          <w:rFonts w:cs="Arial" w:asciiTheme="minorEastAsia" w:hAnsiTheme="minorEastAsia"/>
          <w:color w:val="auto"/>
          <w:kern w:val="0"/>
          <w:sz w:val="24"/>
          <w:szCs w:val="24"/>
        </w:rPr>
        <w:t>.</w:t>
      </w:r>
      <w:r>
        <w:rPr>
          <w:rFonts w:hint="eastAsia" w:cs="Arial" w:asciiTheme="minorEastAsia" w:hAnsiTheme="minorEastAsia"/>
          <w:color w:val="auto"/>
          <w:kern w:val="0"/>
          <w:sz w:val="24"/>
          <w:szCs w:val="24"/>
        </w:rPr>
        <w:t>7</w:t>
      </w:r>
      <w:r>
        <w:rPr>
          <w:rFonts w:cs="Arial" w:asciiTheme="minorEastAsia" w:hAnsiTheme="minorEastAsia"/>
          <w:color w:val="auto"/>
          <w:kern w:val="0"/>
          <w:sz w:val="24"/>
          <w:szCs w:val="24"/>
        </w:rPr>
        <w:t xml:space="preserve"> </w:t>
      </w:r>
      <w:r>
        <w:rPr>
          <w:rFonts w:hint="eastAsia" w:cs="Arial" w:asciiTheme="minorEastAsia" w:hAnsiTheme="minorEastAsia"/>
          <w:color w:val="auto"/>
          <w:kern w:val="0"/>
          <w:sz w:val="24"/>
          <w:szCs w:val="24"/>
        </w:rPr>
        <w:t>供应商的投标价格不能超出本项目采购预算金额。</w:t>
      </w:r>
    </w:p>
    <w:p w14:paraId="7723B1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 </w:t>
      </w:r>
      <w:r>
        <w:rPr>
          <w:rFonts w:hint="eastAsia" w:ascii="宋体" w:hAnsi="宋体" w:eastAsia="宋体" w:cs="Arial"/>
          <w:color w:val="auto"/>
          <w:kern w:val="0"/>
          <w:sz w:val="24"/>
          <w:szCs w:val="24"/>
        </w:rPr>
        <w:t>投标有效期</w:t>
      </w:r>
    </w:p>
    <w:p w14:paraId="45F9537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3.3.1 </w:t>
      </w:r>
      <w:r>
        <w:rPr>
          <w:rFonts w:hint="eastAsia" w:ascii="宋体" w:hAnsi="宋体" w:eastAsia="宋体" w:cs="Arial"/>
          <w:color w:val="auto"/>
          <w:kern w:val="0"/>
          <w:sz w:val="24"/>
          <w:szCs w:val="24"/>
        </w:rPr>
        <w:t>在供应商须知前附表规定的投标有效期内，供应商不得要求撤销或修改其竞争性磋商响应文件。</w:t>
      </w:r>
    </w:p>
    <w:p w14:paraId="3F7162E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3.3.2 </w:t>
      </w:r>
      <w:r>
        <w:rPr>
          <w:rFonts w:hint="eastAsia" w:ascii="宋体" w:hAnsi="宋体" w:eastAsia="宋体" w:cs="Arial"/>
          <w:color w:val="auto"/>
          <w:kern w:val="0"/>
          <w:sz w:val="24"/>
          <w:szCs w:val="24"/>
        </w:rPr>
        <w:t>出现特殊情况需要延长投标有效期的，采购人将通知所有供应商延长投标有效期。供应商同意延长的，应当相应延长其磋商保证金的有效期，但不得要求或被允许修改或撤销其竞争性磋商响应文件；供应商拒绝延长的，其投标失效，但供应商有权收回其磋商保证金。</w:t>
      </w:r>
    </w:p>
    <w:p w14:paraId="2F0E6AD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3.3.3 </w:t>
      </w:r>
      <w:r>
        <w:rPr>
          <w:rFonts w:hint="eastAsia" w:ascii="宋体" w:hAnsi="宋体" w:eastAsia="宋体" w:cs="Arial"/>
          <w:color w:val="auto"/>
          <w:kern w:val="0"/>
          <w:sz w:val="24"/>
          <w:szCs w:val="24"/>
        </w:rPr>
        <w:t>磋商保证金的有效期与投标有效期一致。</w:t>
      </w:r>
    </w:p>
    <w:p w14:paraId="7C9C8A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3.4 </w:t>
      </w:r>
      <w:r>
        <w:rPr>
          <w:rFonts w:hint="eastAsia" w:ascii="宋体" w:hAnsi="宋体" w:eastAsia="宋体" w:cs="Arial"/>
          <w:color w:val="auto"/>
          <w:kern w:val="0"/>
          <w:sz w:val="24"/>
          <w:szCs w:val="24"/>
        </w:rPr>
        <w:t>磋商保证金</w:t>
      </w:r>
    </w:p>
    <w:p w14:paraId="2865ACF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3.4.1 </w:t>
      </w:r>
      <w:r>
        <w:rPr>
          <w:rFonts w:hint="eastAsia" w:ascii="宋体" w:hAnsi="宋体" w:eastAsia="宋体" w:cs="Arial"/>
          <w:color w:val="auto"/>
          <w:kern w:val="0"/>
          <w:sz w:val="24"/>
          <w:szCs w:val="24"/>
        </w:rPr>
        <w:t>供应商应于投标截止时间前按供应商须知前附表规定数额提交磋商保证金。未提交磋商保证金的，将被视为非响应性投标而予以拒绝。</w:t>
      </w:r>
    </w:p>
    <w:p w14:paraId="74540355">
      <w:pPr>
        <w:keepLines w:val="0"/>
        <w:pageBreakBefore w:val="0"/>
        <w:shd w:val="clear" w:color="auto" w:fill="FFFFFF"/>
        <w:kinsoku/>
        <w:wordWrap/>
        <w:overflowPunct/>
        <w:topLinePunct w:val="0"/>
        <w:bidi w:val="0"/>
        <w:snapToGrid w:val="0"/>
        <w:spacing w:line="360" w:lineRule="auto"/>
        <w:ind w:firstLine="360" w:firstLineChars="150"/>
        <w:rPr>
          <w:rFonts w:ascii="宋体" w:hAnsi="Calibri" w:eastAsia="宋体" w:cs="Arial"/>
          <w:color w:val="auto"/>
          <w:kern w:val="0"/>
          <w:sz w:val="24"/>
          <w:szCs w:val="24"/>
        </w:rPr>
      </w:pP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3.4.2</w:t>
      </w:r>
      <w:r>
        <w:rPr>
          <w:rFonts w:hint="eastAsia" w:ascii="宋体" w:hAnsi="宋体" w:eastAsia="宋体" w:cs="Arial"/>
          <w:color w:val="auto"/>
          <w:kern w:val="0"/>
          <w:sz w:val="24"/>
          <w:szCs w:val="24"/>
        </w:rPr>
        <w:t>磋商保证金是为了保护采购人免遭因供应商的行为而蒙受损失。采购人在因供应商的行为受到损害时可根据相关法律规定没收供应商的磋商保证金。</w:t>
      </w:r>
    </w:p>
    <w:p w14:paraId="533BA1F1">
      <w:pPr>
        <w:keepLines w:val="0"/>
        <w:pageBreakBefore w:val="0"/>
        <w:kinsoku/>
        <w:wordWrap/>
        <w:overflowPunct/>
        <w:topLinePunct w:val="0"/>
        <w:autoSpaceDE w:val="0"/>
        <w:autoSpaceDN w:val="0"/>
        <w:bidi w:val="0"/>
        <w:adjustRightInd w:val="0"/>
        <w:spacing w:line="360" w:lineRule="auto"/>
        <w:jc w:val="left"/>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3.4.</w:t>
      </w:r>
      <w:r>
        <w:rPr>
          <w:rFonts w:hint="eastAsia" w:ascii="宋体" w:hAnsi="宋体" w:eastAsia="宋体" w:cs="Arial"/>
          <w:color w:val="auto"/>
          <w:kern w:val="0"/>
          <w:sz w:val="24"/>
          <w:szCs w:val="24"/>
        </w:rPr>
        <w:t>3 供应商在响应文件递交截止时间前撤回已提交的响应文件的，采购人或者采购代理机构应当自收到供应商书面撤回通知之日起</w:t>
      </w:r>
      <w:r>
        <w:rPr>
          <w:rFonts w:ascii="宋体" w:hAnsi="宋体" w:eastAsia="宋体" w:cs="Arial"/>
          <w:color w:val="auto"/>
          <w:kern w:val="0"/>
          <w:sz w:val="24"/>
          <w:szCs w:val="24"/>
        </w:rPr>
        <w:t>5</w:t>
      </w:r>
      <w:r>
        <w:rPr>
          <w:rFonts w:hint="eastAsia" w:ascii="宋体" w:hAnsi="宋体" w:eastAsia="宋体" w:cs="Arial"/>
          <w:color w:val="auto"/>
          <w:kern w:val="0"/>
          <w:sz w:val="24"/>
          <w:szCs w:val="24"/>
        </w:rPr>
        <w:t>个工作日内，退还已收取的磋商保证金，但因供应商自身原因导致无法及时退还的除外。采购人或者采购代理机构应当自成交通知书发出之日起</w:t>
      </w:r>
      <w:r>
        <w:rPr>
          <w:rFonts w:ascii="宋体" w:hAnsi="宋体" w:eastAsia="宋体" w:cs="Arial"/>
          <w:color w:val="auto"/>
          <w:kern w:val="0"/>
          <w:sz w:val="24"/>
          <w:szCs w:val="24"/>
        </w:rPr>
        <w:t>5</w:t>
      </w:r>
      <w:r>
        <w:rPr>
          <w:rFonts w:hint="eastAsia" w:ascii="宋体" w:hAnsi="宋体" w:eastAsia="宋体" w:cs="Arial"/>
          <w:color w:val="auto"/>
          <w:kern w:val="0"/>
          <w:sz w:val="24"/>
          <w:szCs w:val="24"/>
        </w:rPr>
        <w:t>个工作日内退还未成交人的磋商保证金，自采购合同签订之日起</w:t>
      </w:r>
      <w:r>
        <w:rPr>
          <w:rFonts w:ascii="宋体" w:hAnsi="宋体" w:eastAsia="宋体" w:cs="Arial"/>
          <w:color w:val="auto"/>
          <w:kern w:val="0"/>
          <w:sz w:val="24"/>
          <w:szCs w:val="24"/>
        </w:rPr>
        <w:t>5</w:t>
      </w:r>
      <w:r>
        <w:rPr>
          <w:rFonts w:hint="eastAsia" w:ascii="宋体" w:hAnsi="宋体" w:eastAsia="宋体" w:cs="Arial"/>
          <w:color w:val="auto"/>
          <w:kern w:val="0"/>
          <w:sz w:val="24"/>
          <w:szCs w:val="24"/>
        </w:rPr>
        <w:t>个工作日内退还成交人的磋商保证金。</w:t>
      </w:r>
    </w:p>
    <w:p w14:paraId="1A37C79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3.4.</w:t>
      </w:r>
      <w:r>
        <w:rPr>
          <w:rFonts w:hint="eastAsia" w:ascii="宋体" w:hAnsi="宋体" w:eastAsia="宋体" w:cs="Arial"/>
          <w:color w:val="auto"/>
          <w:kern w:val="0"/>
          <w:sz w:val="24"/>
          <w:szCs w:val="24"/>
        </w:rPr>
        <w:t>4磋商保证金有效期与投标有效期一致。</w:t>
      </w:r>
    </w:p>
    <w:p w14:paraId="12AB876F">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3.4.</w:t>
      </w:r>
      <w:r>
        <w:rPr>
          <w:rFonts w:hint="eastAsia" w:ascii="宋体" w:hAnsi="宋体" w:eastAsia="宋体" w:cs="Arial"/>
          <w:color w:val="auto"/>
          <w:kern w:val="0"/>
          <w:sz w:val="24"/>
          <w:szCs w:val="24"/>
        </w:rPr>
        <w:t>5有下列情形之一的，磋商保证金不予退还：</w:t>
      </w:r>
    </w:p>
    <w:p w14:paraId="6E9DE24B">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（1）供应商在提交响应文件截止时间后撤回响应文件的；</w:t>
      </w:r>
    </w:p>
    <w:p w14:paraId="0B3AD4FF">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（2）供应商在响应文件中提供虚假材料的；</w:t>
      </w:r>
    </w:p>
    <w:p w14:paraId="64CF965A">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（3）除因不可抗力或磋商文件认可的情形以外，成交供应商不与采购人签订合同的；</w:t>
      </w:r>
    </w:p>
    <w:p w14:paraId="1A65360C">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（4）供应商与采购人、其他供应商或者采购代理机构恶意串通的；</w:t>
      </w:r>
    </w:p>
    <w:p w14:paraId="5BEC2FA4">
      <w:pPr>
        <w:keepLines w:val="0"/>
        <w:pageBreakBefore w:val="0"/>
        <w:kinsoku/>
        <w:wordWrap/>
        <w:overflowPunct/>
        <w:topLinePunct w:val="0"/>
        <w:bidi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（5）未按竞争性磋商文件规定提交履约保证金的。</w:t>
      </w:r>
    </w:p>
    <w:p w14:paraId="0E4759C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3.5 </w:t>
      </w:r>
      <w:r>
        <w:rPr>
          <w:rFonts w:hint="eastAsia" w:ascii="宋体" w:hAnsi="宋体" w:eastAsia="宋体" w:cs="Arial"/>
          <w:color w:val="auto"/>
          <w:kern w:val="0"/>
          <w:sz w:val="24"/>
          <w:szCs w:val="24"/>
        </w:rPr>
        <w:t>竞争性磋商响应文件的编制</w:t>
      </w:r>
    </w:p>
    <w:p w14:paraId="2CA3508D">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hint="eastAsia" w:ascii="宋体" w:hAnsi="宋体" w:eastAsia="宋体" w:cs="Arial"/>
          <w:color w:val="auto"/>
          <w:kern w:val="0"/>
          <w:sz w:val="24"/>
          <w:szCs w:val="24"/>
        </w:rPr>
        <w:t>3.5.1电子响应文件使用政采云平台</w:t>
      </w:r>
      <w:r>
        <w:rPr>
          <w:rFonts w:hint="eastAsia" w:cs="Arial" w:asciiTheme="minorEastAsia" w:hAnsiTheme="minorEastAsia"/>
          <w:color w:val="auto"/>
          <w:kern w:val="0"/>
          <w:sz w:val="24"/>
          <w:szCs w:val="24"/>
        </w:rPr>
        <w:t>响应文件制作工具以及采购文件要求进行制作编制。响应文件制作时，按照采购文件中明确的响应文件目录和格式进行编制，保证目录清晰、内容完整。</w:t>
      </w:r>
    </w:p>
    <w:p w14:paraId="0B26FEBD">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hint="eastAsia" w:cs="Arial" w:asciiTheme="minorEastAsia" w:hAnsiTheme="minorEastAsia"/>
          <w:color w:val="auto"/>
          <w:kern w:val="0"/>
          <w:sz w:val="24"/>
          <w:szCs w:val="24"/>
        </w:rPr>
        <w:t>3.5.2电子响应文件须使用供应商电子公章及法定代表人的电子签名。若无电子签章和签名，则视为无效响应。</w:t>
      </w:r>
    </w:p>
    <w:p w14:paraId="0469299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cs="Arial" w:asciiTheme="minorEastAsia" w:hAnsiTheme="minorEastAsia"/>
          <w:color w:val="auto"/>
          <w:kern w:val="0"/>
          <w:sz w:val="24"/>
          <w:szCs w:val="24"/>
        </w:rPr>
        <w:t>3.5.3电子响应文件具有法律效力，与其他形式的响应文件在内容和格式上等同，若响应文件与采购文件要求不一致，其内容影响成交结果时，责任由供应商自行承担。供应商递交的电子响应文件因供应商自身原因而导致无法导入电子辅助评标系统，该响应文件视为无效响应文件，将导致其投标被拒绝。</w:t>
      </w:r>
    </w:p>
    <w:p w14:paraId="025F88C6">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30" w:name="_BookMark_7"/>
      <w:bookmarkEnd w:id="30"/>
      <w:bookmarkStart w:id="31" w:name="_Toc3950"/>
      <w:r>
        <w:rPr>
          <w:rFonts w:ascii="宋体" w:hAnsi="宋体" w:eastAsia="宋体" w:cs="宋体"/>
          <w:b/>
          <w:color w:val="auto"/>
          <w:sz w:val="24"/>
          <w:szCs w:val="24"/>
        </w:rPr>
        <w:t>4</w:t>
      </w:r>
      <w:r>
        <w:rPr>
          <w:rFonts w:hint="eastAsia" w:ascii="宋体" w:hAnsi="宋体" w:eastAsia="宋体" w:cs="宋体"/>
          <w:b/>
          <w:color w:val="auto"/>
          <w:sz w:val="24"/>
          <w:szCs w:val="24"/>
        </w:rPr>
        <w:t>．投标</w:t>
      </w:r>
      <w:bookmarkEnd w:id="31"/>
    </w:p>
    <w:p w14:paraId="19BC584C">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4.1 </w:t>
      </w:r>
      <w:r>
        <w:rPr>
          <w:rFonts w:hint="eastAsia" w:cs="Arial" w:asciiTheme="minorEastAsia" w:hAnsiTheme="minorEastAsia"/>
          <w:color w:val="auto"/>
          <w:kern w:val="0"/>
          <w:sz w:val="24"/>
          <w:szCs w:val="24"/>
        </w:rPr>
        <w:t>响应文件的密封</w:t>
      </w:r>
    </w:p>
    <w:p w14:paraId="6F3915BB">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4.1.1</w:t>
      </w:r>
      <w:r>
        <w:rPr>
          <w:rFonts w:hint="eastAsia" w:cs="Arial" w:asciiTheme="minorEastAsia" w:hAnsiTheme="minorEastAsia"/>
          <w:color w:val="auto"/>
          <w:kern w:val="0"/>
          <w:sz w:val="24"/>
          <w:szCs w:val="24"/>
        </w:rPr>
        <w:t>、</w:t>
      </w:r>
      <w:r>
        <w:rPr>
          <w:rFonts w:hint="eastAsia" w:asciiTheme="minorEastAsia" w:hAnsiTheme="minorEastAsia"/>
          <w:color w:val="auto"/>
          <w:kern w:val="0"/>
          <w:sz w:val="24"/>
          <w:szCs w:val="24"/>
        </w:rPr>
        <w:t>响应文件的密封：</w:t>
      </w:r>
      <w:r>
        <w:rPr>
          <w:rFonts w:hint="eastAsia" w:cs="Arial" w:asciiTheme="minorEastAsia" w:hAnsiTheme="minorEastAsia"/>
          <w:color w:val="auto"/>
          <w:kern w:val="0"/>
          <w:sz w:val="24"/>
          <w:szCs w:val="24"/>
        </w:rPr>
        <w:t>加密的电子响应文件（.jmbs格式）加密的电子响应文件（.jmbs格式）应在响应文件递交截止时间前通过政采云平台上传完成。</w:t>
      </w:r>
    </w:p>
    <w:p w14:paraId="264D7762">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cs="Arial" w:asciiTheme="minorEastAsia" w:hAnsiTheme="minorEastAsia"/>
          <w:color w:val="auto"/>
          <w:kern w:val="0"/>
          <w:sz w:val="24"/>
          <w:szCs w:val="24"/>
        </w:rPr>
        <w:t xml:space="preserve">4.2 </w:t>
      </w:r>
      <w:r>
        <w:rPr>
          <w:rFonts w:hint="eastAsia" w:cs="Arial" w:asciiTheme="minorEastAsia" w:hAnsiTheme="minorEastAsia"/>
          <w:color w:val="auto"/>
          <w:kern w:val="0"/>
          <w:sz w:val="24"/>
          <w:szCs w:val="24"/>
        </w:rPr>
        <w:t>响应文件的递交</w:t>
      </w:r>
    </w:p>
    <w:p w14:paraId="3EA38E04">
      <w:pPr>
        <w:keepLines w:val="0"/>
        <w:pageBreakBefore w:val="0"/>
        <w:kinsoku/>
        <w:wordWrap/>
        <w:overflowPunct/>
        <w:topLinePunct w:val="0"/>
        <w:autoSpaceDE w:val="0"/>
        <w:autoSpaceDN w:val="0"/>
        <w:bidi w:val="0"/>
        <w:spacing w:line="360" w:lineRule="auto"/>
        <w:ind w:firstLine="480" w:firstLineChars="200"/>
        <w:jc w:val="left"/>
        <w:rPr>
          <w:rFonts w:asciiTheme="minorEastAsia" w:hAnsiTheme="minorEastAsia"/>
          <w:bCs/>
          <w:color w:val="auto"/>
          <w:kern w:val="0"/>
          <w:sz w:val="24"/>
          <w:szCs w:val="24"/>
        </w:rPr>
      </w:pPr>
      <w:bookmarkStart w:id="32" w:name="_Hlk18820306"/>
      <w:bookmarkStart w:id="33" w:name="_Hlk22461103"/>
      <w:bookmarkStart w:id="34" w:name="_Hlk23651230"/>
      <w:bookmarkStart w:id="35" w:name="_Hlk22461104"/>
      <w:bookmarkStart w:id="36" w:name="_Hlk57105548"/>
      <w:bookmarkStart w:id="37" w:name="_Hlk23746210"/>
      <w:bookmarkStart w:id="38" w:name="_Hlk23651229"/>
      <w:bookmarkStart w:id="39" w:name="_Hlk22461105"/>
      <w:bookmarkStart w:id="40" w:name="_Hlk57105549"/>
      <w:bookmarkStart w:id="41" w:name="_Hlk23651228"/>
      <w:bookmarkStart w:id="42" w:name="_Hlk18820304"/>
      <w:bookmarkStart w:id="43" w:name="_Hlk18820305"/>
      <w:bookmarkStart w:id="44" w:name="_Hlk23746208"/>
      <w:bookmarkStart w:id="45" w:name="_Hlk57105547"/>
      <w:bookmarkStart w:id="46" w:name="_Hlk23746209"/>
      <w:r>
        <w:rPr>
          <w:rFonts w:cs="Arial" w:asciiTheme="minorEastAsia" w:hAnsiTheme="minorEastAsia"/>
          <w:color w:val="auto"/>
          <w:kern w:val="0"/>
          <w:sz w:val="24"/>
          <w:szCs w:val="24"/>
        </w:rPr>
        <w:t>4.2.1</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eastAsia" w:cs="Arial" w:asciiTheme="minorEastAsia" w:hAnsiTheme="minorEastAsia"/>
          <w:color w:val="auto"/>
          <w:kern w:val="0"/>
          <w:sz w:val="24"/>
          <w:szCs w:val="24"/>
        </w:rPr>
        <w:t>、</w:t>
      </w:r>
      <w:r>
        <w:rPr>
          <w:rFonts w:hint="eastAsia" w:asciiTheme="minorEastAsia" w:hAnsiTheme="minorEastAsia"/>
          <w:bCs/>
          <w:color w:val="auto"/>
          <w:kern w:val="0"/>
          <w:sz w:val="24"/>
          <w:szCs w:val="24"/>
        </w:rPr>
        <w:t>“电子加密响应文件”的递交截止时间及地点为采购公告所规定的时间、地点，供应商将“电子加密响应文件”成功上传递交后，供应商可自行打印响应文件接收回执。任何单位和个人不得在开标前开启响应文件。逾期递交的响应文件，采购人、采购代理机构将予以拒收。</w:t>
      </w:r>
    </w:p>
    <w:p w14:paraId="2D6B366A">
      <w:pPr>
        <w:keepLines w:val="0"/>
        <w:pageBreakBefore w:val="0"/>
        <w:widowControl/>
        <w:shd w:val="clear" w:color="auto" w:fill="FFFFFF"/>
        <w:kinsoku/>
        <w:wordWrap/>
        <w:overflowPunct/>
        <w:topLinePunct w:val="0"/>
        <w:bidi w:val="0"/>
        <w:snapToGrid w:val="0"/>
        <w:spacing w:line="360" w:lineRule="auto"/>
        <w:ind w:firstLine="480" w:firstLineChars="200"/>
        <w:rPr>
          <w:rFonts w:cs="Arial" w:asciiTheme="minorEastAsia" w:hAnsiTheme="minorEastAsia"/>
          <w:color w:val="auto"/>
          <w:kern w:val="0"/>
          <w:sz w:val="24"/>
          <w:szCs w:val="24"/>
        </w:rPr>
      </w:pPr>
      <w:r>
        <w:rPr>
          <w:rFonts w:hint="eastAsia" w:asciiTheme="minorEastAsia" w:hAnsiTheme="minorEastAsia"/>
          <w:bCs/>
          <w:color w:val="auto"/>
          <w:kern w:val="0"/>
          <w:sz w:val="24"/>
          <w:szCs w:val="24"/>
        </w:rPr>
        <w:t>4.2</w:t>
      </w:r>
      <w:r>
        <w:rPr>
          <w:rFonts w:asciiTheme="minorEastAsia" w:hAnsiTheme="minorEastAsia"/>
          <w:bCs/>
          <w:color w:val="auto"/>
          <w:kern w:val="0"/>
          <w:sz w:val="24"/>
          <w:szCs w:val="24"/>
        </w:rPr>
        <w:t xml:space="preserve">.2 </w:t>
      </w:r>
      <w:r>
        <w:rPr>
          <w:rFonts w:hint="eastAsia" w:asciiTheme="minorEastAsia" w:hAnsiTheme="minorEastAsia"/>
          <w:bCs/>
          <w:color w:val="auto"/>
          <w:kern w:val="0"/>
          <w:sz w:val="24"/>
          <w:szCs w:val="24"/>
        </w:rPr>
        <w:t>出现因采购文件的修改推迟投标截止时间时，则按采购人或者采购代理机构规定的顺延时间递交。</w:t>
      </w:r>
    </w:p>
    <w:p w14:paraId="016A298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4.3 </w:t>
      </w:r>
      <w:r>
        <w:rPr>
          <w:rFonts w:hint="eastAsia" w:ascii="宋体" w:hAnsi="宋体" w:eastAsia="宋体" w:cs="Arial"/>
          <w:color w:val="auto"/>
          <w:kern w:val="0"/>
          <w:sz w:val="24"/>
          <w:szCs w:val="24"/>
        </w:rPr>
        <w:t>竞争性磋商响应文件的修改与撤回</w:t>
      </w:r>
    </w:p>
    <w:p w14:paraId="107D363E">
      <w:pPr>
        <w:keepLines w:val="0"/>
        <w:pageBreakBefore w:val="0"/>
        <w:kinsoku/>
        <w:wordWrap/>
        <w:overflowPunct/>
        <w:topLinePunct w:val="0"/>
        <w:autoSpaceDE w:val="0"/>
        <w:autoSpaceDN w:val="0"/>
        <w:bidi w:val="0"/>
        <w:spacing w:line="360" w:lineRule="auto"/>
        <w:ind w:firstLine="480" w:firstLineChars="200"/>
        <w:jc w:val="left"/>
        <w:rPr>
          <w:rFonts w:asciiTheme="minorEastAsia" w:hAnsiTheme="minorEastAsia"/>
          <w:bCs/>
          <w:color w:val="auto"/>
          <w:kern w:val="0"/>
          <w:sz w:val="24"/>
          <w:szCs w:val="24"/>
        </w:rPr>
      </w:pPr>
      <w:r>
        <w:rPr>
          <w:rFonts w:cs="Arial" w:asciiTheme="minorEastAsia" w:hAnsiTheme="minorEastAsia"/>
          <w:color w:val="auto"/>
          <w:kern w:val="0"/>
          <w:sz w:val="24"/>
          <w:szCs w:val="24"/>
        </w:rPr>
        <w:t>4.3.1</w:t>
      </w:r>
      <w:r>
        <w:rPr>
          <w:rFonts w:hint="eastAsia" w:asciiTheme="minorEastAsia" w:hAnsiTheme="minorEastAsia"/>
          <w:bCs/>
          <w:color w:val="auto"/>
          <w:kern w:val="0"/>
          <w:sz w:val="24"/>
          <w:szCs w:val="24"/>
        </w:rPr>
        <w:t>供应商在供应商须知前附表规定的提交响应文件截止时间前，可以撤回已上传的响应文件。如要修改，必须在撤回并修改后在规定的响应文件递交截止时间之前将修改后的响应文件再重新上传。在响应文件递交截止时间之后，供应商不得对上传的响应文件撤销或修改。</w:t>
      </w:r>
    </w:p>
    <w:p w14:paraId="75F219A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Theme="minorEastAsia" w:hAnsiTheme="minorEastAsia"/>
          <w:bCs/>
          <w:color w:val="auto"/>
          <w:kern w:val="0"/>
          <w:sz w:val="24"/>
          <w:szCs w:val="24"/>
        </w:rPr>
        <w:t>4.3.2供应商不得在开标时间起至投标有效期期满前撤回响应文件。</w:t>
      </w:r>
    </w:p>
    <w:p w14:paraId="604039C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4.4</w:t>
      </w:r>
      <w:r>
        <w:rPr>
          <w:rFonts w:hint="eastAsia" w:ascii="宋体" w:hAnsi="宋体" w:eastAsia="宋体" w:cs="Arial"/>
          <w:color w:val="auto"/>
          <w:kern w:val="0"/>
          <w:sz w:val="24"/>
          <w:szCs w:val="24"/>
        </w:rPr>
        <w:t>竞争性磋商响应文件格式</w:t>
      </w:r>
    </w:p>
    <w:p w14:paraId="6300C18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4.4.1 </w:t>
      </w:r>
      <w:r>
        <w:rPr>
          <w:rFonts w:hint="eastAsia" w:ascii="宋体" w:hAnsi="宋体" w:eastAsia="宋体" w:cs="Arial"/>
          <w:color w:val="auto"/>
          <w:kern w:val="0"/>
          <w:sz w:val="24"/>
          <w:szCs w:val="24"/>
        </w:rPr>
        <w:t>竞争性磋商响应文件格式见第五章。</w:t>
      </w:r>
    </w:p>
    <w:p w14:paraId="56D36BF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4.4.2 </w:t>
      </w:r>
      <w:r>
        <w:rPr>
          <w:rFonts w:hint="eastAsia" w:ascii="宋体" w:hAnsi="宋体" w:eastAsia="宋体" w:cs="Arial"/>
          <w:color w:val="auto"/>
          <w:kern w:val="0"/>
          <w:sz w:val="24"/>
          <w:szCs w:val="24"/>
        </w:rPr>
        <w:t>供应商应使用本竞争性磋商文件后面提供的竞争性磋商响应文件格式填写，如不够用时，供应商可按同样格式自行编制和填补，如果本竞争性磋商文件未提供格式的，供应商可自行编制。</w:t>
      </w:r>
    </w:p>
    <w:p w14:paraId="42416E47">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47" w:name="_BookMark_8"/>
      <w:bookmarkEnd w:id="47"/>
      <w:bookmarkStart w:id="48" w:name="_Toc28683"/>
      <w:r>
        <w:rPr>
          <w:rFonts w:ascii="宋体" w:hAnsi="宋体" w:eastAsia="宋体" w:cs="宋体"/>
          <w:b/>
          <w:color w:val="auto"/>
          <w:sz w:val="24"/>
          <w:szCs w:val="24"/>
        </w:rPr>
        <w:t>5</w:t>
      </w:r>
      <w:r>
        <w:rPr>
          <w:rFonts w:hint="eastAsia" w:ascii="宋体" w:hAnsi="宋体" w:eastAsia="宋体" w:cs="宋体"/>
          <w:b/>
          <w:color w:val="auto"/>
          <w:sz w:val="24"/>
          <w:szCs w:val="24"/>
        </w:rPr>
        <w:t>．开标</w:t>
      </w:r>
      <w:bookmarkEnd w:id="48"/>
    </w:p>
    <w:p w14:paraId="56B96EEE">
      <w:pPr>
        <w:keepLines w:val="0"/>
        <w:pageBreakBefore w:val="0"/>
        <w:kinsoku/>
        <w:wordWrap/>
        <w:overflowPunct/>
        <w:topLinePunct w:val="0"/>
        <w:bidi w:val="0"/>
        <w:spacing w:line="360" w:lineRule="auto"/>
        <w:ind w:firstLine="482" w:firstLineChars="200"/>
        <w:rPr>
          <w:rFonts w:asciiTheme="minorEastAsia" w:hAnsiTheme="minorEastAsia"/>
          <w:b/>
          <w:bCs/>
          <w:color w:val="auto"/>
          <w:kern w:val="0"/>
          <w:sz w:val="24"/>
          <w:szCs w:val="24"/>
        </w:rPr>
      </w:pPr>
      <w:bookmarkStart w:id="49" w:name="_BookMark_9"/>
      <w:bookmarkEnd w:id="49"/>
      <w:r>
        <w:rPr>
          <w:rFonts w:hint="eastAsia" w:asciiTheme="minorEastAsia" w:hAnsiTheme="minorEastAsia"/>
          <w:b/>
          <w:bCs/>
          <w:color w:val="auto"/>
          <w:kern w:val="0"/>
          <w:sz w:val="24"/>
          <w:szCs w:val="24"/>
        </w:rPr>
        <w:t>5.1</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须在在提交响应文件截止时间前通过CA在政采云平台上传加密的电子响应文件。</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在开标时须使用制作加密电子响应文件所使用的CA锁解密，</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须提前配置好浏览器（建议使用360浏览器或谷歌浏览器），并确保开标期间电脑网络环境畅通，以便开标时解密。本项目解密时间定为30分钟，如因</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自身原因导致无法正常解密，后果由</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自行承担。</w:t>
      </w:r>
    </w:p>
    <w:p w14:paraId="73FE6393">
      <w:pPr>
        <w:keepLines w:val="0"/>
        <w:pageBreakBefore w:val="0"/>
        <w:kinsoku/>
        <w:wordWrap/>
        <w:overflowPunct/>
        <w:topLinePunct w:val="0"/>
        <w:bidi w:val="0"/>
        <w:spacing w:line="360" w:lineRule="auto"/>
        <w:ind w:firstLine="482" w:firstLineChars="200"/>
        <w:rPr>
          <w:rFonts w:asciiTheme="minorEastAsia" w:hAnsiTheme="minorEastAsia"/>
          <w:b/>
          <w:bCs/>
          <w:color w:val="auto"/>
          <w:kern w:val="0"/>
          <w:sz w:val="24"/>
          <w:szCs w:val="24"/>
        </w:rPr>
      </w:pPr>
      <w:r>
        <w:rPr>
          <w:rFonts w:hint="eastAsia" w:asciiTheme="minorEastAsia" w:hAnsiTheme="minorEastAsia"/>
          <w:b/>
          <w:bCs/>
          <w:color w:val="auto"/>
          <w:kern w:val="0"/>
          <w:sz w:val="24"/>
          <w:szCs w:val="24"/>
        </w:rPr>
        <w:t>5.2参与电子投标</w:t>
      </w:r>
      <w:r>
        <w:rPr>
          <w:rFonts w:hint="eastAsia" w:ascii="宋体" w:hAnsi="宋体" w:eastAsia="宋体" w:cs="Arial"/>
          <w:b/>
          <w:color w:val="auto"/>
          <w:kern w:val="0"/>
          <w:sz w:val="24"/>
          <w:szCs w:val="24"/>
        </w:rPr>
        <w:t>供应商</w:t>
      </w:r>
      <w:r>
        <w:rPr>
          <w:rFonts w:hint="eastAsia" w:asciiTheme="minorEastAsia" w:hAnsiTheme="minorEastAsia"/>
          <w:b/>
          <w:bCs/>
          <w:color w:val="auto"/>
          <w:kern w:val="0"/>
          <w:sz w:val="24"/>
          <w:szCs w:val="24"/>
        </w:rPr>
        <w:t>，“不见面开标”大厅操作提示：①开标前一小时在系统进行在线签到②30分钟内完成在线解密③开标结束后30分钟内完成“开标一览表”在线签章。注意：如未在规定时间进行以上操作，将导致投标（响应）无效。</w:t>
      </w:r>
    </w:p>
    <w:p w14:paraId="58DF139A">
      <w:pPr>
        <w:keepLines w:val="0"/>
        <w:pageBreakBefore w:val="0"/>
        <w:kinsoku/>
        <w:wordWrap/>
        <w:overflowPunct/>
        <w:topLinePunct w:val="0"/>
        <w:bidi w:val="0"/>
        <w:spacing w:line="360" w:lineRule="auto"/>
        <w:ind w:firstLine="482" w:firstLineChars="200"/>
        <w:rPr>
          <w:rFonts w:ascii="宋体" w:hAnsi="宋体" w:cs="宋体"/>
          <w:b/>
          <w:bCs/>
          <w:color w:val="auto"/>
          <w:kern w:val="0"/>
          <w:sz w:val="24"/>
          <w:szCs w:val="24"/>
        </w:rPr>
      </w:pPr>
      <w:r>
        <w:rPr>
          <w:rFonts w:hint="eastAsia" w:ascii="宋体" w:hAnsi="宋体" w:cs="宋体"/>
          <w:b/>
          <w:bCs/>
          <w:color w:val="auto"/>
          <w:kern w:val="0"/>
          <w:sz w:val="24"/>
          <w:szCs w:val="24"/>
        </w:rPr>
        <w:t>5.3参与竞争性磋商项目供应商，开标结束后，请及时进入“网上报价”页面（详见操作手册），等待最终报价通知。如未在系统提示的报价时限内报价，则视为上一轮报价为最终报价。</w:t>
      </w:r>
    </w:p>
    <w:p w14:paraId="66DC668F">
      <w:pPr>
        <w:keepLines w:val="0"/>
        <w:pageBreakBefore w:val="0"/>
        <w:kinsoku/>
        <w:wordWrap/>
        <w:overflowPunct/>
        <w:topLinePunct w:val="0"/>
        <w:bidi w:val="0"/>
        <w:spacing w:line="360" w:lineRule="auto"/>
        <w:ind w:firstLine="482" w:firstLineChars="200"/>
        <w:rPr>
          <w:rFonts w:cs="Arial" w:asciiTheme="minorEastAsia" w:hAnsiTheme="minorEastAsia"/>
          <w:b/>
          <w:color w:val="auto"/>
          <w:kern w:val="0"/>
          <w:sz w:val="24"/>
          <w:szCs w:val="24"/>
        </w:rPr>
      </w:pPr>
      <w:r>
        <w:rPr>
          <w:rFonts w:hint="eastAsia" w:asciiTheme="minorEastAsia" w:hAnsiTheme="minorEastAsia"/>
          <w:b/>
          <w:bCs/>
          <w:color w:val="auto"/>
          <w:kern w:val="0"/>
          <w:sz w:val="24"/>
          <w:szCs w:val="24"/>
        </w:rPr>
        <w:t>5.4</w:t>
      </w:r>
      <w:r>
        <w:rPr>
          <w:rFonts w:hint="eastAsia" w:asciiTheme="minorEastAsia" w:hAnsiTheme="minorEastAsia"/>
          <w:b/>
          <w:color w:val="auto"/>
          <w:kern w:val="0"/>
          <w:sz w:val="24"/>
          <w:szCs w:val="24"/>
        </w:rPr>
        <w:t>开标结束后由采购人或采购代理机构对</w:t>
      </w:r>
      <w:r>
        <w:rPr>
          <w:rFonts w:hint="eastAsia" w:ascii="宋体" w:hAnsi="宋体" w:eastAsia="宋体" w:cs="Arial"/>
          <w:b/>
          <w:color w:val="auto"/>
          <w:kern w:val="0"/>
          <w:sz w:val="24"/>
          <w:szCs w:val="24"/>
        </w:rPr>
        <w:t>供应商</w:t>
      </w:r>
      <w:r>
        <w:rPr>
          <w:rFonts w:hint="eastAsia" w:asciiTheme="minorEastAsia" w:hAnsiTheme="minorEastAsia"/>
          <w:b/>
          <w:color w:val="auto"/>
          <w:kern w:val="0"/>
          <w:sz w:val="24"/>
          <w:szCs w:val="24"/>
        </w:rPr>
        <w:t>已解密的电子响应文件进行资格审查（详见资格审查标准）。</w:t>
      </w:r>
    </w:p>
    <w:p w14:paraId="4FF988D1">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50" w:name="_Toc32036"/>
      <w:r>
        <w:rPr>
          <w:rFonts w:ascii="宋体" w:hAnsi="宋体" w:eastAsia="宋体" w:cs="宋体"/>
          <w:b/>
          <w:color w:val="auto"/>
          <w:sz w:val="24"/>
          <w:szCs w:val="24"/>
        </w:rPr>
        <w:t>6</w:t>
      </w:r>
      <w:r>
        <w:rPr>
          <w:rFonts w:hint="eastAsia" w:ascii="宋体" w:hAnsi="宋体" w:eastAsia="宋体" w:cs="宋体"/>
          <w:b/>
          <w:color w:val="auto"/>
          <w:sz w:val="24"/>
          <w:szCs w:val="24"/>
        </w:rPr>
        <w:t>．评标</w:t>
      </w:r>
      <w:bookmarkEnd w:id="50"/>
    </w:p>
    <w:p w14:paraId="7E9279D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6.1 </w:t>
      </w:r>
      <w:r>
        <w:rPr>
          <w:rFonts w:hint="eastAsia" w:ascii="宋体" w:hAnsi="宋体" w:eastAsia="宋体" w:cs="Arial"/>
          <w:color w:val="auto"/>
          <w:kern w:val="0"/>
          <w:sz w:val="24"/>
          <w:szCs w:val="24"/>
        </w:rPr>
        <w:t>磋商小组</w:t>
      </w:r>
    </w:p>
    <w:p w14:paraId="20AAA21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6.1.1 </w:t>
      </w:r>
      <w:r>
        <w:rPr>
          <w:rFonts w:hint="eastAsia" w:ascii="宋体" w:hAnsi="宋体" w:eastAsia="宋体" w:cs="Arial"/>
          <w:color w:val="auto"/>
          <w:kern w:val="0"/>
          <w:sz w:val="24"/>
          <w:szCs w:val="24"/>
        </w:rPr>
        <w:t>评标由采购人按照《政府采购评审专家管理办法》财库〔2016〕198号，依法组建的磋商小组负责。磋商小组负责评标工作，并向采购人提交书面评标报告。</w:t>
      </w:r>
    </w:p>
    <w:p w14:paraId="06F211E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6.1.2 </w:t>
      </w:r>
      <w:r>
        <w:rPr>
          <w:rFonts w:hint="eastAsia" w:ascii="宋体" w:hAnsi="宋体" w:eastAsia="宋体" w:cs="Arial"/>
          <w:color w:val="auto"/>
          <w:kern w:val="0"/>
          <w:sz w:val="24"/>
          <w:szCs w:val="24"/>
        </w:rPr>
        <w:t>磋商小组成员有下列情形之一的，应当回避：</w:t>
      </w:r>
    </w:p>
    <w:p w14:paraId="62FED67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w:t>
      </w:r>
      <w:r>
        <w:rPr>
          <w:rFonts w:hint="eastAsia" w:ascii="宋体" w:hAnsi="Calibri" w:eastAsia="宋体" w:cs="Arial"/>
          <w:color w:val="auto"/>
          <w:kern w:val="0"/>
          <w:sz w:val="24"/>
          <w:szCs w:val="24"/>
        </w:rPr>
        <w:t>参加采购活动前三年内,与供应商存在劳动关系,或者担任过供应商的董事、监事,或者是供应商的控股股东或实际控制人。</w:t>
      </w:r>
    </w:p>
    <w:p w14:paraId="489ECF1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w:t>
      </w:r>
      <w:r>
        <w:rPr>
          <w:rFonts w:hint="eastAsia" w:ascii="宋体" w:hAnsi="Calibri" w:eastAsia="宋体" w:cs="Arial"/>
          <w:color w:val="auto"/>
          <w:kern w:val="0"/>
          <w:sz w:val="24"/>
          <w:szCs w:val="24"/>
        </w:rPr>
        <w:t>与供应商的法定代表人或者负责人有夫妻、直系血亲、三代以内旁系血亲或者近姻亲关系。</w:t>
      </w:r>
    </w:p>
    <w:p w14:paraId="647EF2B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3</w:t>
      </w:r>
      <w:r>
        <w:rPr>
          <w:rFonts w:hint="eastAsia" w:ascii="宋体" w:hAnsi="宋体" w:eastAsia="宋体" w:cs="Arial"/>
          <w:color w:val="auto"/>
          <w:kern w:val="0"/>
          <w:sz w:val="24"/>
          <w:szCs w:val="24"/>
        </w:rPr>
        <w:t>）</w:t>
      </w:r>
      <w:r>
        <w:rPr>
          <w:rFonts w:hint="eastAsia" w:ascii="宋体" w:hAnsi="Calibri" w:eastAsia="宋体" w:cs="Arial"/>
          <w:color w:val="auto"/>
          <w:kern w:val="0"/>
          <w:sz w:val="24"/>
          <w:szCs w:val="24"/>
        </w:rPr>
        <w:t>与供应商有其他可能影响政府采购活动公平、公正进行的关系。</w:t>
      </w:r>
    </w:p>
    <w:p w14:paraId="6B6B2EB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6.2 </w:t>
      </w:r>
      <w:r>
        <w:rPr>
          <w:rFonts w:hint="eastAsia" w:ascii="宋体" w:hAnsi="宋体" w:eastAsia="宋体" w:cs="Arial"/>
          <w:color w:val="auto"/>
          <w:kern w:val="0"/>
          <w:sz w:val="24"/>
          <w:szCs w:val="24"/>
        </w:rPr>
        <w:t>评标原则</w:t>
      </w:r>
    </w:p>
    <w:p w14:paraId="51D5FBC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评标活动遵循公平、公正、科学和择优的原则。</w:t>
      </w:r>
    </w:p>
    <w:p w14:paraId="1F7CF75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6.3 </w:t>
      </w:r>
      <w:r>
        <w:rPr>
          <w:rFonts w:hint="eastAsia" w:ascii="宋体" w:hAnsi="宋体" w:eastAsia="宋体" w:cs="Arial"/>
          <w:color w:val="auto"/>
          <w:kern w:val="0"/>
          <w:sz w:val="24"/>
          <w:szCs w:val="24"/>
        </w:rPr>
        <w:t>评标</w:t>
      </w:r>
    </w:p>
    <w:p w14:paraId="25483C6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磋商小组按照竞争性磋商文件中规定的方法、评审因素、标准和程序对竞争性磋商响应文件进行评审。</w:t>
      </w:r>
    </w:p>
    <w:p w14:paraId="56551BDE">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51" w:name="_BookMark_10"/>
      <w:bookmarkEnd w:id="51"/>
      <w:bookmarkStart w:id="52" w:name="_Toc3643"/>
      <w:r>
        <w:rPr>
          <w:rFonts w:ascii="宋体" w:hAnsi="宋体" w:eastAsia="宋体" w:cs="宋体"/>
          <w:b/>
          <w:color w:val="auto"/>
          <w:sz w:val="24"/>
          <w:szCs w:val="24"/>
        </w:rPr>
        <w:t>7</w:t>
      </w:r>
      <w:r>
        <w:rPr>
          <w:rFonts w:hint="eastAsia" w:ascii="宋体" w:hAnsi="宋体" w:eastAsia="宋体" w:cs="宋体"/>
          <w:b/>
          <w:color w:val="auto"/>
          <w:sz w:val="24"/>
          <w:szCs w:val="24"/>
        </w:rPr>
        <w:t>．定标及合同授予</w:t>
      </w:r>
      <w:bookmarkEnd w:id="52"/>
    </w:p>
    <w:p w14:paraId="780DE13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7.1 </w:t>
      </w:r>
      <w:r>
        <w:rPr>
          <w:rFonts w:hint="eastAsia" w:ascii="宋体" w:hAnsi="宋体" w:eastAsia="宋体" w:cs="Arial"/>
          <w:color w:val="auto"/>
          <w:kern w:val="0"/>
          <w:sz w:val="24"/>
          <w:szCs w:val="24"/>
        </w:rPr>
        <w:t>定标方法</w:t>
      </w:r>
    </w:p>
    <w:p w14:paraId="1290103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7.1.1 </w:t>
      </w:r>
      <w:r>
        <w:rPr>
          <w:rFonts w:hint="eastAsia" w:ascii="宋体" w:hAnsi="宋体" w:eastAsia="宋体" w:cs="Arial"/>
          <w:color w:val="auto"/>
          <w:kern w:val="0"/>
          <w:sz w:val="24"/>
          <w:szCs w:val="24"/>
        </w:rPr>
        <w:t>评标活动遵循公平、公正、科学和择优的原则。磋商小组按照竞争性磋商文件中规定的方法、评审因素、标准和程序对竞争性磋商响应文件进行评审，并按供应商须知前附表的规定向采购人推荐成交候选人。采购人依据磋商小组推荐的成交候选人确定成交人。</w:t>
      </w:r>
    </w:p>
    <w:p w14:paraId="67C7ED9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b/>
          <w:color w:val="auto"/>
          <w:kern w:val="0"/>
          <w:sz w:val="24"/>
          <w:szCs w:val="24"/>
        </w:rPr>
      </w:pPr>
      <w:r>
        <w:rPr>
          <w:rFonts w:ascii="宋体" w:hAnsi="宋体" w:eastAsia="宋体" w:cs="Arial"/>
          <w:color w:val="auto"/>
          <w:kern w:val="0"/>
          <w:sz w:val="24"/>
          <w:szCs w:val="24"/>
        </w:rPr>
        <w:t>7.1.</w:t>
      </w:r>
      <w:r>
        <w:rPr>
          <w:rFonts w:hint="eastAsia" w:ascii="宋体" w:hAnsi="宋体" w:eastAsia="宋体" w:cs="Arial"/>
          <w:color w:val="auto"/>
          <w:kern w:val="0"/>
          <w:sz w:val="24"/>
          <w:szCs w:val="24"/>
        </w:rPr>
        <w:t xml:space="preserve">2 </w:t>
      </w:r>
      <w:r>
        <w:rPr>
          <w:rFonts w:hint="eastAsia" w:ascii="宋体" w:hAnsi="宋体" w:eastAsia="宋体" w:cs="Arial"/>
          <w:b/>
          <w:color w:val="auto"/>
          <w:kern w:val="0"/>
          <w:sz w:val="24"/>
          <w:szCs w:val="24"/>
        </w:rPr>
        <w:t>采购人从成交候选人中确定出成交人的原则：采购人应当确定综合得分排名第一的成交候选人为成交人。排名第一的成交候选人放弃成交、因不可抗力不能履行合同，不按照竞争性磋商文件要求提交履约保证金、或者被查实存在影响成交结果的违法行为等情形，不符合成交条件的，采购人可以按照磋商小组提出的成交候选人名单排名依次确定其他成交候选人为成交人。也可以重新开展采购活动。拒绝签订政府采购合同的成交供应商不得参加对该项目重新开展的采购活动。</w:t>
      </w:r>
    </w:p>
    <w:p w14:paraId="4EB106C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7.2 </w:t>
      </w:r>
      <w:r>
        <w:rPr>
          <w:rFonts w:hint="eastAsia" w:ascii="宋体" w:hAnsi="宋体" w:eastAsia="宋体" w:cs="Arial"/>
          <w:color w:val="auto"/>
          <w:kern w:val="0"/>
          <w:sz w:val="24"/>
          <w:szCs w:val="24"/>
        </w:rPr>
        <w:t>成交候选人公示</w:t>
      </w:r>
    </w:p>
    <w:p w14:paraId="2898148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成交候选人的情况将在竞争性磋商公告发布的媒体上公示，公示期不得少于1个工作日。</w:t>
      </w:r>
    </w:p>
    <w:p w14:paraId="399F496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7.3 </w:t>
      </w:r>
      <w:r>
        <w:rPr>
          <w:rFonts w:hint="eastAsia" w:ascii="宋体" w:hAnsi="宋体" w:eastAsia="宋体" w:cs="Arial"/>
          <w:color w:val="auto"/>
          <w:kern w:val="0"/>
          <w:sz w:val="24"/>
          <w:szCs w:val="24"/>
        </w:rPr>
        <w:t>成交通知</w:t>
      </w:r>
    </w:p>
    <w:p w14:paraId="672ED2B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公示同时，采购人以书面形式向成交人发出成交通知书，并及时通知其它供应商成交结果。</w:t>
      </w:r>
    </w:p>
    <w:p w14:paraId="2429700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7.4 </w:t>
      </w:r>
      <w:r>
        <w:rPr>
          <w:rFonts w:hint="eastAsia" w:ascii="宋体" w:hAnsi="宋体" w:eastAsia="宋体" w:cs="Arial"/>
          <w:color w:val="auto"/>
          <w:kern w:val="0"/>
          <w:sz w:val="24"/>
          <w:szCs w:val="24"/>
        </w:rPr>
        <w:t>履约保证金</w:t>
      </w:r>
    </w:p>
    <w:p w14:paraId="0ECD9DF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7.4.1 </w:t>
      </w:r>
      <w:r>
        <w:rPr>
          <w:rFonts w:hint="eastAsia" w:ascii="宋体" w:hAnsi="宋体" w:eastAsia="宋体" w:cs="Arial"/>
          <w:color w:val="auto"/>
          <w:kern w:val="0"/>
          <w:sz w:val="24"/>
          <w:szCs w:val="24"/>
        </w:rPr>
        <w:t>在签订合同前，成交人应按供应商须知前附表规定的金额、形式向采购人提交履约保证金。联合体中标的，其履约保证金由牵头人提交，并应符合供应商须知前附表的规定。</w:t>
      </w:r>
    </w:p>
    <w:p w14:paraId="2DFA330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7.4.2 </w:t>
      </w:r>
      <w:r>
        <w:rPr>
          <w:rFonts w:hint="eastAsia" w:ascii="宋体" w:hAnsi="宋体" w:eastAsia="宋体" w:cs="Arial"/>
          <w:color w:val="auto"/>
          <w:kern w:val="0"/>
          <w:sz w:val="24"/>
          <w:szCs w:val="24"/>
        </w:rPr>
        <w:t>成交人不能按本章第</w:t>
      </w:r>
      <w:r>
        <w:rPr>
          <w:rFonts w:ascii="宋体" w:hAnsi="宋体" w:eastAsia="宋体" w:cs="Arial"/>
          <w:color w:val="auto"/>
          <w:kern w:val="0"/>
          <w:sz w:val="24"/>
          <w:szCs w:val="24"/>
        </w:rPr>
        <w:t>7.4.1</w:t>
      </w:r>
      <w:r>
        <w:rPr>
          <w:rFonts w:hint="eastAsia" w:ascii="宋体" w:hAnsi="宋体" w:eastAsia="宋体" w:cs="Arial"/>
          <w:color w:val="auto"/>
          <w:kern w:val="0"/>
          <w:sz w:val="24"/>
          <w:szCs w:val="24"/>
        </w:rPr>
        <w:t>款要求提交履约保证金的，视为放弃中标，其磋商保证金不予退还；给采购人造成的损失超过磋商保证金数额的，成交人还应当对超过部分予以赔偿。</w:t>
      </w:r>
    </w:p>
    <w:p w14:paraId="56FD03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7.5 </w:t>
      </w:r>
      <w:r>
        <w:rPr>
          <w:rFonts w:hint="eastAsia" w:ascii="宋体" w:hAnsi="宋体" w:eastAsia="宋体" w:cs="Arial"/>
          <w:color w:val="auto"/>
          <w:kern w:val="0"/>
          <w:sz w:val="24"/>
          <w:szCs w:val="24"/>
        </w:rPr>
        <w:t>签订合同</w:t>
      </w:r>
    </w:p>
    <w:p w14:paraId="055519F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7.5.1</w:t>
      </w:r>
      <w:r>
        <w:rPr>
          <w:rFonts w:hint="eastAsia" w:ascii="宋体" w:hAnsi="Calibri" w:eastAsia="宋体" w:cs="Arial"/>
          <w:color w:val="auto"/>
          <w:kern w:val="0"/>
          <w:sz w:val="24"/>
          <w:szCs w:val="24"/>
        </w:rPr>
        <w:t>采购人应当自成交通知书发出之日起30日内，按照竞争性磋商文件和成交人竞争性磋商响应文件的规定，与成交人签订书面合同。所签订的合同不得对竞争性磋商文件确定的事项和成交人竞争性磋商响应文件作实质性修改。采购人不得向成交人提出任何不合理的要求作为签订合同的条件。</w:t>
      </w:r>
    </w:p>
    <w:p w14:paraId="3C6667C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7.5.2发出成交通知书后，采购人无正当理由拒签合同的，给成交人造成损失的，还应当赔偿成交人损失。</w:t>
      </w:r>
    </w:p>
    <w:p w14:paraId="7ABA8A0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Calibri" w:eastAsia="宋体" w:cs="Arial"/>
          <w:color w:val="auto"/>
          <w:kern w:val="0"/>
          <w:sz w:val="24"/>
          <w:szCs w:val="24"/>
        </w:rPr>
        <w:t>7.5.</w:t>
      </w:r>
      <w:r>
        <w:rPr>
          <w:rFonts w:hint="eastAsia" w:ascii="宋体" w:hAnsi="Calibri" w:eastAsia="宋体" w:cs="Arial"/>
          <w:color w:val="auto"/>
          <w:kern w:val="0"/>
          <w:sz w:val="24"/>
          <w:szCs w:val="24"/>
        </w:rPr>
        <w:t>3 发出成交通知书后，成交人无正当理由拒签合同的，采购人取消其中标资格，其磋商保证金不予退还；给采购人造成的损失超过磋商保证金数额的，成交人还应当对超过部分予以赔偿。</w:t>
      </w:r>
    </w:p>
    <w:p w14:paraId="76067DF3">
      <w:pPr>
        <w:keepLines w:val="0"/>
        <w:pageBreakBefore w:val="0"/>
        <w:tabs>
          <w:tab w:val="center" w:pos="4832"/>
          <w:tab w:val="left" w:pos="7140"/>
        </w:tabs>
        <w:kinsoku/>
        <w:wordWrap/>
        <w:overflowPunct/>
        <w:topLinePunct w:val="0"/>
        <w:bidi w:val="0"/>
        <w:spacing w:line="360" w:lineRule="auto"/>
        <w:ind w:firstLine="472" w:firstLineChars="196"/>
        <w:jc w:val="left"/>
        <w:outlineLvl w:val="1"/>
        <w:rPr>
          <w:rFonts w:ascii="宋体" w:hAnsi="Calibri" w:eastAsia="宋体" w:cs="宋体"/>
          <w:b/>
          <w:color w:val="auto"/>
          <w:sz w:val="24"/>
          <w:szCs w:val="24"/>
        </w:rPr>
      </w:pPr>
      <w:bookmarkStart w:id="53" w:name="_BookMark_11"/>
      <w:bookmarkEnd w:id="53"/>
      <w:bookmarkStart w:id="54" w:name="_Toc8768"/>
      <w:r>
        <w:rPr>
          <w:rFonts w:ascii="宋体" w:hAnsi="宋体" w:eastAsia="宋体" w:cs="宋体"/>
          <w:b/>
          <w:color w:val="auto"/>
          <w:sz w:val="24"/>
          <w:szCs w:val="24"/>
        </w:rPr>
        <w:t>8</w:t>
      </w:r>
      <w:r>
        <w:rPr>
          <w:rFonts w:hint="eastAsia" w:ascii="宋体" w:hAnsi="宋体" w:eastAsia="宋体" w:cs="宋体"/>
          <w:b/>
          <w:color w:val="auto"/>
          <w:sz w:val="24"/>
          <w:szCs w:val="24"/>
        </w:rPr>
        <w:t>．纪律和监督</w:t>
      </w:r>
      <w:bookmarkEnd w:id="54"/>
    </w:p>
    <w:p w14:paraId="5B2FD3A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8.1 </w:t>
      </w:r>
      <w:r>
        <w:rPr>
          <w:rFonts w:hint="eastAsia" w:ascii="宋体" w:hAnsi="宋体" w:eastAsia="宋体" w:cs="Arial"/>
          <w:color w:val="auto"/>
          <w:kern w:val="0"/>
          <w:sz w:val="24"/>
          <w:szCs w:val="24"/>
        </w:rPr>
        <w:t>对采购人的纪律要求</w:t>
      </w:r>
    </w:p>
    <w:p w14:paraId="58FA178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采购人不得泄漏采购投标活动中应当保密的情况和资料，不得与供应商串通损害国家利益、社会公共利益或者他人合法权益。</w:t>
      </w:r>
    </w:p>
    <w:p w14:paraId="2560BB4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8.2 </w:t>
      </w:r>
      <w:r>
        <w:rPr>
          <w:rFonts w:hint="eastAsia" w:ascii="宋体" w:hAnsi="宋体" w:eastAsia="宋体" w:cs="Arial"/>
          <w:color w:val="auto"/>
          <w:kern w:val="0"/>
          <w:sz w:val="24"/>
          <w:szCs w:val="24"/>
        </w:rPr>
        <w:t>对供应商的纪律要求</w:t>
      </w:r>
    </w:p>
    <w:p w14:paraId="5E4E04B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供应商不得相互串通投标或者与采购人串通投标，不得向采购人或者磋商小组成员行贿谋取中标，不得以他人名义投标或者以其他方式弄虚作假骗取中标；供应商不得以任何方式干扰、影响评标工作。</w:t>
      </w:r>
    </w:p>
    <w:p w14:paraId="6D6B9C5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8.3 </w:t>
      </w:r>
      <w:r>
        <w:rPr>
          <w:rFonts w:hint="eastAsia" w:ascii="宋体" w:hAnsi="宋体" w:eastAsia="宋体" w:cs="Arial"/>
          <w:color w:val="auto"/>
          <w:kern w:val="0"/>
          <w:sz w:val="24"/>
          <w:szCs w:val="24"/>
        </w:rPr>
        <w:t>对磋商小组成员的纪律要求</w:t>
      </w:r>
    </w:p>
    <w:p w14:paraId="7EC02B8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成员不得收受他人的财物或者其他好处，不得向他人透漏对竞争性磋商响应文件的评审和比较、成交候选人的推荐情况以及评标有关的其他情况。在评标活动中，磋商小组成员不得擅离职守，影响评标程序正常进行，不得使用评标办法没有规定的评审因素和标准进行评标。</w:t>
      </w:r>
    </w:p>
    <w:p w14:paraId="4BAC0D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8.4 </w:t>
      </w:r>
      <w:r>
        <w:rPr>
          <w:rFonts w:hint="eastAsia" w:ascii="宋体" w:hAnsi="宋体" w:eastAsia="宋体" w:cs="Arial"/>
          <w:color w:val="auto"/>
          <w:kern w:val="0"/>
          <w:sz w:val="24"/>
          <w:szCs w:val="24"/>
        </w:rPr>
        <w:t>对与评标活动有关的工作人员的纪律要求</w:t>
      </w:r>
    </w:p>
    <w:p w14:paraId="0FABE80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与评标活动有关的工作人员不得收受他人的财物或者其他好处，不得向他人透漏对竞争性磋商响应文件的评审和比较、成交候选人的推荐情况以及评标有关的其他情况。在评标活动中，与评标活动有关的工作人员不得擅离职守，影响评标程序正常进行。</w:t>
      </w:r>
    </w:p>
    <w:p w14:paraId="20C9A24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8.5 </w:t>
      </w:r>
      <w:r>
        <w:rPr>
          <w:rFonts w:hint="eastAsia" w:ascii="宋体" w:hAnsi="宋体" w:eastAsia="宋体" w:cs="Arial"/>
          <w:color w:val="auto"/>
          <w:kern w:val="0"/>
          <w:sz w:val="24"/>
          <w:szCs w:val="24"/>
        </w:rPr>
        <w:t>监督</w:t>
      </w:r>
    </w:p>
    <w:p w14:paraId="02E6CF9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本项目的采购投标活动及其相关当事人应当接受有管辖权的监督部门依法实施的监督。</w:t>
      </w:r>
      <w:bookmarkStart w:id="55" w:name="_BookMark_12"/>
      <w:bookmarkEnd w:id="55"/>
    </w:p>
    <w:p w14:paraId="35C7F30D">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r>
        <w:rPr>
          <w:rFonts w:ascii="宋体" w:hAnsi="Calibri" w:eastAsia="宋体" w:cs="Arial"/>
          <w:bCs/>
          <w:color w:val="auto"/>
          <w:kern w:val="0"/>
          <w:sz w:val="24"/>
          <w:szCs w:val="24"/>
        </w:rPr>
        <w:br w:type="page"/>
      </w:r>
      <w:bookmarkStart w:id="56" w:name="_Toc32510"/>
      <w:r>
        <w:rPr>
          <w:rFonts w:hint="eastAsia" w:ascii="宋体" w:hAnsi="宋体" w:eastAsia="宋体" w:cs="宋体"/>
          <w:b/>
          <w:color w:val="auto"/>
          <w:sz w:val="24"/>
          <w:szCs w:val="24"/>
        </w:rPr>
        <w:t>第二章 评标办法</w:t>
      </w:r>
      <w:bookmarkEnd w:id="56"/>
    </w:p>
    <w:p w14:paraId="412398AC">
      <w:pPr>
        <w:keepLines w:val="0"/>
        <w:pageBreakBefore w:val="0"/>
        <w:tabs>
          <w:tab w:val="center" w:pos="4832"/>
          <w:tab w:val="left" w:pos="7140"/>
        </w:tabs>
        <w:kinsoku/>
        <w:wordWrap/>
        <w:overflowPunct/>
        <w:topLinePunct w:val="0"/>
        <w:bidi w:val="0"/>
        <w:spacing w:line="360" w:lineRule="auto"/>
        <w:jc w:val="center"/>
        <w:outlineLvl w:val="2"/>
        <w:rPr>
          <w:rFonts w:ascii="宋体" w:hAnsi="宋体" w:eastAsia="宋体" w:cs="宋体"/>
          <w:b/>
          <w:color w:val="auto"/>
          <w:sz w:val="24"/>
          <w:szCs w:val="24"/>
        </w:rPr>
      </w:pPr>
      <w:bookmarkStart w:id="57" w:name="_BookMark_1"/>
      <w:bookmarkEnd w:id="57"/>
      <w:bookmarkStart w:id="58" w:name="_Toc4689"/>
      <w:r>
        <w:rPr>
          <w:rFonts w:hint="eastAsia" w:ascii="宋体" w:hAnsi="宋体" w:eastAsia="宋体" w:cs="宋体"/>
          <w:b/>
          <w:color w:val="auto"/>
          <w:sz w:val="24"/>
          <w:szCs w:val="24"/>
        </w:rPr>
        <w:t>评标办法前附表</w:t>
      </w:r>
      <w:bookmarkEnd w:id="58"/>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10"/>
        <w:gridCol w:w="2772"/>
        <w:gridCol w:w="5744"/>
      </w:tblGrid>
      <w:tr w14:paraId="4797B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16E16298">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序号</w:t>
            </w:r>
          </w:p>
        </w:tc>
        <w:tc>
          <w:tcPr>
            <w:tcW w:w="2772" w:type="dxa"/>
            <w:tcMar>
              <w:top w:w="0" w:type="dxa"/>
              <w:left w:w="28" w:type="dxa"/>
              <w:bottom w:w="0" w:type="dxa"/>
              <w:right w:w="28" w:type="dxa"/>
            </w:tcMar>
            <w:vAlign w:val="center"/>
          </w:tcPr>
          <w:p w14:paraId="68A428D0">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条款内容</w:t>
            </w:r>
          </w:p>
        </w:tc>
        <w:tc>
          <w:tcPr>
            <w:tcW w:w="5744" w:type="dxa"/>
            <w:tcMar>
              <w:top w:w="0" w:type="dxa"/>
              <w:left w:w="28" w:type="dxa"/>
              <w:bottom w:w="0" w:type="dxa"/>
              <w:right w:w="28" w:type="dxa"/>
            </w:tcMar>
            <w:vAlign w:val="center"/>
          </w:tcPr>
          <w:p w14:paraId="12BB337B">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编列内容</w:t>
            </w:r>
          </w:p>
        </w:tc>
      </w:tr>
      <w:tr w14:paraId="5390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610" w:type="dxa"/>
            <w:tcMar>
              <w:top w:w="0" w:type="dxa"/>
              <w:left w:w="28" w:type="dxa"/>
              <w:bottom w:w="0" w:type="dxa"/>
              <w:right w:w="28" w:type="dxa"/>
            </w:tcMar>
            <w:vAlign w:val="center"/>
          </w:tcPr>
          <w:p w14:paraId="701C9FEE">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ascii="宋体" w:hAnsi="宋体" w:eastAsia="宋体" w:cs="Times New Roman"/>
                <w:color w:val="auto"/>
                <w:sz w:val="24"/>
                <w:szCs w:val="24"/>
              </w:rPr>
              <w:t>1</w:t>
            </w:r>
          </w:p>
        </w:tc>
        <w:tc>
          <w:tcPr>
            <w:tcW w:w="2772" w:type="dxa"/>
            <w:tcMar>
              <w:top w:w="0" w:type="dxa"/>
              <w:left w:w="28" w:type="dxa"/>
              <w:bottom w:w="0" w:type="dxa"/>
              <w:right w:w="28" w:type="dxa"/>
            </w:tcMar>
            <w:vAlign w:val="center"/>
          </w:tcPr>
          <w:p w14:paraId="3B9449E1">
            <w:pPr>
              <w:keepLines w:val="0"/>
              <w:pageBreakBefore w:val="0"/>
              <w:kinsoku/>
              <w:wordWrap/>
              <w:overflowPunct/>
              <w:topLinePunct w:val="0"/>
              <w:bidi w:val="0"/>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分值构成</w:t>
            </w:r>
            <w:r>
              <w:rPr>
                <w:rFonts w:ascii="宋体" w:hAnsi="宋体" w:eastAsia="宋体" w:cs="Times New Roman"/>
                <w:color w:val="auto"/>
                <w:sz w:val="24"/>
                <w:szCs w:val="24"/>
              </w:rPr>
              <w:t>(</w:t>
            </w:r>
            <w:r>
              <w:rPr>
                <w:rFonts w:hint="eastAsia" w:ascii="宋体" w:hAnsi="宋体" w:eastAsia="宋体" w:cs="Times New Roman"/>
                <w:color w:val="auto"/>
                <w:sz w:val="24"/>
                <w:szCs w:val="24"/>
              </w:rPr>
              <w:t>总分</w:t>
            </w:r>
            <w:r>
              <w:rPr>
                <w:rFonts w:ascii="宋体" w:hAnsi="宋体" w:eastAsia="宋体" w:cs="Times New Roman"/>
                <w:color w:val="auto"/>
                <w:sz w:val="24"/>
                <w:szCs w:val="24"/>
              </w:rPr>
              <w:t>100</w:t>
            </w:r>
            <w:r>
              <w:rPr>
                <w:rFonts w:hint="eastAsia" w:ascii="宋体" w:hAnsi="宋体" w:eastAsia="宋体" w:cs="Times New Roman"/>
                <w:color w:val="auto"/>
                <w:sz w:val="24"/>
                <w:szCs w:val="24"/>
              </w:rPr>
              <w:t>分</w:t>
            </w:r>
            <w:r>
              <w:rPr>
                <w:rFonts w:ascii="宋体" w:hAnsi="宋体" w:eastAsia="宋体" w:cs="Times New Roman"/>
                <w:color w:val="auto"/>
                <w:sz w:val="24"/>
                <w:szCs w:val="24"/>
              </w:rPr>
              <w:t>)</w:t>
            </w:r>
          </w:p>
        </w:tc>
        <w:tc>
          <w:tcPr>
            <w:tcW w:w="5744" w:type="dxa"/>
            <w:tcMar>
              <w:top w:w="0" w:type="dxa"/>
              <w:left w:w="28" w:type="dxa"/>
              <w:bottom w:w="0" w:type="dxa"/>
              <w:right w:w="28" w:type="dxa"/>
            </w:tcMar>
            <w:vAlign w:val="center"/>
          </w:tcPr>
          <w:p w14:paraId="660760AA">
            <w:pPr>
              <w:keepLines w:val="0"/>
              <w:pageBreakBefore w:val="0"/>
              <w:kinsoku/>
              <w:wordWrap/>
              <w:overflowPunct/>
              <w:topLinePunct w:val="0"/>
              <w:bidi w:val="0"/>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1.</w:t>
            </w:r>
            <w:r>
              <w:rPr>
                <w:rFonts w:hint="eastAsia" w:ascii="宋体" w:hAnsi="宋体" w:eastAsia="宋体" w:cs="Times New Roman"/>
                <w:color w:val="auto"/>
                <w:sz w:val="24"/>
                <w:szCs w:val="24"/>
              </w:rPr>
              <w:t>详细评审</w:t>
            </w:r>
            <w:r>
              <w:rPr>
                <w:rFonts w:hint="eastAsia" w:ascii="宋体" w:hAnsi="宋体" w:eastAsia="宋体" w:cs="Times New Roman"/>
                <w:color w:val="auto"/>
                <w:sz w:val="24"/>
                <w:szCs w:val="24"/>
                <w:lang w:val="en-US" w:eastAsia="zh-CN"/>
              </w:rPr>
              <w:t>9</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p w14:paraId="493F14D7">
            <w:pPr>
              <w:keepLines w:val="0"/>
              <w:pageBreakBefore w:val="0"/>
              <w:kinsoku/>
              <w:wordWrap/>
              <w:overflowPunct/>
              <w:topLinePunct w:val="0"/>
              <w:bidi w:val="0"/>
              <w:spacing w:line="360" w:lineRule="auto"/>
              <w:rPr>
                <w:rFonts w:ascii="宋体" w:hAnsi="宋体" w:eastAsia="宋体" w:cs="Times New Roman"/>
                <w:color w:val="auto"/>
                <w:sz w:val="24"/>
                <w:szCs w:val="24"/>
              </w:rPr>
            </w:pPr>
            <w:r>
              <w:rPr>
                <w:rFonts w:ascii="宋体" w:hAnsi="宋体" w:eastAsia="宋体" w:cs="Times New Roman"/>
                <w:color w:val="auto"/>
                <w:sz w:val="24"/>
                <w:szCs w:val="24"/>
              </w:rPr>
              <w:t>2.</w:t>
            </w:r>
            <w:r>
              <w:rPr>
                <w:rFonts w:hint="eastAsia" w:ascii="宋体" w:hAnsi="宋体" w:eastAsia="宋体" w:cs="Times New Roman"/>
                <w:color w:val="auto"/>
                <w:sz w:val="24"/>
                <w:szCs w:val="24"/>
              </w:rPr>
              <w:t>投标报价</w:t>
            </w:r>
            <w:r>
              <w:rPr>
                <w:rFonts w:hint="eastAsia" w:ascii="宋体" w:hAnsi="宋体" w:eastAsia="宋体" w:cs="Times New Roman"/>
                <w:color w:val="auto"/>
                <w:sz w:val="24"/>
                <w:szCs w:val="24"/>
                <w:lang w:val="en-US" w:eastAsia="zh-CN"/>
              </w:rPr>
              <w:t>1</w:t>
            </w:r>
            <w:r>
              <w:rPr>
                <w:rFonts w:ascii="宋体" w:hAnsi="宋体" w:eastAsia="宋体" w:cs="Times New Roman"/>
                <w:color w:val="auto"/>
                <w:sz w:val="24"/>
                <w:szCs w:val="24"/>
              </w:rPr>
              <w:t>0</w:t>
            </w:r>
            <w:r>
              <w:rPr>
                <w:rFonts w:hint="eastAsia" w:ascii="宋体" w:hAnsi="宋体" w:eastAsia="宋体" w:cs="Times New Roman"/>
                <w:color w:val="auto"/>
                <w:sz w:val="24"/>
                <w:szCs w:val="24"/>
              </w:rPr>
              <w:t>分</w:t>
            </w:r>
          </w:p>
        </w:tc>
      </w:tr>
      <w:tr w14:paraId="781D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 w:hRule="atLeast"/>
          <w:jc w:val="center"/>
        </w:trPr>
        <w:tc>
          <w:tcPr>
            <w:tcW w:w="610" w:type="dxa"/>
            <w:tcMar>
              <w:top w:w="0" w:type="dxa"/>
              <w:left w:w="28" w:type="dxa"/>
              <w:bottom w:w="0" w:type="dxa"/>
              <w:right w:w="28" w:type="dxa"/>
            </w:tcMar>
            <w:vAlign w:val="center"/>
          </w:tcPr>
          <w:p w14:paraId="28F6CC47">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2772" w:type="dxa"/>
            <w:tcMar>
              <w:top w:w="0" w:type="dxa"/>
              <w:left w:w="28" w:type="dxa"/>
              <w:bottom w:w="0" w:type="dxa"/>
              <w:right w:w="28" w:type="dxa"/>
            </w:tcMar>
            <w:vAlign w:val="center"/>
          </w:tcPr>
          <w:p w14:paraId="2A7EDF66">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资格审查</w:t>
            </w:r>
          </w:p>
        </w:tc>
        <w:tc>
          <w:tcPr>
            <w:tcW w:w="5744" w:type="dxa"/>
            <w:tcMar>
              <w:top w:w="0" w:type="dxa"/>
              <w:left w:w="28" w:type="dxa"/>
              <w:bottom w:w="0" w:type="dxa"/>
              <w:right w:w="28" w:type="dxa"/>
            </w:tcMar>
            <w:vAlign w:val="center"/>
          </w:tcPr>
          <w:p w14:paraId="5D2BA362">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详见《资格审查标准》</w:t>
            </w:r>
          </w:p>
        </w:tc>
      </w:tr>
      <w:tr w14:paraId="2FA8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tcMar>
              <w:top w:w="0" w:type="dxa"/>
              <w:left w:w="28" w:type="dxa"/>
              <w:bottom w:w="0" w:type="dxa"/>
              <w:right w:w="28" w:type="dxa"/>
            </w:tcMar>
            <w:vAlign w:val="center"/>
          </w:tcPr>
          <w:p w14:paraId="6034D381">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2772" w:type="dxa"/>
            <w:tcMar>
              <w:top w:w="0" w:type="dxa"/>
              <w:left w:w="28" w:type="dxa"/>
              <w:bottom w:w="0" w:type="dxa"/>
              <w:right w:w="28" w:type="dxa"/>
            </w:tcMar>
            <w:vAlign w:val="center"/>
          </w:tcPr>
          <w:p w14:paraId="1459DA01">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完备性及符合性审查</w:t>
            </w:r>
          </w:p>
        </w:tc>
        <w:tc>
          <w:tcPr>
            <w:tcW w:w="5744" w:type="dxa"/>
            <w:tcMar>
              <w:top w:w="0" w:type="dxa"/>
              <w:left w:w="28" w:type="dxa"/>
              <w:bottom w:w="0" w:type="dxa"/>
              <w:right w:w="28" w:type="dxa"/>
            </w:tcMar>
            <w:vAlign w:val="center"/>
          </w:tcPr>
          <w:p w14:paraId="51B65A8B">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详见《完备性及符合性审查标准》</w:t>
            </w:r>
          </w:p>
        </w:tc>
      </w:tr>
      <w:tr w14:paraId="530B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610" w:type="dxa"/>
            <w:vMerge w:val="restart"/>
            <w:tcMar>
              <w:top w:w="0" w:type="dxa"/>
              <w:left w:w="28" w:type="dxa"/>
              <w:bottom w:w="0" w:type="dxa"/>
              <w:right w:w="28" w:type="dxa"/>
            </w:tcMar>
            <w:vAlign w:val="center"/>
          </w:tcPr>
          <w:p w14:paraId="1F2603E7">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2772" w:type="dxa"/>
            <w:vMerge w:val="restart"/>
            <w:tcMar>
              <w:top w:w="0" w:type="dxa"/>
              <w:left w:w="28" w:type="dxa"/>
              <w:bottom w:w="0" w:type="dxa"/>
              <w:right w:w="28" w:type="dxa"/>
            </w:tcMar>
            <w:vAlign w:val="center"/>
          </w:tcPr>
          <w:p w14:paraId="77620188">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报价评审</w:t>
            </w:r>
          </w:p>
        </w:tc>
        <w:tc>
          <w:tcPr>
            <w:tcW w:w="5744" w:type="dxa"/>
            <w:tcMar>
              <w:top w:w="0" w:type="dxa"/>
              <w:left w:w="28" w:type="dxa"/>
              <w:bottom w:w="0" w:type="dxa"/>
              <w:right w:w="28" w:type="dxa"/>
            </w:tcMar>
            <w:vAlign w:val="center"/>
          </w:tcPr>
          <w:p w14:paraId="547F68AD">
            <w:pPr>
              <w:keepLines w:val="0"/>
              <w:pageBreakBefore w:val="0"/>
              <w:kinsoku/>
              <w:wordWrap/>
              <w:overflowPunct/>
              <w:topLinePunct w:val="0"/>
              <w:bidi w:val="0"/>
              <w:spacing w:line="360" w:lineRule="auto"/>
              <w:rPr>
                <w:rFonts w:ascii="宋体" w:hAnsi="Calibri" w:eastAsia="宋体" w:cs="Times New Roman"/>
                <w:color w:val="auto"/>
                <w:sz w:val="24"/>
                <w:szCs w:val="24"/>
              </w:rPr>
            </w:pPr>
            <w:r>
              <w:rPr>
                <w:rFonts w:hint="eastAsia" w:ascii="宋体" w:hAnsi="宋体" w:eastAsia="宋体" w:cs="Times New Roman"/>
                <w:color w:val="auto"/>
                <w:sz w:val="24"/>
                <w:szCs w:val="24"/>
              </w:rPr>
              <w:t>详见《详细评审标准》及</w:t>
            </w:r>
            <w:r>
              <w:rPr>
                <w:rFonts w:hint="eastAsia" w:ascii="宋体" w:hAnsi="Calibri" w:eastAsia="宋体" w:cs="Arial"/>
                <w:color w:val="auto"/>
                <w:kern w:val="0"/>
                <w:sz w:val="24"/>
                <w:szCs w:val="24"/>
              </w:rPr>
              <w:t>本节第3.7款</w:t>
            </w:r>
          </w:p>
        </w:tc>
      </w:tr>
      <w:tr w14:paraId="0E9BD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7" w:hRule="atLeast"/>
          <w:jc w:val="center"/>
        </w:trPr>
        <w:tc>
          <w:tcPr>
            <w:tcW w:w="610" w:type="dxa"/>
            <w:vMerge w:val="continue"/>
            <w:tcMar>
              <w:top w:w="0" w:type="dxa"/>
              <w:left w:w="28" w:type="dxa"/>
              <w:bottom w:w="0" w:type="dxa"/>
              <w:right w:w="28" w:type="dxa"/>
            </w:tcMar>
            <w:vAlign w:val="center"/>
          </w:tcPr>
          <w:p w14:paraId="6E3E1EEB">
            <w:pPr>
              <w:keepLines w:val="0"/>
              <w:pageBreakBefore w:val="0"/>
              <w:kinsoku/>
              <w:wordWrap/>
              <w:overflowPunct/>
              <w:topLinePunct w:val="0"/>
              <w:bidi w:val="0"/>
              <w:spacing w:line="360" w:lineRule="auto"/>
              <w:jc w:val="center"/>
              <w:rPr>
                <w:rFonts w:ascii="宋体" w:hAnsi="宋体" w:eastAsia="宋体" w:cs="Times New Roman"/>
                <w:color w:val="auto"/>
                <w:sz w:val="24"/>
                <w:szCs w:val="24"/>
              </w:rPr>
            </w:pPr>
          </w:p>
        </w:tc>
        <w:tc>
          <w:tcPr>
            <w:tcW w:w="2772" w:type="dxa"/>
            <w:vMerge w:val="continue"/>
            <w:tcMar>
              <w:top w:w="0" w:type="dxa"/>
              <w:left w:w="28" w:type="dxa"/>
              <w:bottom w:w="0" w:type="dxa"/>
              <w:right w:w="28" w:type="dxa"/>
            </w:tcMar>
            <w:vAlign w:val="center"/>
          </w:tcPr>
          <w:p w14:paraId="2B0FC7E4">
            <w:pPr>
              <w:keepLines w:val="0"/>
              <w:pageBreakBefore w:val="0"/>
              <w:kinsoku/>
              <w:wordWrap/>
              <w:overflowPunct/>
              <w:topLinePunct w:val="0"/>
              <w:bidi w:val="0"/>
              <w:spacing w:line="360" w:lineRule="auto"/>
              <w:rPr>
                <w:rFonts w:ascii="宋体" w:hAnsi="Calibri" w:eastAsia="宋体" w:cs="Times New Roman"/>
                <w:color w:val="auto"/>
                <w:sz w:val="24"/>
                <w:szCs w:val="24"/>
              </w:rPr>
            </w:pPr>
          </w:p>
        </w:tc>
        <w:tc>
          <w:tcPr>
            <w:tcW w:w="5744" w:type="dxa"/>
            <w:tcMar>
              <w:top w:w="0" w:type="dxa"/>
              <w:left w:w="28" w:type="dxa"/>
              <w:bottom w:w="0" w:type="dxa"/>
              <w:right w:w="28" w:type="dxa"/>
            </w:tcMar>
          </w:tcPr>
          <w:p w14:paraId="0AA9CCEB">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投标报价得分计算方法：</w:t>
            </w:r>
          </w:p>
          <w:p w14:paraId="3BA1557D">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1.投标报价的确定</w:t>
            </w:r>
          </w:p>
          <w:p w14:paraId="162025B4">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投标报价是指经评审的且不超过采购预算金额的投标价格</w:t>
            </w:r>
          </w:p>
          <w:p w14:paraId="5C132EFD">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2.评标基准价的确定</w:t>
            </w:r>
          </w:p>
          <w:p w14:paraId="10ECE9DA">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ascii="宋体" w:hAnsi="宋体" w:eastAsia="宋体" w:cs="Times New Roman"/>
                <w:bCs/>
                <w:color w:val="auto"/>
                <w:sz w:val="24"/>
                <w:szCs w:val="24"/>
              </w:rPr>
              <w:t>满足竞争性磋商文件要求且</w:t>
            </w:r>
            <w:r>
              <w:rPr>
                <w:rFonts w:hint="eastAsia" w:ascii="宋体" w:hAnsi="宋体" w:eastAsia="宋体" w:cs="Times New Roman"/>
                <w:bCs/>
                <w:color w:val="auto"/>
                <w:sz w:val="24"/>
                <w:szCs w:val="24"/>
              </w:rPr>
              <w:t>投标报价</w:t>
            </w:r>
            <w:r>
              <w:rPr>
                <w:rFonts w:ascii="宋体" w:hAnsi="宋体" w:eastAsia="宋体" w:cs="Times New Roman"/>
                <w:bCs/>
                <w:color w:val="auto"/>
                <w:sz w:val="24"/>
                <w:szCs w:val="24"/>
              </w:rPr>
              <w:t>最低的为评标基准价</w:t>
            </w:r>
          </w:p>
          <w:p w14:paraId="0B9E45A3">
            <w:pPr>
              <w:keepLines w:val="0"/>
              <w:pageBreakBefore w:val="0"/>
              <w:kinsoku/>
              <w:wordWrap/>
              <w:overflowPunct/>
              <w:topLinePunct w:val="0"/>
              <w:bidi w:val="0"/>
              <w:spacing w:line="360" w:lineRule="auto"/>
              <w:rPr>
                <w:rFonts w:ascii="宋体" w:hAnsi="宋体" w:eastAsia="宋体" w:cs="Times New Roman"/>
                <w:bCs/>
                <w:color w:val="auto"/>
                <w:sz w:val="24"/>
                <w:szCs w:val="24"/>
              </w:rPr>
            </w:pPr>
            <w:r>
              <w:rPr>
                <w:rFonts w:hint="eastAsia" w:ascii="宋体" w:hAnsi="宋体" w:eastAsia="宋体" w:cs="Times New Roman"/>
                <w:bCs/>
                <w:color w:val="auto"/>
                <w:sz w:val="24"/>
                <w:szCs w:val="24"/>
              </w:rPr>
              <w:t>3.</w:t>
            </w:r>
            <w:r>
              <w:rPr>
                <w:rFonts w:ascii="宋体" w:hAnsi="宋体" w:eastAsia="宋体" w:cs="Times New Roman"/>
                <w:bCs/>
                <w:color w:val="auto"/>
                <w:sz w:val="24"/>
                <w:szCs w:val="24"/>
              </w:rPr>
              <w:t>投标报价得分=(评标基准价／投标报价)×100×</w:t>
            </w:r>
            <w:r>
              <w:rPr>
                <w:rFonts w:hint="eastAsia" w:ascii="宋体" w:hAnsi="宋体" w:eastAsia="宋体" w:cs="Times New Roman"/>
                <w:bCs/>
                <w:color w:val="auto"/>
                <w:sz w:val="24"/>
                <w:szCs w:val="24"/>
                <w:lang w:val="en-US" w:eastAsia="zh-CN"/>
              </w:rPr>
              <w:t>1</w:t>
            </w:r>
            <w:r>
              <w:rPr>
                <w:rFonts w:hint="eastAsia" w:ascii="宋体" w:hAnsi="宋体" w:eastAsia="宋体" w:cs="Times New Roman"/>
                <w:bCs/>
                <w:color w:val="auto"/>
                <w:sz w:val="24"/>
                <w:szCs w:val="24"/>
              </w:rPr>
              <w:t>0%</w:t>
            </w:r>
          </w:p>
          <w:p w14:paraId="7BD93AFB">
            <w:pPr>
              <w:keepLines w:val="0"/>
              <w:pageBreakBefore w:val="0"/>
              <w:kinsoku/>
              <w:wordWrap/>
              <w:overflowPunct/>
              <w:topLinePunct w:val="0"/>
              <w:bidi w:val="0"/>
              <w:spacing w:line="360" w:lineRule="auto"/>
              <w:rPr>
                <w:rFonts w:hint="eastAsia" w:ascii="宋体" w:hAnsi="宋体" w:eastAsia="宋体" w:cs="Times New Roman"/>
                <w:bCs/>
                <w:color w:val="auto"/>
                <w:sz w:val="24"/>
                <w:szCs w:val="24"/>
              </w:rPr>
            </w:pPr>
            <w:r>
              <w:rPr>
                <w:rFonts w:hint="eastAsia" w:ascii="宋体" w:hAnsi="宋体" w:eastAsia="宋体" w:cs="Times New Roman"/>
                <w:bCs/>
                <w:color w:val="auto"/>
                <w:sz w:val="24"/>
                <w:szCs w:val="24"/>
              </w:rPr>
              <w:t>4.评分分值计算保留小数点后两位，小数点后三位“四舍五入”。</w:t>
            </w:r>
          </w:p>
          <w:p w14:paraId="2502D380">
            <w:pPr>
              <w:keepLines w:val="0"/>
              <w:pageBreakBefore w:val="0"/>
              <w:widowControl/>
              <w:numPr>
                <w:ilvl w:val="0"/>
                <w:numId w:val="0"/>
              </w:numPr>
              <w:kinsoku/>
              <w:wordWrap/>
              <w:overflowPunct/>
              <w:topLinePunct w:val="0"/>
              <w:bidi w:val="0"/>
              <w:spacing w:line="360" w:lineRule="auto"/>
              <w:jc w:val="left"/>
              <w:rPr>
                <w:rFonts w:hint="eastAsia" w:ascii="宋体" w:hAnsi="宋体" w:eastAsia="宋体" w:cs="Times New Roman"/>
                <w:bCs/>
                <w:color w:val="auto"/>
                <w:sz w:val="24"/>
                <w:szCs w:val="24"/>
              </w:rPr>
            </w:pPr>
            <w:r>
              <w:rPr>
                <w:rFonts w:hint="eastAsia" w:cs="Arial" w:asciiTheme="minorEastAsia" w:hAnsiTheme="minorEastAsia"/>
                <w:b/>
                <w:bCs/>
                <w:color w:val="auto"/>
                <w:sz w:val="24"/>
                <w:szCs w:val="24"/>
                <w:lang w:eastAsia="zh-CN"/>
              </w:rPr>
              <w:t>注：</w:t>
            </w:r>
            <w:r>
              <w:rPr>
                <w:rFonts w:hint="eastAsia" w:cs="Arial" w:asciiTheme="minorEastAsia" w:hAnsiTheme="minorEastAsia"/>
                <w:b/>
                <w:bCs/>
                <w:color w:val="auto"/>
                <w:sz w:val="24"/>
                <w:szCs w:val="24"/>
              </w:rPr>
              <w:t>本</w:t>
            </w:r>
            <w:r>
              <w:rPr>
                <w:rFonts w:cs="Arial" w:asciiTheme="minorEastAsia" w:hAnsiTheme="minorEastAsia"/>
                <w:b/>
                <w:bCs/>
                <w:color w:val="auto"/>
                <w:sz w:val="24"/>
                <w:szCs w:val="24"/>
              </w:rPr>
              <w:t>项目对小微企业报价给予</w:t>
            </w:r>
            <w:r>
              <w:rPr>
                <w:rFonts w:hint="eastAsia" w:cs="Arial" w:asciiTheme="minorEastAsia" w:hAnsiTheme="minorEastAsia"/>
                <w:b/>
                <w:bCs/>
                <w:color w:val="auto"/>
                <w:sz w:val="24"/>
                <w:szCs w:val="24"/>
                <w:u w:val="single"/>
              </w:rPr>
              <w:t xml:space="preserve"> </w:t>
            </w:r>
            <w:r>
              <w:rPr>
                <w:rFonts w:cs="Arial" w:asciiTheme="minorEastAsia" w:hAnsiTheme="minorEastAsia"/>
                <w:b/>
                <w:bCs/>
                <w:color w:val="auto"/>
                <w:sz w:val="24"/>
                <w:szCs w:val="24"/>
                <w:u w:val="single"/>
              </w:rPr>
              <w:t>10%</w:t>
            </w:r>
            <w:r>
              <w:rPr>
                <w:rFonts w:hint="eastAsia" w:cs="Arial" w:asciiTheme="minorEastAsia" w:hAnsiTheme="minorEastAsia"/>
                <w:b/>
                <w:bCs/>
                <w:color w:val="auto"/>
                <w:sz w:val="24"/>
                <w:szCs w:val="24"/>
                <w:u w:val="single"/>
              </w:rPr>
              <w:t xml:space="preserve"> </w:t>
            </w:r>
            <w:r>
              <w:rPr>
                <w:rFonts w:cs="Arial" w:asciiTheme="minorEastAsia" w:hAnsiTheme="minorEastAsia"/>
                <w:b/>
                <w:bCs/>
                <w:color w:val="auto"/>
                <w:sz w:val="24"/>
                <w:szCs w:val="24"/>
              </w:rPr>
              <w:t>的扣除后的价格参加评审，经济标基准值以下浮后（如有）的最低价为准。</w:t>
            </w:r>
          </w:p>
        </w:tc>
      </w:tr>
    </w:tbl>
    <w:p w14:paraId="00990568">
      <w:pPr>
        <w:keepLines w:val="0"/>
        <w:pageBreakBefore w:val="0"/>
        <w:widowControl/>
        <w:shd w:val="clear" w:color="auto" w:fill="FFFFFF"/>
        <w:kinsoku/>
        <w:wordWrap/>
        <w:overflowPunct/>
        <w:topLinePunct w:val="0"/>
        <w:bidi w:val="0"/>
        <w:snapToGrid w:val="0"/>
        <w:spacing w:line="360" w:lineRule="auto"/>
        <w:jc w:val="center"/>
        <w:rPr>
          <w:rFonts w:ascii="宋体" w:hAnsi="宋体" w:eastAsia="宋体" w:cs="Arial"/>
          <w:b/>
          <w:color w:val="auto"/>
          <w:kern w:val="0"/>
          <w:sz w:val="24"/>
          <w:szCs w:val="24"/>
        </w:rPr>
      </w:pPr>
      <w:bookmarkStart w:id="59" w:name="_Toc501719166"/>
      <w:r>
        <w:rPr>
          <w:rFonts w:hint="eastAsia" w:ascii="宋体" w:hAnsi="宋体" w:eastAsia="宋体" w:cs="Arial"/>
          <w:b/>
          <w:color w:val="auto"/>
          <w:kern w:val="0"/>
          <w:sz w:val="24"/>
          <w:szCs w:val="24"/>
        </w:rPr>
        <w:t>《资格审查标准》</w:t>
      </w:r>
      <w:bookmarkEnd w:id="59"/>
    </w:p>
    <w:tbl>
      <w:tblPr>
        <w:tblStyle w:val="44"/>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850"/>
        <w:gridCol w:w="1725"/>
        <w:gridCol w:w="6441"/>
      </w:tblGrid>
      <w:tr w14:paraId="413C3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14:paraId="31F42C04">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bookmarkStart w:id="60" w:name="OLE_LINK60"/>
            <w:bookmarkStart w:id="61" w:name="OLE_LINK59"/>
            <w:r>
              <w:rPr>
                <w:rFonts w:hint="eastAsia" w:cs="Arial" w:asciiTheme="minorEastAsia" w:hAnsiTheme="minorEastAsia"/>
                <w:b/>
                <w:color w:val="auto"/>
                <w:szCs w:val="21"/>
              </w:rPr>
              <w:t>序号</w:t>
            </w:r>
          </w:p>
        </w:tc>
        <w:tc>
          <w:tcPr>
            <w:tcW w:w="850" w:type="dxa"/>
            <w:vAlign w:val="center"/>
          </w:tcPr>
          <w:p w14:paraId="69108482">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r>
              <w:rPr>
                <w:rFonts w:hint="eastAsia" w:cs="Arial" w:asciiTheme="minorEastAsia" w:hAnsiTheme="minorEastAsia"/>
                <w:b/>
                <w:color w:val="auto"/>
                <w:szCs w:val="21"/>
              </w:rPr>
              <w:t>类型</w:t>
            </w:r>
          </w:p>
        </w:tc>
        <w:tc>
          <w:tcPr>
            <w:tcW w:w="1725" w:type="dxa"/>
            <w:vAlign w:val="center"/>
          </w:tcPr>
          <w:p w14:paraId="783E3604">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r>
              <w:rPr>
                <w:rFonts w:hint="eastAsia" w:cs="Arial" w:asciiTheme="minorEastAsia" w:hAnsiTheme="minorEastAsia"/>
                <w:b/>
                <w:color w:val="auto"/>
                <w:szCs w:val="21"/>
              </w:rPr>
              <w:t>审查要求</w:t>
            </w:r>
          </w:p>
        </w:tc>
        <w:tc>
          <w:tcPr>
            <w:tcW w:w="6441" w:type="dxa"/>
            <w:vAlign w:val="center"/>
          </w:tcPr>
          <w:p w14:paraId="3DA1FFF9">
            <w:pPr>
              <w:keepLines w:val="0"/>
              <w:pageBreakBefore w:val="0"/>
              <w:widowControl/>
              <w:kinsoku/>
              <w:wordWrap/>
              <w:overflowPunct/>
              <w:topLinePunct w:val="0"/>
              <w:bidi w:val="0"/>
              <w:snapToGrid w:val="0"/>
              <w:spacing w:line="360" w:lineRule="auto"/>
              <w:jc w:val="center"/>
              <w:rPr>
                <w:rFonts w:cs="Arial" w:asciiTheme="minorEastAsia" w:hAnsiTheme="minorEastAsia"/>
                <w:b/>
                <w:color w:val="auto"/>
                <w:szCs w:val="21"/>
              </w:rPr>
            </w:pPr>
            <w:r>
              <w:rPr>
                <w:rFonts w:hint="eastAsia" w:cs="Arial" w:asciiTheme="minorEastAsia" w:hAnsiTheme="minorEastAsia"/>
                <w:b/>
                <w:color w:val="auto"/>
                <w:szCs w:val="21"/>
              </w:rPr>
              <w:t>要求说明</w:t>
            </w:r>
          </w:p>
        </w:tc>
      </w:tr>
      <w:tr w14:paraId="5538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506389F1">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1</w:t>
            </w:r>
          </w:p>
        </w:tc>
        <w:tc>
          <w:tcPr>
            <w:tcW w:w="850" w:type="dxa"/>
            <w:vMerge w:val="restart"/>
            <w:vAlign w:val="center"/>
          </w:tcPr>
          <w:p w14:paraId="4F879ECF">
            <w:pPr>
              <w:keepLines w:val="0"/>
              <w:pageBreakBefore w:val="0"/>
              <w:kinsoku/>
              <w:wordWrap/>
              <w:overflowPunct/>
              <w:topLinePunct w:val="0"/>
              <w:bidi w:val="0"/>
              <w:spacing w:line="360" w:lineRule="auto"/>
              <w:jc w:val="center"/>
              <w:rPr>
                <w:rFonts w:asciiTheme="minorEastAsia" w:hAnsiTheme="minorEastAsia"/>
                <w:color w:val="auto"/>
                <w:szCs w:val="21"/>
              </w:rPr>
            </w:pPr>
            <w:r>
              <w:rPr>
                <w:rFonts w:hint="eastAsia" w:asciiTheme="minorEastAsia" w:hAnsiTheme="minorEastAsia"/>
                <w:color w:val="auto"/>
                <w:szCs w:val="21"/>
              </w:rPr>
              <w:t>基本资质</w:t>
            </w:r>
          </w:p>
        </w:tc>
        <w:tc>
          <w:tcPr>
            <w:tcW w:w="1725" w:type="dxa"/>
          </w:tcPr>
          <w:p w14:paraId="53B84250">
            <w:pPr>
              <w:keepLines w:val="0"/>
              <w:pageBreakBefore w:val="0"/>
              <w:kinsoku/>
              <w:wordWrap/>
              <w:overflowPunct/>
              <w:topLinePunct w:val="0"/>
              <w:bidi w:val="0"/>
              <w:spacing w:line="360" w:lineRule="auto"/>
              <w:jc w:val="left"/>
              <w:rPr>
                <w:rFonts w:asciiTheme="minorEastAsia" w:hAnsiTheme="minorEastAsia"/>
                <w:color w:val="auto"/>
                <w:szCs w:val="21"/>
              </w:rPr>
            </w:pPr>
            <w:r>
              <w:rPr>
                <w:rFonts w:hint="eastAsia" w:asciiTheme="minorEastAsia" w:hAnsiTheme="minorEastAsia"/>
                <w:color w:val="auto"/>
                <w:szCs w:val="21"/>
              </w:rPr>
              <w:t>具有独立承担民事责任的能力；</w:t>
            </w:r>
          </w:p>
        </w:tc>
        <w:tc>
          <w:tcPr>
            <w:tcW w:w="6441" w:type="dxa"/>
          </w:tcPr>
          <w:p w14:paraId="14C2D68A">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供应商是企业（包括合伙企业）的，应提供其在工商部门注册的有效“企业法人营业执照”或“营业执照”的复印件； </w:t>
            </w:r>
          </w:p>
          <w:p w14:paraId="2E978A7F">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供应商是事业单位的，应提供其有效的“事业单位法人证书”复印件； </w:t>
            </w:r>
          </w:p>
          <w:p w14:paraId="42D6E98A">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供应商是非企业专业服务机构的，应提供其有效的执业许可证复印件； </w:t>
            </w:r>
          </w:p>
          <w:p w14:paraId="5BDB3067">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供应商是个体工商户的，应 提供其有效的“个体工商户营业执照”复印件； </w:t>
            </w:r>
          </w:p>
          <w:p w14:paraId="10073AA2">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供应商是自然人的，应提供其有效的自然人身份证明；</w:t>
            </w:r>
          </w:p>
        </w:tc>
      </w:tr>
      <w:tr w14:paraId="6F66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534" w:type="dxa"/>
            <w:vMerge w:val="continue"/>
          </w:tcPr>
          <w:p w14:paraId="33607465">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77F2ADDD">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vMerge w:val="restart"/>
          </w:tcPr>
          <w:p w14:paraId="32C753DE">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具有良好的商业信誉和健全的财务会计制度；</w:t>
            </w:r>
          </w:p>
        </w:tc>
        <w:tc>
          <w:tcPr>
            <w:tcW w:w="6441" w:type="dxa"/>
          </w:tcPr>
          <w:p w14:paraId="7D7CC3CE">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cs="宋体" w:asciiTheme="minorEastAsia" w:hAnsiTheme="minorEastAsia"/>
                <w:color w:val="auto"/>
                <w:kern w:val="0"/>
                <w:szCs w:val="21"/>
              </w:rPr>
              <w:t xml:space="preserve">①供应商可提供本单位 “信用中国”网站（www.creditchina.gov.cn）及“中国政府采购网”（www.ccgp.gov.cn）已公布的信用记录查询截图。 </w:t>
            </w:r>
          </w:p>
          <w:p w14:paraId="03F2FAED">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截图含 1）重大税收违法失信主体的供应商；2）被列入失信被执行人；3）列入政府采购严重违法失信行为记录名单。供应商提供的截图与采购人或采购代理机构查询截图不一致的或未提供的，以采购人或采购代理机构查询结果为准。</w:t>
            </w:r>
          </w:p>
        </w:tc>
      </w:tr>
      <w:tr w14:paraId="7946A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34" w:type="dxa"/>
            <w:vMerge w:val="continue"/>
          </w:tcPr>
          <w:p w14:paraId="7CC1AFC0">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0A41C260">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vMerge w:val="continue"/>
          </w:tcPr>
          <w:p w14:paraId="73897A69">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p>
        </w:tc>
        <w:tc>
          <w:tcPr>
            <w:tcW w:w="6441" w:type="dxa"/>
          </w:tcPr>
          <w:p w14:paraId="39C26B5E">
            <w:pPr>
              <w:keepLines w:val="0"/>
              <w:pageBreakBefore w:val="0"/>
              <w:widowControl/>
              <w:kinsoku/>
              <w:wordWrap/>
              <w:overflowPunct/>
              <w:topLinePunct w:val="0"/>
              <w:bidi w:val="0"/>
              <w:spacing w:line="360" w:lineRule="auto"/>
              <w:jc w:val="left"/>
              <w:rPr>
                <w:rFonts w:hint="eastAsia" w:cs="宋体" w:asciiTheme="minorEastAsia" w:hAnsiTheme="minorEastAsia" w:eastAsiaTheme="minorEastAsia"/>
                <w:color w:val="auto"/>
                <w:kern w:val="0"/>
                <w:szCs w:val="21"/>
                <w:lang w:eastAsia="zh-CN"/>
              </w:rPr>
            </w:pPr>
            <w:bookmarkStart w:id="62" w:name="OLE_LINK53"/>
            <w:r>
              <w:rPr>
                <w:rFonts w:hint="eastAsia" w:cs="宋体" w:asciiTheme="minorEastAsia" w:hAnsiTheme="minorEastAsia"/>
                <w:color w:val="auto"/>
                <w:kern w:val="0"/>
                <w:szCs w:val="21"/>
              </w:rPr>
              <w:t>②提供近一年内任意一个月财务报表或会计师事务所出具的2023年度</w:t>
            </w:r>
            <w:r>
              <w:rPr>
                <w:rFonts w:hint="eastAsia" w:cs="宋体" w:asciiTheme="minorEastAsia" w:hAnsiTheme="minorEastAsia"/>
                <w:color w:val="auto"/>
                <w:kern w:val="0"/>
                <w:szCs w:val="21"/>
                <w:lang w:val="en-US" w:eastAsia="zh-CN"/>
              </w:rPr>
              <w:t>或2024年度</w:t>
            </w:r>
            <w:r>
              <w:rPr>
                <w:rFonts w:hint="eastAsia" w:cs="宋体" w:asciiTheme="minorEastAsia" w:hAnsiTheme="minorEastAsia"/>
                <w:color w:val="auto"/>
                <w:kern w:val="0"/>
                <w:szCs w:val="21"/>
              </w:rPr>
              <w:t>财务审计报告（报告中须包括资产负债表、利润表、现金流量表及财务报表附注）；</w:t>
            </w:r>
            <w:r>
              <w:rPr>
                <w:rFonts w:hint="eastAsia" w:cs="宋体" w:asciiTheme="minorEastAsia" w:hAnsiTheme="minorEastAsia"/>
                <w:color w:val="auto"/>
                <w:kern w:val="0"/>
                <w:szCs w:val="21"/>
                <w:lang w:eastAsia="zh-CN"/>
              </w:rPr>
              <w:t>如投标人为事业单位，</w:t>
            </w:r>
            <w:r>
              <w:rPr>
                <w:rFonts w:hint="eastAsia"/>
                <w:color w:val="auto"/>
                <w:lang w:val="en-US" w:eastAsia="zh-CN"/>
              </w:rPr>
              <w:t>提供呈送税务部门的资产负债表、收入费用表</w:t>
            </w:r>
            <w:r>
              <w:rPr>
                <w:rFonts w:hint="eastAsia" w:cs="宋体" w:asciiTheme="minorEastAsia" w:hAnsiTheme="minorEastAsia"/>
                <w:color w:val="auto"/>
                <w:kern w:val="0"/>
                <w:szCs w:val="21"/>
                <w:lang w:eastAsia="zh-CN"/>
              </w:rPr>
              <w:t>。</w:t>
            </w:r>
          </w:p>
          <w:p w14:paraId="42459FD7">
            <w:pPr>
              <w:keepLines w:val="0"/>
              <w:pageBreakBefore w:val="0"/>
              <w:widowControl/>
              <w:kinsoku/>
              <w:wordWrap/>
              <w:overflowPunct/>
              <w:topLinePunct w:val="0"/>
              <w:bidi w:val="0"/>
              <w:spacing w:line="360" w:lineRule="auto"/>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 xml:space="preserve">如果投标人为新成立单位，无法提供审计报告，则需提供新企业验资报告复印件并加盖提供报告单位的公章； </w:t>
            </w:r>
          </w:p>
          <w:p w14:paraId="70E68267">
            <w:pPr>
              <w:keepLines w:val="0"/>
              <w:pageBreakBefore w:val="0"/>
              <w:widowControl/>
              <w:kinsoku/>
              <w:wordWrap/>
              <w:overflowPunct/>
              <w:topLinePunct w:val="0"/>
              <w:bidi w:val="0"/>
              <w:spacing w:line="360" w:lineRule="auto"/>
              <w:jc w:val="left"/>
              <w:rPr>
                <w:rFonts w:hint="eastAsia" w:cs="宋体" w:asciiTheme="minorEastAsia" w:hAnsiTheme="minorEastAsia"/>
                <w:color w:val="auto"/>
                <w:kern w:val="0"/>
                <w:szCs w:val="21"/>
              </w:rPr>
            </w:pPr>
            <w:r>
              <w:rPr>
                <w:rFonts w:hint="eastAsia" w:cs="宋体" w:asciiTheme="minorEastAsia" w:hAnsiTheme="minorEastAsia"/>
                <w:color w:val="auto"/>
                <w:kern w:val="0"/>
                <w:szCs w:val="21"/>
              </w:rPr>
              <w:t>如投标人无法提供2023年度</w:t>
            </w:r>
            <w:r>
              <w:rPr>
                <w:rFonts w:hint="eastAsia" w:cs="宋体" w:asciiTheme="minorEastAsia" w:hAnsiTheme="minorEastAsia"/>
                <w:color w:val="auto"/>
                <w:kern w:val="0"/>
                <w:szCs w:val="21"/>
                <w:lang w:val="en-US" w:eastAsia="zh-CN"/>
              </w:rPr>
              <w:t>或2024年度</w:t>
            </w:r>
            <w:r>
              <w:rPr>
                <w:rFonts w:hint="eastAsia" w:cs="宋体" w:asciiTheme="minorEastAsia" w:hAnsiTheme="minorEastAsia"/>
                <w:color w:val="auto"/>
                <w:kern w:val="0"/>
                <w:szCs w:val="21"/>
              </w:rPr>
              <w:t xml:space="preserve">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14:paraId="3EFC1CB9">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银行资信证明应能说明该供应商与银行之间业务往来正常，无不良记录，企业信誉良好等。银行出具的存款证明不能作为银行资信证明。</w:t>
            </w:r>
            <w:bookmarkEnd w:id="62"/>
          </w:p>
        </w:tc>
      </w:tr>
      <w:tr w14:paraId="018A1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13F451B6">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42640574">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5223C830">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具有履行合同所必需的设备和专业技术能力；</w:t>
            </w:r>
          </w:p>
        </w:tc>
        <w:tc>
          <w:tcPr>
            <w:tcW w:w="6441" w:type="dxa"/>
          </w:tcPr>
          <w:p w14:paraId="4393EBF9">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供应商</w:t>
            </w:r>
            <w:r>
              <w:rPr>
                <w:rFonts w:hint="eastAsia" w:asciiTheme="minorEastAsia" w:hAnsiTheme="minorEastAsia"/>
                <w:color w:val="auto"/>
                <w:szCs w:val="21"/>
              </w:rPr>
              <w:t>提供具有履行合同所必需的设备和专业技术能力相关证明材料或承诺书；</w:t>
            </w:r>
          </w:p>
        </w:tc>
      </w:tr>
      <w:tr w14:paraId="59518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2D5F684E">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447F7A58">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79FAA190">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有依法缴纳税收和社会保障资金的良好记录；</w:t>
            </w:r>
          </w:p>
        </w:tc>
        <w:tc>
          <w:tcPr>
            <w:tcW w:w="6441" w:type="dxa"/>
          </w:tcPr>
          <w:p w14:paraId="7B01257C">
            <w:pPr>
              <w:keepLines w:val="0"/>
              <w:pageBreakBefore w:val="0"/>
              <w:widowControl/>
              <w:kinsoku/>
              <w:wordWrap/>
              <w:overflowPunct/>
              <w:topLinePunct w:val="0"/>
              <w:bidi w:val="0"/>
              <w:spacing w:line="360" w:lineRule="auto"/>
              <w:jc w:val="left"/>
              <w:rPr>
                <w:rFonts w:cs="宋体" w:asciiTheme="minorEastAsia" w:hAnsiTheme="minorEastAsia"/>
                <w:color w:val="auto"/>
                <w:kern w:val="0"/>
                <w:szCs w:val="21"/>
              </w:rPr>
            </w:pPr>
            <w:r>
              <w:rPr>
                <w:rFonts w:hint="eastAsia" w:asciiTheme="minorEastAsia" w:hAnsiTheme="minorEastAsia"/>
                <w:color w:val="auto"/>
                <w:szCs w:val="21"/>
              </w:rPr>
              <w:t>①</w:t>
            </w:r>
            <w:r>
              <w:rPr>
                <w:rFonts w:hint="eastAsia" w:cs="宋体" w:asciiTheme="minorEastAsia" w:hAnsiTheme="minorEastAsia"/>
                <w:color w:val="auto"/>
                <w:kern w:val="0"/>
                <w:szCs w:val="21"/>
              </w:rPr>
              <w:t xml:space="preserve">纳税收资料：供应商提供税务机构出具的递交投标文件截止时间近一年内任意一个月的依法缴纳税收等证明材料（刚成立不满一个月的企业，应提供依法缴纳税收承诺书；如依法免税的企业，应提供相应文件证明其依法免税）。 </w:t>
            </w:r>
          </w:p>
          <w:p w14:paraId="49DF0DCB">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②缴纳社会保障资金资料：供应商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tc>
      </w:tr>
      <w:tr w14:paraId="3BE1A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48A455E2">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2D3EAAF0">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37C5738E">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asciiTheme="minorEastAsia" w:hAnsiTheme="minorEastAsia"/>
                <w:color w:val="auto"/>
                <w:szCs w:val="21"/>
              </w:rPr>
              <w:t>提供无重大违法记录声明书</w:t>
            </w:r>
          </w:p>
        </w:tc>
        <w:tc>
          <w:tcPr>
            <w:tcW w:w="6441" w:type="dxa"/>
          </w:tcPr>
          <w:p w14:paraId="1AEF507F">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提供参加政府采购活动前三年内在经营活动中没有重大违法记录的书面声明；</w:t>
            </w:r>
          </w:p>
        </w:tc>
      </w:tr>
      <w:tr w14:paraId="2CA5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63A004F1">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5A2D8A39">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7D6B4796">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asciiTheme="minorEastAsia" w:hAnsiTheme="minorEastAsia"/>
                <w:color w:val="auto"/>
                <w:szCs w:val="21"/>
              </w:rPr>
              <w:t>法律、行政法规规定的其他条件；</w:t>
            </w:r>
          </w:p>
        </w:tc>
        <w:tc>
          <w:tcPr>
            <w:tcW w:w="6441" w:type="dxa"/>
          </w:tcPr>
          <w:p w14:paraId="649BA9FA">
            <w:pPr>
              <w:keepLines w:val="0"/>
              <w:pageBreakBefore w:val="0"/>
              <w:widowControl/>
              <w:kinsoku/>
              <w:wordWrap/>
              <w:overflowPunct/>
              <w:topLinePunct w:val="0"/>
              <w:bidi w:val="0"/>
              <w:snapToGrid w:val="0"/>
              <w:spacing w:line="360" w:lineRule="auto"/>
              <w:jc w:val="left"/>
              <w:rPr>
                <w:rFonts w:asciiTheme="minorEastAsia" w:hAnsiTheme="minorEastAsia"/>
                <w:color w:val="auto"/>
                <w:szCs w:val="21"/>
              </w:rPr>
            </w:pPr>
            <w:r>
              <w:rPr>
                <w:rFonts w:hint="eastAsia" w:cs="宋体" w:asciiTheme="minorEastAsia" w:hAnsiTheme="minorEastAsia"/>
                <w:color w:val="auto"/>
                <w:kern w:val="0"/>
                <w:szCs w:val="21"/>
              </w:rPr>
              <w:t>供应商提供供应商无关联关系书面承诺函：</w:t>
            </w:r>
            <w:r>
              <w:rPr>
                <w:rFonts w:cs="宋体" w:asciiTheme="minorEastAsia" w:hAnsiTheme="minorEastAsia"/>
                <w:color w:val="auto"/>
                <w:kern w:val="0"/>
                <w:szCs w:val="21"/>
              </w:rPr>
              <w:t>①与采购人存在利害关系可能影响招标公正性的法人、其他组织或者个人，不得参加投标。②</w:t>
            </w:r>
            <w:r>
              <w:rPr>
                <w:rFonts w:hint="eastAsia" w:cs="宋体" w:asciiTheme="minorEastAsia" w:hAnsiTheme="minorEastAsia"/>
                <w:color w:val="auto"/>
                <w:kern w:val="0"/>
                <w:szCs w:val="21"/>
              </w:rPr>
              <w:t>单位负责人为同一人或者存在控股、管理关系的不同投标人，不得参加同一合同项下的采购活动。</w:t>
            </w:r>
            <w:r>
              <w:rPr>
                <w:rFonts w:cs="宋体" w:asciiTheme="minorEastAsia" w:hAnsiTheme="minorEastAsia"/>
                <w:color w:val="auto"/>
                <w:kern w:val="0"/>
                <w:szCs w:val="21"/>
              </w:rPr>
              <w:t>违反前两款规定的，相关投标均无效。</w:t>
            </w:r>
          </w:p>
        </w:tc>
      </w:tr>
      <w:tr w14:paraId="37F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vAlign w:val="center"/>
          </w:tcPr>
          <w:p w14:paraId="6957928D">
            <w:pPr>
              <w:keepLines w:val="0"/>
              <w:pageBreakBefore w:val="0"/>
              <w:widowControl/>
              <w:kinsoku/>
              <w:wordWrap/>
              <w:overflowPunct/>
              <w:topLinePunct w:val="0"/>
              <w:bidi w:val="0"/>
              <w:snapToGrid w:val="0"/>
              <w:spacing w:line="360" w:lineRule="auto"/>
              <w:jc w:val="center"/>
              <w:rPr>
                <w:rFonts w:hint="eastAsia" w:cs="Arial" w:asciiTheme="minorEastAsia" w:hAnsiTheme="minorEastAsia" w:eastAsiaTheme="minorEastAsia"/>
                <w:color w:val="auto"/>
                <w:szCs w:val="21"/>
                <w:lang w:eastAsia="zh-CN"/>
              </w:rPr>
            </w:pPr>
            <w:r>
              <w:rPr>
                <w:rFonts w:hint="eastAsia" w:cs="Arial" w:asciiTheme="minorEastAsia" w:hAnsiTheme="minorEastAsia"/>
                <w:color w:val="auto"/>
                <w:szCs w:val="21"/>
                <w:lang w:val="en-US" w:eastAsia="zh-CN"/>
              </w:rPr>
              <w:t>2</w:t>
            </w:r>
          </w:p>
        </w:tc>
        <w:tc>
          <w:tcPr>
            <w:tcW w:w="850" w:type="dxa"/>
            <w:vMerge w:val="restart"/>
            <w:vAlign w:val="center"/>
          </w:tcPr>
          <w:p w14:paraId="1248E162">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r>
              <w:rPr>
                <w:rFonts w:hint="eastAsia" w:cs="Arial" w:asciiTheme="minorEastAsia" w:hAnsiTheme="minorEastAsia"/>
                <w:color w:val="auto"/>
                <w:szCs w:val="21"/>
              </w:rPr>
              <w:t>其他</w:t>
            </w:r>
          </w:p>
        </w:tc>
        <w:tc>
          <w:tcPr>
            <w:tcW w:w="1725" w:type="dxa"/>
            <w:vAlign w:val="center"/>
          </w:tcPr>
          <w:p w14:paraId="0F3FDB8A">
            <w:pPr>
              <w:keepLines w:val="0"/>
              <w:pageBreakBefore w:val="0"/>
              <w:widowControl/>
              <w:kinsoku/>
              <w:wordWrap/>
              <w:overflowPunct/>
              <w:topLinePunct w:val="0"/>
              <w:bidi w:val="0"/>
              <w:snapToGrid w:val="0"/>
              <w:spacing w:line="360" w:lineRule="auto"/>
              <w:jc w:val="center"/>
              <w:rPr>
                <w:rFonts w:asciiTheme="minorEastAsia" w:hAnsiTheme="minorEastAsia"/>
                <w:color w:val="auto"/>
                <w:szCs w:val="21"/>
              </w:rPr>
            </w:pPr>
            <w:r>
              <w:rPr>
                <w:rFonts w:hint="eastAsia" w:asciiTheme="minorEastAsia" w:hAnsiTheme="minorEastAsia"/>
                <w:color w:val="auto"/>
                <w:szCs w:val="21"/>
              </w:rPr>
              <w:t>法人和授权代表资格</w:t>
            </w:r>
          </w:p>
        </w:tc>
        <w:tc>
          <w:tcPr>
            <w:tcW w:w="6441" w:type="dxa"/>
          </w:tcPr>
          <w:p w14:paraId="5F0E8741">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asciiTheme="minorEastAsia" w:hAnsiTheme="minorEastAsia"/>
                <w:color w:val="auto"/>
                <w:szCs w:val="21"/>
              </w:rPr>
              <w:t>供应商提供有效的法定代表人身份证明文件及法定代表人授权委托书（法人组织提供授权委托书、其他组织提供负责人授权书、自然人提供身份证明文件）。</w:t>
            </w:r>
          </w:p>
        </w:tc>
      </w:tr>
      <w:tr w14:paraId="1F6E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Pr>
          <w:p w14:paraId="4FC7785B">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850" w:type="dxa"/>
            <w:vMerge w:val="continue"/>
          </w:tcPr>
          <w:p w14:paraId="51DD6D8A">
            <w:pPr>
              <w:keepLines w:val="0"/>
              <w:pageBreakBefore w:val="0"/>
              <w:widowControl/>
              <w:kinsoku/>
              <w:wordWrap/>
              <w:overflowPunct/>
              <w:topLinePunct w:val="0"/>
              <w:bidi w:val="0"/>
              <w:snapToGrid w:val="0"/>
              <w:spacing w:line="360" w:lineRule="auto"/>
              <w:jc w:val="center"/>
              <w:rPr>
                <w:rFonts w:cs="Arial" w:asciiTheme="minorEastAsia" w:hAnsiTheme="minorEastAsia"/>
                <w:color w:val="auto"/>
                <w:szCs w:val="21"/>
              </w:rPr>
            </w:pPr>
          </w:p>
        </w:tc>
        <w:tc>
          <w:tcPr>
            <w:tcW w:w="1725" w:type="dxa"/>
          </w:tcPr>
          <w:p w14:paraId="7368B61F">
            <w:pPr>
              <w:keepLines w:val="0"/>
              <w:pageBreakBefore w:val="0"/>
              <w:widowControl/>
              <w:kinsoku/>
              <w:wordWrap/>
              <w:overflowPunct/>
              <w:topLinePunct w:val="0"/>
              <w:bidi w:val="0"/>
              <w:spacing w:line="360" w:lineRule="auto"/>
              <w:jc w:val="left"/>
              <w:rPr>
                <w:rFonts w:asciiTheme="minorEastAsia" w:hAnsiTheme="minorEastAsia"/>
                <w:color w:val="auto"/>
                <w:szCs w:val="21"/>
              </w:rPr>
            </w:pPr>
            <w:r>
              <w:rPr>
                <w:rFonts w:hint="eastAsia" w:asciiTheme="minorEastAsia" w:hAnsiTheme="minorEastAsia"/>
                <w:color w:val="auto"/>
                <w:szCs w:val="21"/>
              </w:rPr>
              <w:t>磋商保证金是否按照采购文件要求缴纳。</w:t>
            </w:r>
          </w:p>
        </w:tc>
        <w:tc>
          <w:tcPr>
            <w:tcW w:w="6441" w:type="dxa"/>
          </w:tcPr>
          <w:p w14:paraId="726CD9D9">
            <w:pPr>
              <w:keepLines w:val="0"/>
              <w:pageBreakBefore w:val="0"/>
              <w:widowControl/>
              <w:kinsoku/>
              <w:wordWrap/>
              <w:overflowPunct/>
              <w:topLinePunct w:val="0"/>
              <w:bidi w:val="0"/>
              <w:spacing w:line="360" w:lineRule="auto"/>
              <w:jc w:val="left"/>
              <w:rPr>
                <w:rFonts w:hint="eastAsia" w:asciiTheme="minorEastAsia" w:hAnsiTheme="minorEastAsia" w:eastAsiaTheme="minorEastAsia"/>
                <w:color w:val="auto"/>
                <w:szCs w:val="21"/>
                <w:lang w:eastAsia="zh-CN"/>
              </w:rPr>
            </w:pPr>
            <w:bookmarkStart w:id="63" w:name="OLE_LINK43"/>
            <w:bookmarkStart w:id="64" w:name="OLE_LINK44"/>
            <w:bookmarkStart w:id="65" w:name="OLE_LINK36"/>
            <w:r>
              <w:rPr>
                <w:rFonts w:hint="eastAsia" w:asciiTheme="minorEastAsia" w:hAnsiTheme="minorEastAsia"/>
                <w:color w:val="auto"/>
                <w:szCs w:val="21"/>
              </w:rPr>
              <w:t>供应商提供磋商保证金缴纳凭证</w:t>
            </w:r>
            <w:bookmarkEnd w:id="63"/>
            <w:bookmarkEnd w:id="64"/>
            <w:bookmarkEnd w:id="65"/>
            <w:r>
              <w:rPr>
                <w:rFonts w:hint="eastAsia" w:asciiTheme="minorEastAsia" w:hAnsiTheme="minorEastAsia"/>
                <w:color w:val="auto"/>
                <w:szCs w:val="21"/>
                <w:lang w:eastAsia="zh-CN"/>
              </w:rPr>
              <w:t>。</w:t>
            </w:r>
          </w:p>
        </w:tc>
      </w:tr>
      <w:tr w14:paraId="4479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0" w:type="dxa"/>
            <w:gridSpan w:val="4"/>
          </w:tcPr>
          <w:p w14:paraId="538D3106">
            <w:pPr>
              <w:keepLines w:val="0"/>
              <w:pageBreakBefore w:val="0"/>
              <w:widowControl/>
              <w:kinsoku/>
              <w:wordWrap/>
              <w:overflowPunct/>
              <w:topLinePunct w:val="0"/>
              <w:bidi w:val="0"/>
              <w:snapToGrid w:val="0"/>
              <w:spacing w:line="360" w:lineRule="auto"/>
              <w:jc w:val="left"/>
              <w:rPr>
                <w:rFonts w:cs="宋体" w:asciiTheme="minorEastAsia" w:hAnsiTheme="minorEastAsia"/>
                <w:color w:val="auto"/>
                <w:szCs w:val="21"/>
              </w:rPr>
            </w:pPr>
            <w:r>
              <w:rPr>
                <w:rFonts w:hint="eastAsia" w:cs="宋体" w:asciiTheme="minorEastAsia" w:hAnsiTheme="minorEastAsia"/>
                <w:color w:val="auto"/>
                <w:szCs w:val="21"/>
              </w:rPr>
              <w:t>备注：采购人如果依据</w:t>
            </w:r>
            <w:r>
              <w:rPr>
                <w:rFonts w:hint="eastAsia" w:asciiTheme="minorEastAsia" w:hAnsiTheme="minorEastAsia"/>
                <w:color w:val="auto"/>
                <w:szCs w:val="21"/>
              </w:rPr>
              <w:t>供应商</w:t>
            </w:r>
            <w:r>
              <w:rPr>
                <w:rFonts w:hint="eastAsia" w:cs="宋体" w:asciiTheme="minorEastAsia" w:hAnsiTheme="minorEastAsia"/>
                <w:color w:val="auto"/>
                <w:szCs w:val="21"/>
              </w:rPr>
              <w:t>的响应文件，资格审查中有一项不满足审查标准的，将认定该</w:t>
            </w:r>
            <w:r>
              <w:rPr>
                <w:rFonts w:hint="eastAsia" w:asciiTheme="minorEastAsia" w:hAnsiTheme="minorEastAsia"/>
                <w:color w:val="auto"/>
                <w:szCs w:val="21"/>
              </w:rPr>
              <w:t>供应商</w:t>
            </w:r>
            <w:r>
              <w:rPr>
                <w:rFonts w:hint="eastAsia" w:cs="宋体" w:asciiTheme="minorEastAsia" w:hAnsiTheme="minorEastAsia"/>
                <w:color w:val="auto"/>
                <w:szCs w:val="21"/>
              </w:rPr>
              <w:t>不通过资格审查，不得进入下一阶段评审。并且不允许</w:t>
            </w:r>
            <w:r>
              <w:rPr>
                <w:rFonts w:hint="eastAsia" w:asciiTheme="minorEastAsia" w:hAnsiTheme="minorEastAsia"/>
                <w:color w:val="auto"/>
                <w:szCs w:val="21"/>
              </w:rPr>
              <w:t>供应商</w:t>
            </w:r>
            <w:r>
              <w:rPr>
                <w:rFonts w:hint="eastAsia" w:cs="宋体" w:asciiTheme="minorEastAsia" w:hAnsiTheme="minorEastAsia"/>
                <w:color w:val="auto"/>
                <w:szCs w:val="21"/>
              </w:rPr>
              <w:t>通过修改或撤销其不符合要求的差异或保留，使之成为具有响应性的投标。</w:t>
            </w:r>
          </w:p>
        </w:tc>
      </w:tr>
      <w:bookmarkEnd w:id="60"/>
      <w:bookmarkEnd w:id="61"/>
    </w:tbl>
    <w:p w14:paraId="1858EAD1">
      <w:pPr>
        <w:keepLines w:val="0"/>
        <w:pageBreakBefore w:val="0"/>
        <w:widowControl/>
        <w:shd w:val="clear" w:color="auto" w:fill="FFFFFF"/>
        <w:kinsoku/>
        <w:wordWrap/>
        <w:overflowPunct/>
        <w:topLinePunct w:val="0"/>
        <w:bidi w:val="0"/>
        <w:snapToGrid w:val="0"/>
        <w:spacing w:line="360" w:lineRule="auto"/>
        <w:jc w:val="center"/>
        <w:rPr>
          <w:rFonts w:ascii="宋体" w:hAnsi="宋体" w:eastAsia="宋体" w:cs="Arial"/>
          <w:b/>
          <w:color w:val="auto"/>
          <w:kern w:val="0"/>
          <w:sz w:val="24"/>
          <w:szCs w:val="24"/>
        </w:rPr>
      </w:pPr>
      <w:bookmarkStart w:id="66" w:name="_Toc501719167"/>
      <w:r>
        <w:rPr>
          <w:rFonts w:hint="eastAsia" w:ascii="宋体" w:hAnsi="宋体" w:eastAsia="宋体" w:cs="Arial"/>
          <w:b/>
          <w:color w:val="auto"/>
          <w:kern w:val="0"/>
          <w:sz w:val="24"/>
          <w:szCs w:val="24"/>
        </w:rPr>
        <w:t>《完备性及符合性审查标准》</w:t>
      </w:r>
      <w:bookmarkEnd w:id="66"/>
    </w:p>
    <w:tbl>
      <w:tblPr>
        <w:tblStyle w:val="43"/>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8938"/>
      </w:tblGrid>
      <w:tr w14:paraId="07EC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restart"/>
            <w:vAlign w:val="center"/>
          </w:tcPr>
          <w:p w14:paraId="62CFBDE3">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序号</w:t>
            </w:r>
          </w:p>
        </w:tc>
        <w:tc>
          <w:tcPr>
            <w:tcW w:w="8938" w:type="dxa"/>
            <w:vMerge w:val="restart"/>
            <w:vAlign w:val="center"/>
          </w:tcPr>
          <w:p w14:paraId="5860DD9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响应文件符合性审查内容</w:t>
            </w:r>
          </w:p>
        </w:tc>
      </w:tr>
      <w:tr w14:paraId="1516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33" w:type="dxa"/>
            <w:vMerge w:val="continue"/>
            <w:vAlign w:val="center"/>
          </w:tcPr>
          <w:p w14:paraId="2FA1D9D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8938" w:type="dxa"/>
            <w:vMerge w:val="continue"/>
          </w:tcPr>
          <w:p w14:paraId="0E0504B1">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2710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3BFBC39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1</w:t>
            </w:r>
          </w:p>
        </w:tc>
        <w:tc>
          <w:tcPr>
            <w:tcW w:w="8938" w:type="dxa"/>
          </w:tcPr>
          <w:p w14:paraId="6B08AB0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凡竞争性磋商文件中要求盖章或签字处，是否按要求加盖单位公章、法定代表人或被授权委托人签字或盖章的。</w:t>
            </w:r>
          </w:p>
        </w:tc>
      </w:tr>
      <w:tr w14:paraId="15926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2ADB9A1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2</w:t>
            </w:r>
          </w:p>
        </w:tc>
        <w:tc>
          <w:tcPr>
            <w:tcW w:w="8938" w:type="dxa"/>
          </w:tcPr>
          <w:p w14:paraId="33D84A0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响应文件组成齐全完整，内容均按规定填写；响应文件的关键内容无字迹模糊、无法辨认的。</w:t>
            </w:r>
          </w:p>
        </w:tc>
      </w:tr>
      <w:tr w14:paraId="557C3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4039136">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3</w:t>
            </w:r>
          </w:p>
        </w:tc>
        <w:tc>
          <w:tcPr>
            <w:tcW w:w="8938" w:type="dxa"/>
          </w:tcPr>
          <w:p w14:paraId="0EF7E08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响应文件是否实质上响应了竞争性磋商文件的要求。实质上响应的投标应该是与竞争性磋商文件要求的全部</w:t>
            </w:r>
            <w:r>
              <w:rPr>
                <w:rFonts w:hint="eastAsia" w:ascii="宋体" w:hAnsi="宋体" w:cs="宋体"/>
                <w:color w:val="auto"/>
                <w:kern w:val="0"/>
                <w:sz w:val="24"/>
                <w:szCs w:val="24"/>
                <w:lang w:eastAsia="zh-CN"/>
              </w:rPr>
              <w:t>实质性</w:t>
            </w:r>
            <w:r>
              <w:rPr>
                <w:rFonts w:hint="eastAsia" w:ascii="宋体" w:hAnsi="宋体" w:cs="宋体"/>
                <w:color w:val="auto"/>
                <w:kern w:val="0"/>
                <w:sz w:val="24"/>
                <w:szCs w:val="24"/>
              </w:rPr>
              <w:t>条款、条件等相符，没有重大偏离或保留的投标。</w:t>
            </w:r>
          </w:p>
        </w:tc>
      </w:tr>
      <w:tr w14:paraId="446B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7119B504">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4</w:t>
            </w:r>
          </w:p>
        </w:tc>
        <w:tc>
          <w:tcPr>
            <w:tcW w:w="8938" w:type="dxa"/>
          </w:tcPr>
          <w:p w14:paraId="75681BD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一份响应文件应只有一个投标报价，在竞争性磋商文件没有规定的情况下，未提交选择性的报价。</w:t>
            </w:r>
          </w:p>
        </w:tc>
      </w:tr>
      <w:tr w14:paraId="59850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5D912DA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5</w:t>
            </w:r>
          </w:p>
        </w:tc>
        <w:tc>
          <w:tcPr>
            <w:tcW w:w="8938" w:type="dxa"/>
          </w:tcPr>
          <w:p w14:paraId="44FAB98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供应商的投标报价未超出相应采购预算金额</w:t>
            </w:r>
            <w:r>
              <w:rPr>
                <w:rFonts w:hint="eastAsia" w:ascii="宋体" w:hAnsi="宋体" w:cs="宋体"/>
                <w:color w:val="auto"/>
                <w:kern w:val="0"/>
                <w:sz w:val="24"/>
                <w:szCs w:val="24"/>
                <w:lang w:eastAsia="zh-CN"/>
              </w:rPr>
              <w:t>（即最高限价）</w:t>
            </w:r>
            <w:r>
              <w:rPr>
                <w:rFonts w:hint="eastAsia" w:cs="Arial" w:asciiTheme="minorEastAsia" w:hAnsiTheme="minorEastAsia"/>
                <w:color w:val="auto"/>
                <w:kern w:val="0"/>
                <w:sz w:val="24"/>
                <w:szCs w:val="24"/>
              </w:rPr>
              <w:t>。</w:t>
            </w:r>
          </w:p>
        </w:tc>
      </w:tr>
      <w:tr w14:paraId="3748E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D76E27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6</w:t>
            </w:r>
          </w:p>
        </w:tc>
        <w:tc>
          <w:tcPr>
            <w:tcW w:w="8938" w:type="dxa"/>
          </w:tcPr>
          <w:p w14:paraId="68B4409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响应文件载明的服务周期满足竞争性磋商文件规定的期限。</w:t>
            </w:r>
          </w:p>
        </w:tc>
      </w:tr>
      <w:tr w14:paraId="508F7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600FC0D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7</w:t>
            </w:r>
          </w:p>
        </w:tc>
        <w:tc>
          <w:tcPr>
            <w:tcW w:w="8938" w:type="dxa"/>
          </w:tcPr>
          <w:p w14:paraId="1E401E8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供应商未提出不同的验收、计量、支付办法。</w:t>
            </w:r>
          </w:p>
        </w:tc>
      </w:tr>
      <w:tr w14:paraId="1C6E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4C67B9DD">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8</w:t>
            </w:r>
          </w:p>
        </w:tc>
        <w:tc>
          <w:tcPr>
            <w:tcW w:w="8938" w:type="dxa"/>
          </w:tcPr>
          <w:p w14:paraId="6BF36D5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响应文件未附有采购人不能接受的附加条件的。</w:t>
            </w:r>
          </w:p>
        </w:tc>
      </w:tr>
      <w:tr w14:paraId="3E8F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 w:type="dxa"/>
            <w:vAlign w:val="center"/>
          </w:tcPr>
          <w:p w14:paraId="1BC1415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9</w:t>
            </w:r>
          </w:p>
        </w:tc>
        <w:tc>
          <w:tcPr>
            <w:tcW w:w="8938" w:type="dxa"/>
          </w:tcPr>
          <w:p w14:paraId="181AD4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bookmarkStart w:id="67" w:name="OLE_LINK38"/>
            <w:bookmarkStart w:id="68" w:name="OLE_LINK37"/>
            <w:r>
              <w:rPr>
                <w:rFonts w:hint="eastAsia" w:ascii="宋体" w:hAnsi="宋体" w:cs="宋体"/>
                <w:color w:val="auto"/>
                <w:kern w:val="0"/>
                <w:sz w:val="24"/>
                <w:szCs w:val="24"/>
              </w:rPr>
              <w:t>法律、法规和竞争性磋商文件规定的其他无效情形。</w:t>
            </w:r>
            <w:bookmarkEnd w:id="67"/>
            <w:bookmarkEnd w:id="68"/>
          </w:p>
        </w:tc>
      </w:tr>
      <w:tr w14:paraId="3D7B7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1" w:type="dxa"/>
            <w:gridSpan w:val="2"/>
            <w:vAlign w:val="center"/>
          </w:tcPr>
          <w:p w14:paraId="64F30B1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Arial"/>
                <w:color w:val="auto"/>
                <w:kern w:val="0"/>
                <w:sz w:val="24"/>
                <w:szCs w:val="24"/>
              </w:rPr>
              <w:t>备注：完备性及符合性审查中有一项不满足评审标准的，磋商小组将认定该供应商不通过完备性及符合性审查，不得进入下一阶段评审。并且不允许供应商通过修改或撤销其不符合要求的差异或保留，使之成为具有响应性的投标。</w:t>
            </w:r>
          </w:p>
        </w:tc>
      </w:tr>
    </w:tbl>
    <w:p w14:paraId="7F125EF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说明：</w:t>
      </w:r>
    </w:p>
    <w:p w14:paraId="523E947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1</w:t>
      </w:r>
      <w:r>
        <w:rPr>
          <w:rFonts w:hint="eastAsia" w:ascii="宋体" w:hAnsi="宋体" w:cs="宋体"/>
          <w:color w:val="auto"/>
          <w:kern w:val="0"/>
          <w:sz w:val="24"/>
          <w:szCs w:val="24"/>
        </w:rPr>
        <w:t>）上述各项中用“√”表示通过，“×”表示不通过；</w:t>
      </w:r>
    </w:p>
    <w:p w14:paraId="7E5709E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2</w:t>
      </w:r>
      <w:r>
        <w:rPr>
          <w:rFonts w:hint="eastAsia" w:ascii="宋体" w:hAnsi="宋体" w:cs="宋体"/>
          <w:color w:val="auto"/>
          <w:kern w:val="0"/>
          <w:sz w:val="24"/>
          <w:szCs w:val="24"/>
        </w:rPr>
        <w:t>）上述各项中如有一项为“×”，则结论为“×”，表示该响应文件中存在重大偏差，不能通过初步评审；评委对某一分项评审认为不合格时，必须要写明原因。</w:t>
      </w:r>
    </w:p>
    <w:p w14:paraId="0A34A9C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3</w:t>
      </w:r>
      <w:r>
        <w:rPr>
          <w:rFonts w:hint="eastAsia" w:ascii="宋体" w:hAnsi="宋体" w:cs="宋体"/>
          <w:color w:val="auto"/>
          <w:kern w:val="0"/>
          <w:sz w:val="24"/>
          <w:szCs w:val="24"/>
        </w:rPr>
        <w:t>）响应文件最终合格与否，以所有评委的评审意见中少数服从多数为原则定论。</w:t>
      </w:r>
    </w:p>
    <w:p w14:paraId="3A2BC34F">
      <w:pPr>
        <w:keepLines w:val="0"/>
        <w:pageBreakBefore w:val="0"/>
        <w:kinsoku/>
        <w:wordWrap/>
        <w:overflowPunct/>
        <w:topLinePunct w:val="0"/>
        <w:bidi w:val="0"/>
        <w:spacing w:line="360" w:lineRule="auto"/>
        <w:jc w:val="left"/>
        <w:rPr>
          <w:rFonts w:ascii="宋体" w:hAnsi="宋体" w:eastAsia="宋体" w:cs="Arial"/>
          <w:b/>
          <w:color w:val="auto"/>
          <w:kern w:val="0"/>
          <w:sz w:val="24"/>
          <w:szCs w:val="24"/>
        </w:rPr>
      </w:pPr>
      <w:r>
        <w:rPr>
          <w:rFonts w:hint="eastAsia" w:ascii="宋体" w:hAnsi="宋体" w:cs="宋体"/>
          <w:color w:val="auto"/>
          <w:kern w:val="0"/>
          <w:sz w:val="24"/>
          <w:szCs w:val="24"/>
        </w:rPr>
        <w:t>（</w:t>
      </w:r>
      <w:r>
        <w:rPr>
          <w:rFonts w:ascii="宋体" w:hAnsi="宋体" w:cs="宋体"/>
          <w:color w:val="auto"/>
          <w:kern w:val="0"/>
          <w:sz w:val="24"/>
          <w:szCs w:val="24"/>
        </w:rPr>
        <w:t>4</w:t>
      </w:r>
      <w:r>
        <w:rPr>
          <w:rFonts w:hint="eastAsia" w:ascii="宋体" w:hAnsi="宋体" w:cs="宋体"/>
          <w:color w:val="auto"/>
          <w:kern w:val="0"/>
          <w:sz w:val="24"/>
          <w:szCs w:val="24"/>
        </w:rPr>
        <w:t>）供应商请认真阅读和理解上述内容，避免响应文件中有违背上述审查标准之一的情况发生而造成投标被否决。</w:t>
      </w:r>
    </w:p>
    <w:p w14:paraId="102C1379">
      <w:pPr>
        <w:keepLines w:val="0"/>
        <w:pageBreakBefore w:val="0"/>
        <w:kinsoku/>
        <w:wordWrap/>
        <w:overflowPunct/>
        <w:topLinePunct w:val="0"/>
        <w:bidi w:val="0"/>
        <w:spacing w:line="360" w:lineRule="auto"/>
        <w:jc w:val="center"/>
        <w:rPr>
          <w:rFonts w:ascii="宋体" w:hAnsi="宋体" w:eastAsia="宋体" w:cs="Arial"/>
          <w:b/>
          <w:color w:val="auto"/>
          <w:kern w:val="0"/>
          <w:sz w:val="24"/>
          <w:szCs w:val="24"/>
        </w:rPr>
      </w:pPr>
      <w:r>
        <w:rPr>
          <w:rFonts w:hint="eastAsia" w:ascii="宋体" w:hAnsi="宋体" w:eastAsia="宋体" w:cs="Arial"/>
          <w:b/>
          <w:color w:val="auto"/>
          <w:kern w:val="0"/>
          <w:sz w:val="24"/>
          <w:szCs w:val="24"/>
        </w:rPr>
        <w:t>《详细评审标准》</w:t>
      </w:r>
    </w:p>
    <w:tbl>
      <w:tblPr>
        <w:tblStyle w:val="43"/>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249"/>
        <w:gridCol w:w="6604"/>
        <w:gridCol w:w="952"/>
      </w:tblGrid>
      <w:tr w14:paraId="7D98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E4F0199">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序号</w:t>
            </w:r>
          </w:p>
        </w:tc>
        <w:tc>
          <w:tcPr>
            <w:tcW w:w="1249" w:type="dxa"/>
            <w:tcBorders>
              <w:top w:val="single" w:color="auto" w:sz="4" w:space="0"/>
              <w:left w:val="nil"/>
              <w:bottom w:val="single" w:color="auto" w:sz="4" w:space="0"/>
              <w:right w:val="single" w:color="auto" w:sz="4" w:space="0"/>
            </w:tcBorders>
            <w:vAlign w:val="center"/>
          </w:tcPr>
          <w:p w14:paraId="57FD1090">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评审项目</w:t>
            </w:r>
          </w:p>
        </w:tc>
        <w:tc>
          <w:tcPr>
            <w:tcW w:w="6604" w:type="dxa"/>
            <w:tcBorders>
              <w:top w:val="single" w:color="auto" w:sz="4" w:space="0"/>
              <w:left w:val="nil"/>
              <w:bottom w:val="single" w:color="auto" w:sz="4" w:space="0"/>
              <w:right w:val="single" w:color="auto" w:sz="4" w:space="0"/>
            </w:tcBorders>
            <w:vAlign w:val="center"/>
          </w:tcPr>
          <w:p w14:paraId="2271572E">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评审标准</w:t>
            </w:r>
          </w:p>
        </w:tc>
        <w:tc>
          <w:tcPr>
            <w:tcW w:w="952" w:type="dxa"/>
            <w:tcBorders>
              <w:top w:val="single" w:color="auto" w:sz="4" w:space="0"/>
              <w:left w:val="nil"/>
              <w:bottom w:val="single" w:color="auto" w:sz="4" w:space="0"/>
              <w:right w:val="single" w:color="auto" w:sz="4" w:space="0"/>
            </w:tcBorders>
            <w:vAlign w:val="center"/>
          </w:tcPr>
          <w:p w14:paraId="712A44A4">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标准分</w:t>
            </w:r>
          </w:p>
        </w:tc>
      </w:tr>
      <w:tr w14:paraId="6D0D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56A78E29">
            <w:pPr>
              <w:keepLines w:val="0"/>
              <w:pageBreakBefore w:val="0"/>
              <w:kinsoku/>
              <w:wordWrap/>
              <w:overflowPunct/>
              <w:topLinePunct w:val="0"/>
              <w:autoSpaceDE w:val="0"/>
              <w:autoSpaceDN w:val="0"/>
              <w:bidi w:val="0"/>
              <w:adjustRightInd w:val="0"/>
              <w:spacing w:line="360" w:lineRule="auto"/>
              <w:jc w:val="center"/>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w:t>
            </w:r>
          </w:p>
        </w:tc>
        <w:tc>
          <w:tcPr>
            <w:tcW w:w="1249" w:type="dxa"/>
            <w:tcBorders>
              <w:top w:val="single" w:color="auto" w:sz="4" w:space="0"/>
              <w:left w:val="nil"/>
              <w:bottom w:val="single" w:color="auto" w:sz="4" w:space="0"/>
              <w:right w:val="single" w:color="auto" w:sz="4" w:space="0"/>
            </w:tcBorders>
            <w:vAlign w:val="center"/>
          </w:tcPr>
          <w:p w14:paraId="75059AB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类似业绩</w:t>
            </w:r>
          </w:p>
        </w:tc>
        <w:tc>
          <w:tcPr>
            <w:tcW w:w="6604" w:type="dxa"/>
            <w:tcBorders>
              <w:top w:val="single" w:color="auto" w:sz="4" w:space="0"/>
              <w:left w:val="nil"/>
              <w:bottom w:val="single" w:color="auto" w:sz="4" w:space="0"/>
              <w:right w:val="single" w:color="auto" w:sz="4" w:space="0"/>
            </w:tcBorders>
            <w:vAlign w:val="center"/>
          </w:tcPr>
          <w:p w14:paraId="730DB79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供应商</w:t>
            </w:r>
            <w:r>
              <w:rPr>
                <w:rFonts w:cs="宋体" w:asciiTheme="minorEastAsia" w:hAnsiTheme="minorEastAsia"/>
                <w:color w:val="auto"/>
                <w:kern w:val="0"/>
                <w:sz w:val="24"/>
                <w:szCs w:val="24"/>
              </w:rPr>
              <w:t>在</w:t>
            </w:r>
            <w:r>
              <w:rPr>
                <w:rFonts w:hint="eastAsia" w:cs="宋体" w:asciiTheme="minorEastAsia" w:hAnsiTheme="minorEastAsia"/>
                <w:color w:val="auto"/>
                <w:kern w:val="0"/>
                <w:sz w:val="24"/>
                <w:szCs w:val="24"/>
              </w:rPr>
              <w:t>响应</w:t>
            </w:r>
            <w:r>
              <w:rPr>
                <w:rFonts w:cs="宋体" w:asciiTheme="minorEastAsia" w:hAnsiTheme="minorEastAsia"/>
                <w:color w:val="auto"/>
                <w:kern w:val="0"/>
                <w:sz w:val="24"/>
                <w:szCs w:val="24"/>
              </w:rPr>
              <w:t>文件中提供202</w:t>
            </w:r>
            <w:r>
              <w:rPr>
                <w:rFonts w:hint="eastAsia" w:cs="宋体" w:asciiTheme="minorEastAsia" w:hAnsiTheme="minorEastAsia"/>
                <w:color w:val="auto"/>
                <w:kern w:val="0"/>
                <w:sz w:val="24"/>
                <w:szCs w:val="24"/>
                <w:lang w:val="en-US" w:eastAsia="zh-CN"/>
              </w:rPr>
              <w:t>2</w:t>
            </w:r>
            <w:r>
              <w:rPr>
                <w:rFonts w:cs="宋体" w:asciiTheme="minorEastAsia" w:hAnsiTheme="minorEastAsia"/>
                <w:color w:val="auto"/>
                <w:kern w:val="0"/>
                <w:sz w:val="24"/>
                <w:szCs w:val="24"/>
              </w:rPr>
              <w:t>年1月1日</w:t>
            </w:r>
            <w:r>
              <w:rPr>
                <w:rFonts w:hint="eastAsia" w:cs="宋体" w:asciiTheme="minorEastAsia" w:hAnsiTheme="minorEastAsia"/>
                <w:color w:val="auto"/>
                <w:kern w:val="0"/>
                <w:sz w:val="24"/>
                <w:szCs w:val="24"/>
              </w:rPr>
              <w:t>至今</w:t>
            </w:r>
            <w:r>
              <w:rPr>
                <w:rFonts w:cs="宋体" w:asciiTheme="minorEastAsia" w:hAnsiTheme="minorEastAsia"/>
                <w:color w:val="auto"/>
                <w:kern w:val="0"/>
                <w:sz w:val="24"/>
                <w:szCs w:val="24"/>
              </w:rPr>
              <w:t>的类似</w:t>
            </w:r>
            <w:r>
              <w:rPr>
                <w:rFonts w:hint="eastAsia" w:cs="宋体" w:asciiTheme="minorEastAsia" w:hAnsiTheme="minorEastAsia"/>
                <w:color w:val="auto"/>
                <w:kern w:val="0"/>
                <w:sz w:val="24"/>
                <w:szCs w:val="24"/>
              </w:rPr>
              <w:t>业绩</w:t>
            </w:r>
            <w:r>
              <w:rPr>
                <w:rFonts w:cs="宋体" w:asciiTheme="minorEastAsia" w:hAnsiTheme="minorEastAsia"/>
                <w:color w:val="auto"/>
                <w:kern w:val="0"/>
                <w:sz w:val="24"/>
                <w:szCs w:val="24"/>
              </w:rPr>
              <w:t>合同扫描件，每一份有效业绩得</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分，此</w:t>
            </w:r>
            <w:bookmarkStart w:id="121" w:name="_GoBack"/>
            <w:bookmarkEnd w:id="121"/>
            <w:r>
              <w:rPr>
                <w:rFonts w:cs="宋体" w:asciiTheme="minorEastAsia" w:hAnsiTheme="minorEastAsia"/>
                <w:color w:val="auto"/>
                <w:kern w:val="0"/>
                <w:sz w:val="24"/>
                <w:szCs w:val="24"/>
              </w:rPr>
              <w:t>项满分</w:t>
            </w:r>
            <w:r>
              <w:rPr>
                <w:rFonts w:hint="eastAsia" w:cs="宋体" w:asciiTheme="minorEastAsia" w:hAnsiTheme="minorEastAsia"/>
                <w:color w:val="auto"/>
                <w:kern w:val="0"/>
                <w:sz w:val="24"/>
                <w:szCs w:val="24"/>
                <w:lang w:val="en-US" w:eastAsia="zh-CN"/>
              </w:rPr>
              <w:t>18</w:t>
            </w:r>
            <w:r>
              <w:rPr>
                <w:rFonts w:cs="宋体" w:asciiTheme="minorEastAsia" w:hAnsiTheme="minorEastAsia"/>
                <w:color w:val="auto"/>
                <w:kern w:val="0"/>
                <w:sz w:val="24"/>
                <w:szCs w:val="24"/>
              </w:rPr>
              <w:t xml:space="preserve">分。 </w:t>
            </w:r>
          </w:p>
          <w:p w14:paraId="704A37E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注：若合同页数过多，则可只上传主要页（包括采购内容、签约日期、双方盖章等内容）。业绩证明材料需清晰可辨认，否则视为无效业绩。</w:t>
            </w:r>
          </w:p>
        </w:tc>
        <w:tc>
          <w:tcPr>
            <w:tcW w:w="952" w:type="dxa"/>
            <w:tcBorders>
              <w:top w:val="single" w:color="auto" w:sz="4" w:space="0"/>
              <w:left w:val="nil"/>
              <w:bottom w:val="single" w:color="auto" w:sz="4" w:space="0"/>
              <w:right w:val="single" w:color="auto" w:sz="4" w:space="0"/>
            </w:tcBorders>
            <w:vAlign w:val="center"/>
          </w:tcPr>
          <w:p w14:paraId="6A4ED34F">
            <w:pPr>
              <w:keepLines w:val="0"/>
              <w:pageBreakBefore w:val="0"/>
              <w:kinsoku/>
              <w:wordWrap/>
              <w:overflowPunct/>
              <w:topLinePunct w:val="0"/>
              <w:autoSpaceDE w:val="0"/>
              <w:autoSpaceDN w:val="0"/>
              <w:bidi w:val="0"/>
              <w:adjustRightInd w:val="0"/>
              <w:spacing w:line="360" w:lineRule="auto"/>
              <w:jc w:val="center"/>
              <w:rPr>
                <w:rFonts w:hint="default" w:asciiTheme="minorEastAsia" w:hAnsiTheme="minorEastAsia" w:eastAsiaTheme="minorEastAsia"/>
                <w:color w:val="auto"/>
                <w:kern w:val="0"/>
                <w:sz w:val="24"/>
                <w:szCs w:val="24"/>
                <w:lang w:val="en-US" w:eastAsia="zh-CN"/>
              </w:rPr>
            </w:pPr>
            <w:r>
              <w:rPr>
                <w:rFonts w:hint="eastAsia" w:asciiTheme="minorEastAsia" w:hAnsiTheme="minorEastAsia"/>
                <w:color w:val="auto"/>
                <w:kern w:val="0"/>
                <w:sz w:val="24"/>
                <w:szCs w:val="24"/>
                <w:lang w:val="en-US" w:eastAsia="zh-CN"/>
              </w:rPr>
              <w:t>18</w:t>
            </w:r>
          </w:p>
        </w:tc>
      </w:tr>
      <w:tr w14:paraId="0DED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355F89BC">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2</w:t>
            </w:r>
          </w:p>
        </w:tc>
        <w:tc>
          <w:tcPr>
            <w:tcW w:w="1249" w:type="dxa"/>
            <w:tcBorders>
              <w:top w:val="single" w:color="auto" w:sz="4" w:space="0"/>
              <w:left w:val="nil"/>
              <w:bottom w:val="single" w:color="auto" w:sz="4" w:space="0"/>
              <w:right w:val="single" w:color="auto" w:sz="4" w:space="0"/>
            </w:tcBorders>
            <w:vAlign w:val="center"/>
          </w:tcPr>
          <w:p w14:paraId="2D33C3F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项目负责人</w:t>
            </w:r>
          </w:p>
        </w:tc>
        <w:tc>
          <w:tcPr>
            <w:tcW w:w="6604" w:type="dxa"/>
            <w:tcBorders>
              <w:top w:val="single" w:color="auto" w:sz="4" w:space="0"/>
              <w:left w:val="nil"/>
              <w:bottom w:val="single" w:color="auto" w:sz="4" w:space="0"/>
              <w:right w:val="single" w:color="auto" w:sz="4" w:space="0"/>
            </w:tcBorders>
            <w:vAlign w:val="center"/>
          </w:tcPr>
          <w:p w14:paraId="742D2CD9">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1、具有</w:t>
            </w:r>
            <w:r>
              <w:rPr>
                <w:rFonts w:hint="eastAsia" w:cs="宋体" w:asciiTheme="minorEastAsia" w:hAnsiTheme="minorEastAsia"/>
                <w:color w:val="auto"/>
                <w:kern w:val="0"/>
                <w:sz w:val="24"/>
                <w:szCs w:val="24"/>
              </w:rPr>
              <w:t>社会科学研究</w:t>
            </w:r>
            <w:r>
              <w:rPr>
                <w:rFonts w:hint="eastAsia" w:cs="宋体" w:asciiTheme="minorEastAsia" w:hAnsiTheme="minorEastAsia"/>
                <w:color w:val="auto"/>
                <w:kern w:val="0"/>
                <w:sz w:val="24"/>
                <w:szCs w:val="24"/>
                <w:lang w:eastAsia="zh-CN"/>
              </w:rPr>
              <w:t>或</w:t>
            </w:r>
            <w:r>
              <w:rPr>
                <w:rFonts w:hint="eastAsia" w:cs="宋体" w:asciiTheme="minorEastAsia" w:hAnsiTheme="minorEastAsia"/>
                <w:color w:val="auto"/>
                <w:kern w:val="0"/>
                <w:sz w:val="24"/>
                <w:szCs w:val="24"/>
              </w:rPr>
              <w:t>经济类</w:t>
            </w:r>
            <w:r>
              <w:rPr>
                <w:rFonts w:hint="eastAsia" w:cs="宋体" w:asciiTheme="minorEastAsia" w:hAnsiTheme="minorEastAsia"/>
                <w:color w:val="auto"/>
                <w:kern w:val="0"/>
                <w:sz w:val="24"/>
                <w:szCs w:val="24"/>
                <w:lang w:eastAsia="zh-CN"/>
              </w:rPr>
              <w:t>专业职称证书，</w:t>
            </w:r>
            <w:r>
              <w:rPr>
                <w:rFonts w:hint="eastAsia" w:cs="宋体" w:asciiTheme="minorEastAsia" w:hAnsiTheme="minorEastAsia"/>
                <w:color w:val="auto"/>
                <w:kern w:val="0"/>
                <w:sz w:val="24"/>
                <w:szCs w:val="24"/>
              </w:rPr>
              <w:t>高级</w:t>
            </w:r>
            <w:r>
              <w:rPr>
                <w:rFonts w:cs="宋体" w:asciiTheme="minorEastAsia" w:hAnsiTheme="minorEastAsia"/>
                <w:color w:val="auto"/>
                <w:kern w:val="0"/>
                <w:sz w:val="24"/>
                <w:szCs w:val="24"/>
              </w:rPr>
              <w:t>职称</w:t>
            </w:r>
            <w:r>
              <w:rPr>
                <w:rFonts w:hint="eastAsia" w:cs="宋体" w:asciiTheme="minorEastAsia" w:hAnsiTheme="minorEastAsia"/>
                <w:color w:val="auto"/>
                <w:kern w:val="0"/>
                <w:sz w:val="24"/>
                <w:szCs w:val="24"/>
                <w:lang w:eastAsia="zh-CN"/>
              </w:rPr>
              <w:t>及以上</w:t>
            </w:r>
            <w:r>
              <w:rPr>
                <w:rFonts w:cs="宋体" w:asciiTheme="minorEastAsia" w:hAnsiTheme="minorEastAsia"/>
                <w:color w:val="auto"/>
                <w:kern w:val="0"/>
                <w:sz w:val="24"/>
                <w:szCs w:val="24"/>
              </w:rPr>
              <w:t>得3分，</w:t>
            </w:r>
            <w:r>
              <w:rPr>
                <w:rFonts w:hint="eastAsia" w:cs="宋体" w:asciiTheme="minorEastAsia" w:hAnsiTheme="minorEastAsia"/>
                <w:color w:val="auto"/>
                <w:kern w:val="0"/>
                <w:sz w:val="24"/>
                <w:szCs w:val="24"/>
              </w:rPr>
              <w:t>中级</w:t>
            </w:r>
            <w:r>
              <w:rPr>
                <w:rFonts w:cs="宋体" w:asciiTheme="minorEastAsia" w:hAnsiTheme="minorEastAsia"/>
                <w:color w:val="auto"/>
                <w:kern w:val="0"/>
                <w:sz w:val="24"/>
                <w:szCs w:val="24"/>
              </w:rPr>
              <w:t>职称得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cs="宋体" w:asciiTheme="minorEastAsia" w:hAnsiTheme="minorEastAsia"/>
                <w:color w:val="auto"/>
                <w:kern w:val="0"/>
                <w:sz w:val="24"/>
                <w:szCs w:val="24"/>
              </w:rPr>
              <w:t>初级</w:t>
            </w:r>
            <w:r>
              <w:rPr>
                <w:rFonts w:cs="宋体" w:asciiTheme="minorEastAsia" w:hAnsiTheme="minorEastAsia"/>
                <w:color w:val="auto"/>
                <w:kern w:val="0"/>
                <w:sz w:val="24"/>
                <w:szCs w:val="24"/>
              </w:rPr>
              <w:t>职称得</w:t>
            </w: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分，</w:t>
            </w:r>
            <w:r>
              <w:rPr>
                <w:rFonts w:hint="eastAsia" w:cs="宋体" w:asciiTheme="minorEastAsia" w:hAnsiTheme="minorEastAsia"/>
                <w:color w:val="auto"/>
                <w:kern w:val="0"/>
                <w:sz w:val="24"/>
                <w:szCs w:val="24"/>
              </w:rPr>
              <w:t>没有不得分。</w:t>
            </w:r>
          </w:p>
          <w:p w14:paraId="041E77D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注：</w:t>
            </w:r>
            <w:r>
              <w:rPr>
                <w:rFonts w:cs="宋体" w:asciiTheme="minorEastAsia" w:hAnsiTheme="minorEastAsia"/>
                <w:color w:val="auto"/>
                <w:kern w:val="0"/>
                <w:sz w:val="24"/>
                <w:szCs w:val="24"/>
              </w:rPr>
              <w:t>需提供相关</w:t>
            </w:r>
            <w:r>
              <w:rPr>
                <w:rFonts w:hint="eastAsia" w:ascii="宋体" w:hAnsi="宋体"/>
                <w:color w:val="auto"/>
                <w:sz w:val="24"/>
                <w:szCs w:val="24"/>
              </w:rPr>
              <w:t>资质证书或职称证书扫描件</w:t>
            </w:r>
            <w:r>
              <w:rPr>
                <w:rFonts w:hint="eastAsia" w:ascii="宋体" w:hAnsi="宋体"/>
                <w:color w:val="auto"/>
                <w:sz w:val="24"/>
                <w:szCs w:val="24"/>
                <w:lang w:eastAsia="zh-CN"/>
              </w:rPr>
              <w:t>，</w:t>
            </w:r>
            <w:r>
              <w:rPr>
                <w:rFonts w:cs="宋体" w:asciiTheme="minorEastAsia" w:hAnsiTheme="minorEastAsia"/>
                <w:color w:val="auto"/>
                <w:kern w:val="0"/>
                <w:sz w:val="24"/>
                <w:szCs w:val="24"/>
              </w:rPr>
              <w:t>同时提供三个月内任一月的社保记录，未提供不得分。</w:t>
            </w:r>
          </w:p>
        </w:tc>
        <w:tc>
          <w:tcPr>
            <w:tcW w:w="952" w:type="dxa"/>
            <w:tcBorders>
              <w:top w:val="single" w:color="auto" w:sz="4" w:space="0"/>
              <w:left w:val="nil"/>
              <w:bottom w:val="single" w:color="auto" w:sz="4" w:space="0"/>
              <w:right w:val="single" w:color="auto" w:sz="4" w:space="0"/>
            </w:tcBorders>
            <w:vAlign w:val="center"/>
          </w:tcPr>
          <w:p w14:paraId="1FE777DA">
            <w:pPr>
              <w:keepLines w:val="0"/>
              <w:pageBreakBefore w:val="0"/>
              <w:kinsoku/>
              <w:wordWrap/>
              <w:overflowPunct/>
              <w:topLinePunct w:val="0"/>
              <w:autoSpaceDE w:val="0"/>
              <w:autoSpaceDN w:val="0"/>
              <w:bidi w:val="0"/>
              <w:adjustRightInd w:val="0"/>
              <w:spacing w:line="360" w:lineRule="auto"/>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color w:val="auto"/>
                <w:kern w:val="0"/>
                <w:sz w:val="24"/>
                <w:szCs w:val="24"/>
                <w:lang w:val="en-US" w:eastAsia="zh-CN"/>
              </w:rPr>
              <w:t>3</w:t>
            </w:r>
          </w:p>
        </w:tc>
      </w:tr>
      <w:tr w14:paraId="662B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70553FD5">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3</w:t>
            </w:r>
          </w:p>
        </w:tc>
        <w:tc>
          <w:tcPr>
            <w:tcW w:w="1249" w:type="dxa"/>
            <w:tcBorders>
              <w:top w:val="single" w:color="auto" w:sz="4" w:space="0"/>
              <w:left w:val="nil"/>
              <w:bottom w:val="single" w:color="auto" w:sz="4" w:space="0"/>
              <w:right w:val="single" w:color="auto" w:sz="4" w:space="0"/>
            </w:tcBorders>
            <w:vAlign w:val="center"/>
          </w:tcPr>
          <w:p w14:paraId="117ECBA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项目团队配置</w:t>
            </w:r>
          </w:p>
        </w:tc>
        <w:tc>
          <w:tcPr>
            <w:tcW w:w="6604" w:type="dxa"/>
            <w:tcBorders>
              <w:top w:val="single" w:color="auto" w:sz="4" w:space="0"/>
              <w:left w:val="nil"/>
              <w:bottom w:val="single" w:color="auto" w:sz="4" w:space="0"/>
              <w:right w:val="single" w:color="auto" w:sz="4" w:space="0"/>
            </w:tcBorders>
            <w:vAlign w:val="center"/>
          </w:tcPr>
          <w:p w14:paraId="4857E0D8">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color w:val="auto"/>
                <w:kern w:val="0"/>
                <w:sz w:val="24"/>
                <w:szCs w:val="24"/>
              </w:rPr>
              <w:t>1、拟投入的项目组成员（除项目负责人外）</w:t>
            </w:r>
            <w:r>
              <w:rPr>
                <w:rFonts w:hint="eastAsia" w:cs="宋体" w:asciiTheme="minorEastAsia" w:hAnsiTheme="minorEastAsia"/>
                <w:color w:val="auto"/>
                <w:kern w:val="0"/>
                <w:sz w:val="24"/>
                <w:szCs w:val="24"/>
              </w:rPr>
              <w:t>，</w:t>
            </w:r>
            <w:r>
              <w:rPr>
                <w:rFonts w:cs="宋体" w:asciiTheme="minorEastAsia" w:hAnsiTheme="minorEastAsia"/>
                <w:color w:val="auto"/>
                <w:kern w:val="0"/>
                <w:sz w:val="24"/>
                <w:szCs w:val="24"/>
              </w:rPr>
              <w:t>具有</w:t>
            </w:r>
            <w:r>
              <w:rPr>
                <w:rFonts w:hint="eastAsia" w:cs="宋体" w:asciiTheme="minorEastAsia" w:hAnsiTheme="minorEastAsia"/>
                <w:color w:val="auto"/>
                <w:kern w:val="0"/>
                <w:sz w:val="24"/>
                <w:szCs w:val="24"/>
              </w:rPr>
              <w:t>社会科学研究</w:t>
            </w:r>
            <w:r>
              <w:rPr>
                <w:rFonts w:hint="eastAsia" w:cs="宋体" w:asciiTheme="minorEastAsia" w:hAnsiTheme="minorEastAsia"/>
                <w:color w:val="auto"/>
                <w:kern w:val="0"/>
                <w:sz w:val="24"/>
                <w:szCs w:val="24"/>
                <w:lang w:eastAsia="zh-CN"/>
              </w:rPr>
              <w:t>或</w:t>
            </w:r>
            <w:r>
              <w:rPr>
                <w:rFonts w:hint="eastAsia" w:cs="宋体" w:asciiTheme="minorEastAsia" w:hAnsiTheme="minorEastAsia"/>
                <w:color w:val="auto"/>
                <w:kern w:val="0"/>
                <w:sz w:val="24"/>
                <w:szCs w:val="24"/>
              </w:rPr>
              <w:t>经济类</w:t>
            </w:r>
            <w:r>
              <w:rPr>
                <w:rFonts w:hint="eastAsia" w:cs="宋体" w:asciiTheme="minorEastAsia" w:hAnsiTheme="minorEastAsia"/>
                <w:color w:val="auto"/>
                <w:kern w:val="0"/>
                <w:sz w:val="24"/>
                <w:szCs w:val="24"/>
                <w:lang w:eastAsia="zh-CN"/>
              </w:rPr>
              <w:t>专业职称证书，</w:t>
            </w:r>
            <w:r>
              <w:rPr>
                <w:rFonts w:hint="eastAsia" w:cs="宋体" w:asciiTheme="minorEastAsia" w:hAnsiTheme="minorEastAsia"/>
                <w:color w:val="auto"/>
                <w:kern w:val="0"/>
                <w:sz w:val="24"/>
                <w:szCs w:val="24"/>
              </w:rPr>
              <w:t>高级</w:t>
            </w:r>
            <w:r>
              <w:rPr>
                <w:rFonts w:cs="宋体" w:asciiTheme="minorEastAsia" w:hAnsiTheme="minorEastAsia"/>
                <w:color w:val="auto"/>
                <w:kern w:val="0"/>
                <w:sz w:val="24"/>
                <w:szCs w:val="24"/>
              </w:rPr>
              <w:t>职称</w:t>
            </w:r>
            <w:r>
              <w:rPr>
                <w:rFonts w:hint="eastAsia" w:cs="宋体" w:asciiTheme="minorEastAsia" w:hAnsiTheme="minorEastAsia"/>
                <w:color w:val="auto"/>
                <w:kern w:val="0"/>
                <w:sz w:val="24"/>
                <w:szCs w:val="24"/>
              </w:rPr>
              <w:t>及以上</w:t>
            </w:r>
            <w:r>
              <w:rPr>
                <w:rFonts w:cs="宋体" w:asciiTheme="minorEastAsia" w:hAnsiTheme="minorEastAsia"/>
                <w:color w:val="auto"/>
                <w:kern w:val="0"/>
                <w:sz w:val="24"/>
                <w:szCs w:val="24"/>
              </w:rPr>
              <w:t>得3分，</w:t>
            </w:r>
            <w:r>
              <w:rPr>
                <w:rFonts w:hint="eastAsia" w:cs="宋体" w:asciiTheme="minorEastAsia" w:hAnsiTheme="minorEastAsia"/>
                <w:color w:val="auto"/>
                <w:kern w:val="0"/>
                <w:sz w:val="24"/>
                <w:szCs w:val="24"/>
              </w:rPr>
              <w:t>中级</w:t>
            </w:r>
            <w:r>
              <w:rPr>
                <w:rFonts w:cs="宋体" w:asciiTheme="minorEastAsia" w:hAnsiTheme="minorEastAsia"/>
                <w:color w:val="auto"/>
                <w:kern w:val="0"/>
                <w:sz w:val="24"/>
                <w:szCs w:val="24"/>
              </w:rPr>
              <w:t>职称得</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分，</w:t>
            </w:r>
            <w:r>
              <w:rPr>
                <w:rFonts w:hint="eastAsia" w:cs="宋体" w:asciiTheme="minorEastAsia" w:hAnsiTheme="minorEastAsia"/>
                <w:color w:val="auto"/>
                <w:kern w:val="0"/>
                <w:sz w:val="24"/>
                <w:szCs w:val="24"/>
              </w:rPr>
              <w:t>初级</w:t>
            </w:r>
            <w:r>
              <w:rPr>
                <w:rFonts w:cs="宋体" w:asciiTheme="minorEastAsia" w:hAnsiTheme="minorEastAsia"/>
                <w:color w:val="auto"/>
                <w:kern w:val="0"/>
                <w:sz w:val="24"/>
                <w:szCs w:val="24"/>
              </w:rPr>
              <w:t>职称得</w:t>
            </w: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分，本项最高得</w:t>
            </w:r>
            <w:r>
              <w:rPr>
                <w:rFonts w:hint="eastAsia" w:cs="宋体" w:asciiTheme="minorEastAsia" w:hAnsiTheme="minorEastAsia"/>
                <w:color w:val="auto"/>
                <w:kern w:val="0"/>
                <w:sz w:val="24"/>
                <w:szCs w:val="24"/>
                <w:lang w:val="en-US" w:eastAsia="zh-CN"/>
              </w:rPr>
              <w:t>9</w:t>
            </w:r>
            <w:r>
              <w:rPr>
                <w:rFonts w:cs="宋体" w:asciiTheme="minorEastAsia" w:hAnsiTheme="minorEastAsia"/>
                <w:color w:val="auto"/>
                <w:kern w:val="0"/>
                <w:sz w:val="24"/>
                <w:szCs w:val="24"/>
              </w:rPr>
              <w:t>分。</w:t>
            </w:r>
          </w:p>
          <w:p w14:paraId="7F3A7499">
            <w:pPr>
              <w:keepLines w:val="0"/>
              <w:pageBreakBefore w:val="0"/>
              <w:widowControl/>
              <w:kinsoku/>
              <w:wordWrap/>
              <w:overflowPunct/>
              <w:topLinePunct w:val="0"/>
              <w:bidi w:val="0"/>
              <w:spacing w:line="360" w:lineRule="auto"/>
              <w:jc w:val="left"/>
              <w:rPr>
                <w:color w:val="auto"/>
                <w:sz w:val="24"/>
                <w:szCs w:val="24"/>
              </w:rPr>
            </w:pPr>
            <w:r>
              <w:rPr>
                <w:rFonts w:cs="宋体" w:asciiTheme="minorEastAsia" w:hAnsiTheme="minorEastAsia"/>
                <w:color w:val="auto"/>
                <w:kern w:val="0"/>
                <w:sz w:val="24"/>
                <w:szCs w:val="24"/>
              </w:rPr>
              <w:t>注：</w:t>
            </w:r>
            <w:r>
              <w:rPr>
                <w:rFonts w:hint="eastAsia" w:ascii="宋体" w:hAnsi="宋体"/>
                <w:color w:val="auto"/>
                <w:sz w:val="24"/>
                <w:szCs w:val="24"/>
              </w:rPr>
              <w:t>同一人员不得重复得分，只计取单项最高分；要求提供以上人员职称证书或资格证书扫描件</w:t>
            </w:r>
            <w:r>
              <w:rPr>
                <w:rFonts w:cs="宋体" w:asciiTheme="minorEastAsia" w:hAnsiTheme="minorEastAsia"/>
                <w:color w:val="auto"/>
                <w:kern w:val="0"/>
                <w:sz w:val="24"/>
                <w:szCs w:val="24"/>
              </w:rPr>
              <w:t>（同时提供三个月内任一月的社保记录，未提供不得分。）</w:t>
            </w:r>
          </w:p>
        </w:tc>
        <w:tc>
          <w:tcPr>
            <w:tcW w:w="952" w:type="dxa"/>
            <w:tcBorders>
              <w:top w:val="single" w:color="auto" w:sz="4" w:space="0"/>
              <w:left w:val="nil"/>
              <w:bottom w:val="single" w:color="auto" w:sz="4" w:space="0"/>
              <w:right w:val="single" w:color="auto" w:sz="4" w:space="0"/>
            </w:tcBorders>
            <w:vAlign w:val="center"/>
          </w:tcPr>
          <w:p w14:paraId="00981A08">
            <w:pPr>
              <w:keepLines w:val="0"/>
              <w:pageBreakBefore w:val="0"/>
              <w:kinsoku/>
              <w:wordWrap/>
              <w:overflowPunct/>
              <w:topLinePunct w:val="0"/>
              <w:autoSpaceDE w:val="0"/>
              <w:autoSpaceDN w:val="0"/>
              <w:bidi w:val="0"/>
              <w:adjustRightInd w:val="0"/>
              <w:spacing w:line="360" w:lineRule="auto"/>
              <w:jc w:val="center"/>
              <w:rPr>
                <w:rFonts w:hint="eastAsia" w:asciiTheme="minorEastAsia" w:hAnsiTheme="minorEastAsia" w:eastAsiaTheme="minorEastAsia"/>
                <w:color w:val="auto"/>
                <w:kern w:val="0"/>
                <w:sz w:val="24"/>
                <w:szCs w:val="24"/>
                <w:lang w:eastAsia="zh-CN"/>
              </w:rPr>
            </w:pPr>
            <w:r>
              <w:rPr>
                <w:rFonts w:hint="eastAsia" w:asciiTheme="minorEastAsia" w:hAnsiTheme="minorEastAsia"/>
                <w:color w:val="auto"/>
                <w:kern w:val="0"/>
                <w:sz w:val="24"/>
                <w:szCs w:val="24"/>
                <w:lang w:val="en-US" w:eastAsia="zh-CN"/>
              </w:rPr>
              <w:t>9</w:t>
            </w:r>
          </w:p>
        </w:tc>
      </w:tr>
      <w:tr w14:paraId="5679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26974889">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4</w:t>
            </w:r>
          </w:p>
        </w:tc>
        <w:tc>
          <w:tcPr>
            <w:tcW w:w="1249" w:type="dxa"/>
            <w:tcBorders>
              <w:top w:val="single" w:color="auto" w:sz="4" w:space="0"/>
              <w:left w:val="nil"/>
              <w:bottom w:val="single" w:color="auto" w:sz="4" w:space="0"/>
              <w:right w:val="single" w:color="auto" w:sz="4" w:space="0"/>
            </w:tcBorders>
            <w:shd w:val="clear" w:color="auto" w:fill="auto"/>
            <w:vAlign w:val="center"/>
          </w:tcPr>
          <w:p w14:paraId="14C68830">
            <w:pPr>
              <w:keepLines w:val="0"/>
              <w:pageBreakBefore w:val="0"/>
              <w:widowControl/>
              <w:kinsoku/>
              <w:wordWrap/>
              <w:overflowPunct/>
              <w:topLinePunct w:val="0"/>
              <w:bidi w:val="0"/>
              <w:spacing w:line="360" w:lineRule="auto"/>
              <w:jc w:val="left"/>
              <w:rPr>
                <w:rFonts w:hint="eastAsia" w:asciiTheme="minorEastAsia" w:hAnsiTheme="minorEastAsia" w:eastAsiaTheme="minorEastAsia" w:cstheme="minorBidi"/>
                <w:color w:val="auto"/>
                <w:kern w:val="0"/>
                <w:sz w:val="24"/>
                <w:szCs w:val="24"/>
                <w:lang w:val="en-US" w:eastAsia="zh-CN" w:bidi="ar-SA"/>
              </w:rPr>
            </w:pPr>
            <w:r>
              <w:rPr>
                <w:rFonts w:cs="宋体" w:asciiTheme="minorEastAsia" w:hAnsiTheme="minorEastAsia"/>
                <w:color w:val="auto"/>
                <w:kern w:val="0"/>
                <w:sz w:val="24"/>
                <w:szCs w:val="24"/>
              </w:rPr>
              <w:t>项目理解与</w:t>
            </w:r>
            <w:r>
              <w:rPr>
                <w:rFonts w:hint="eastAsia" w:cs="宋体" w:asciiTheme="minorEastAsia" w:hAnsiTheme="minorEastAsia"/>
                <w:color w:val="auto"/>
                <w:kern w:val="0"/>
                <w:sz w:val="24"/>
                <w:szCs w:val="24"/>
                <w:lang w:eastAsia="zh-CN"/>
              </w:rPr>
              <w:t>分析</w:t>
            </w:r>
          </w:p>
        </w:tc>
        <w:tc>
          <w:tcPr>
            <w:tcW w:w="6604" w:type="dxa"/>
            <w:tcBorders>
              <w:top w:val="single" w:color="auto" w:sz="4" w:space="0"/>
              <w:left w:val="nil"/>
              <w:bottom w:val="single" w:color="auto" w:sz="4" w:space="0"/>
              <w:right w:val="single" w:color="auto" w:sz="4" w:space="0"/>
            </w:tcBorders>
            <w:shd w:val="clear" w:color="auto" w:fill="auto"/>
            <w:vAlign w:val="center"/>
          </w:tcPr>
          <w:p w14:paraId="1F6359CE">
            <w:pPr>
              <w:keepLines w:val="0"/>
              <w:pageBreakBefore w:val="0"/>
              <w:widowControl/>
              <w:kinsoku/>
              <w:wordWrap/>
              <w:overflowPunct/>
              <w:topLinePunct w:val="0"/>
              <w:bidi w:val="0"/>
              <w:spacing w:line="360" w:lineRule="auto"/>
              <w:jc w:val="left"/>
              <w:rPr>
                <w:rFonts w:asciiTheme="minorEastAsia" w:hAnsiTheme="minorEastAsia" w:eastAsiaTheme="minorEastAsia" w:cstheme="minorBidi"/>
                <w:color w:val="auto"/>
                <w:kern w:val="2"/>
                <w:sz w:val="24"/>
                <w:szCs w:val="24"/>
                <w:lang w:val="en-US" w:eastAsia="zh-CN" w:bidi="ar-SA"/>
              </w:rPr>
            </w:pPr>
            <w:r>
              <w:rPr>
                <w:rFonts w:cs="宋体" w:asciiTheme="minorEastAsia" w:hAnsiTheme="minorEastAsia"/>
                <w:color w:val="auto"/>
                <w:kern w:val="0"/>
                <w:sz w:val="24"/>
                <w:szCs w:val="24"/>
              </w:rPr>
              <w:t>项目理解与认知包括但不限于：1.项目</w:t>
            </w:r>
            <w:r>
              <w:rPr>
                <w:rFonts w:hint="eastAsia" w:cs="宋体" w:asciiTheme="minorEastAsia" w:hAnsiTheme="minorEastAsia"/>
                <w:color w:val="auto"/>
                <w:kern w:val="0"/>
                <w:sz w:val="24"/>
                <w:szCs w:val="24"/>
                <w:lang w:eastAsia="zh-CN"/>
              </w:rPr>
              <w:t>背景分析及</w:t>
            </w:r>
            <w:r>
              <w:rPr>
                <w:rFonts w:cs="宋体" w:asciiTheme="minorEastAsia" w:hAnsiTheme="minorEastAsia"/>
                <w:color w:val="auto"/>
                <w:kern w:val="0"/>
                <w:sz w:val="24"/>
                <w:szCs w:val="24"/>
              </w:rPr>
              <w:t>现状</w:t>
            </w:r>
            <w:r>
              <w:rPr>
                <w:rFonts w:hint="eastAsia" w:cs="宋体" w:asciiTheme="minorEastAsia" w:hAnsiTheme="minorEastAsia"/>
                <w:color w:val="auto"/>
                <w:kern w:val="0"/>
                <w:sz w:val="24"/>
                <w:szCs w:val="24"/>
              </w:rPr>
              <w:t>基础情况分析</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编制理念及方法</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eastAsia="zh-CN"/>
              </w:rPr>
              <w:t>工作程序及</w:t>
            </w:r>
            <w:r>
              <w:rPr>
                <w:rFonts w:hint="eastAsia" w:cs="宋体" w:asciiTheme="minorEastAsia" w:hAnsiTheme="minorEastAsia"/>
                <w:color w:val="auto"/>
                <w:kern w:val="0"/>
                <w:sz w:val="24"/>
                <w:szCs w:val="24"/>
              </w:rPr>
              <w:t>重难点问题</w:t>
            </w:r>
            <w:r>
              <w:rPr>
                <w:rFonts w:hint="eastAsia" w:cs="宋体" w:asciiTheme="minorEastAsia" w:hAnsiTheme="minorEastAsia"/>
                <w:color w:val="auto"/>
                <w:kern w:val="0"/>
                <w:sz w:val="24"/>
                <w:szCs w:val="24"/>
                <w:lang w:eastAsia="zh-CN"/>
              </w:rPr>
              <w:t>分析方案</w:t>
            </w:r>
            <w:r>
              <w:rPr>
                <w:rFonts w:cs="宋体" w:asciiTheme="minorEastAsia" w:hAnsiTheme="minorEastAsia"/>
                <w:color w:val="auto"/>
                <w:kern w:val="0"/>
                <w:sz w:val="24"/>
                <w:szCs w:val="24"/>
              </w:rPr>
              <w:t xml:space="preserve">；以上内容齐全详细且符合项目特点的得 </w:t>
            </w:r>
            <w:r>
              <w:rPr>
                <w:rFonts w:hint="eastAsia" w:cs="宋体" w:asciiTheme="minorEastAsia" w:hAnsiTheme="minorEastAsia"/>
                <w:color w:val="auto"/>
                <w:kern w:val="0"/>
                <w:sz w:val="24"/>
                <w:szCs w:val="24"/>
              </w:rPr>
              <w:t>12</w:t>
            </w:r>
            <w:r>
              <w:rPr>
                <w:rFonts w:cs="宋体" w:asciiTheme="minorEastAsia" w:hAnsiTheme="minorEastAsia"/>
                <w:color w:val="auto"/>
                <w:kern w:val="0"/>
                <w:sz w:val="24"/>
                <w:szCs w:val="24"/>
              </w:rPr>
              <w:t xml:space="preserve"> 分，每有一项内容缺失的扣 </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分，每有一项内容中表述有错误(错误指凭空编造、语句不通顺有歧义或前后内容相互矛盾)或与本项目无关(无关指描述中存在使用其他项目、其他采购人或与本项目无关的内容)扣分 1 分，扣完为止，未提供不得分。</w:t>
            </w:r>
          </w:p>
        </w:tc>
        <w:tc>
          <w:tcPr>
            <w:tcW w:w="952" w:type="dxa"/>
            <w:tcBorders>
              <w:top w:val="single" w:color="auto" w:sz="4" w:space="0"/>
              <w:left w:val="nil"/>
              <w:bottom w:val="single" w:color="auto" w:sz="4" w:space="0"/>
              <w:right w:val="single" w:color="auto" w:sz="4" w:space="0"/>
            </w:tcBorders>
            <w:shd w:val="clear" w:color="auto" w:fill="auto"/>
            <w:vAlign w:val="center"/>
          </w:tcPr>
          <w:p w14:paraId="4178E870">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cstheme="minorBidi"/>
                <w:color w:val="auto"/>
                <w:kern w:val="0"/>
                <w:sz w:val="24"/>
                <w:szCs w:val="24"/>
                <w:lang w:val="en-US" w:eastAsia="zh-CN" w:bidi="ar-SA"/>
              </w:rPr>
            </w:pPr>
            <w:r>
              <w:rPr>
                <w:rFonts w:hint="eastAsia" w:asciiTheme="minorEastAsia" w:hAnsiTheme="minorEastAsia"/>
                <w:color w:val="auto"/>
                <w:kern w:val="0"/>
                <w:sz w:val="24"/>
                <w:szCs w:val="24"/>
              </w:rPr>
              <w:t>12</w:t>
            </w:r>
          </w:p>
        </w:tc>
      </w:tr>
      <w:tr w14:paraId="6F59E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1B586F0D">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5</w:t>
            </w:r>
          </w:p>
        </w:tc>
        <w:tc>
          <w:tcPr>
            <w:tcW w:w="1249" w:type="dxa"/>
            <w:tcBorders>
              <w:top w:val="single" w:color="auto" w:sz="4" w:space="0"/>
              <w:left w:val="nil"/>
              <w:bottom w:val="single" w:color="auto" w:sz="4" w:space="0"/>
              <w:right w:val="single" w:color="auto" w:sz="4" w:space="0"/>
            </w:tcBorders>
            <w:shd w:val="clear" w:color="auto" w:fill="auto"/>
            <w:vAlign w:val="center"/>
          </w:tcPr>
          <w:p w14:paraId="2AA8F335">
            <w:pPr>
              <w:keepLines w:val="0"/>
              <w:pageBreakBefore w:val="0"/>
              <w:widowControl/>
              <w:kinsoku/>
              <w:wordWrap/>
              <w:overflowPunct/>
              <w:topLinePunct w:val="0"/>
              <w:bidi w:val="0"/>
              <w:spacing w:line="360" w:lineRule="auto"/>
              <w:jc w:val="left"/>
              <w:rPr>
                <w:rFonts w:cs="宋体" w:asciiTheme="minorEastAsia" w:hAnsiTheme="minorEastAsia" w:eastAsiaTheme="minorEastAsia"/>
                <w:color w:val="auto"/>
                <w:kern w:val="0"/>
                <w:sz w:val="24"/>
                <w:szCs w:val="24"/>
                <w:lang w:val="en-US" w:eastAsia="zh-CN" w:bidi="ar-SA"/>
              </w:rPr>
            </w:pPr>
            <w:r>
              <w:rPr>
                <w:rFonts w:cs="宋体" w:asciiTheme="minorEastAsia" w:hAnsiTheme="minorEastAsia"/>
                <w:color w:val="auto"/>
                <w:kern w:val="0"/>
                <w:sz w:val="24"/>
                <w:szCs w:val="24"/>
              </w:rPr>
              <w:t>工作计划及技术路线</w:t>
            </w:r>
          </w:p>
        </w:tc>
        <w:tc>
          <w:tcPr>
            <w:tcW w:w="6604" w:type="dxa"/>
            <w:tcBorders>
              <w:top w:val="single" w:color="auto" w:sz="4" w:space="0"/>
              <w:left w:val="nil"/>
              <w:bottom w:val="single" w:color="auto" w:sz="4" w:space="0"/>
              <w:right w:val="single" w:color="auto" w:sz="4" w:space="0"/>
            </w:tcBorders>
            <w:shd w:val="clear" w:color="auto" w:fill="auto"/>
            <w:vAlign w:val="center"/>
          </w:tcPr>
          <w:p w14:paraId="2E86F58C">
            <w:pPr>
              <w:keepLines w:val="0"/>
              <w:pageBreakBefore w:val="0"/>
              <w:widowControl/>
              <w:kinsoku/>
              <w:wordWrap/>
              <w:overflowPunct/>
              <w:topLinePunct w:val="0"/>
              <w:bidi w:val="0"/>
              <w:spacing w:line="360" w:lineRule="auto"/>
              <w:jc w:val="left"/>
              <w:rPr>
                <w:rFonts w:cs="宋体" w:asciiTheme="minorEastAsia" w:hAnsiTheme="minorEastAsia" w:eastAsiaTheme="minorEastAsia"/>
                <w:color w:val="auto"/>
                <w:kern w:val="0"/>
                <w:sz w:val="24"/>
                <w:szCs w:val="24"/>
                <w:lang w:val="en-US" w:eastAsia="zh-CN" w:bidi="ar-SA"/>
              </w:rPr>
            </w:pPr>
            <w:r>
              <w:rPr>
                <w:rFonts w:cs="宋体" w:asciiTheme="minorEastAsia" w:hAnsiTheme="minorEastAsia"/>
                <w:color w:val="auto"/>
                <w:kern w:val="0"/>
                <w:sz w:val="24"/>
                <w:szCs w:val="24"/>
              </w:rPr>
              <w:t>工作计划及技术路线包括但不限于：1.规划编制指导思想和规划原则；2.项目工作计划和技术路线；3.项目进度安排和时间规划等。以上内容齐全详细且符合项目特点的得</w:t>
            </w:r>
            <w:r>
              <w:rPr>
                <w:rFonts w:hint="eastAsia" w:cs="宋体" w:asciiTheme="minorEastAsia" w:hAnsiTheme="minorEastAsia"/>
                <w:color w:val="auto"/>
                <w:kern w:val="0"/>
                <w:sz w:val="24"/>
                <w:szCs w:val="24"/>
              </w:rPr>
              <w:t>12</w:t>
            </w:r>
            <w:r>
              <w:rPr>
                <w:rFonts w:cs="宋体" w:asciiTheme="minorEastAsia" w:hAnsiTheme="minorEastAsia"/>
                <w:color w:val="auto"/>
                <w:kern w:val="0"/>
                <w:sz w:val="24"/>
                <w:szCs w:val="24"/>
              </w:rPr>
              <w:t xml:space="preserve">分，每有一项内容缺失的扣 </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分，每有一项内容中表述有错误(错误指凭空编造、语句不通顺有歧义或前后内容相互矛盾)或与本项目无关(无关指描述中存在使用其他项目、其他采购人或与本项目无关的内容)扣分 1 分，扣完为止，未提供不得分。</w:t>
            </w:r>
          </w:p>
        </w:tc>
        <w:tc>
          <w:tcPr>
            <w:tcW w:w="952" w:type="dxa"/>
            <w:tcBorders>
              <w:top w:val="single" w:color="auto" w:sz="4" w:space="0"/>
              <w:left w:val="nil"/>
              <w:bottom w:val="single" w:color="auto" w:sz="4" w:space="0"/>
              <w:right w:val="single" w:color="auto" w:sz="4" w:space="0"/>
            </w:tcBorders>
            <w:shd w:val="clear" w:color="auto" w:fill="auto"/>
            <w:vAlign w:val="center"/>
          </w:tcPr>
          <w:p w14:paraId="0A86C5AB">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eastAsiaTheme="minorEastAsia" w:cstheme="minorBidi"/>
                <w:color w:val="auto"/>
                <w:kern w:val="0"/>
                <w:sz w:val="24"/>
                <w:szCs w:val="24"/>
                <w:lang w:val="en-US" w:eastAsia="zh-CN" w:bidi="ar-SA"/>
              </w:rPr>
            </w:pPr>
            <w:r>
              <w:rPr>
                <w:rFonts w:hint="eastAsia" w:asciiTheme="minorEastAsia" w:hAnsiTheme="minorEastAsia"/>
                <w:color w:val="auto"/>
                <w:kern w:val="0"/>
                <w:sz w:val="24"/>
                <w:szCs w:val="24"/>
              </w:rPr>
              <w:t>12</w:t>
            </w:r>
          </w:p>
        </w:tc>
      </w:tr>
      <w:tr w14:paraId="0A92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6627F8D0">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6</w:t>
            </w:r>
          </w:p>
        </w:tc>
        <w:tc>
          <w:tcPr>
            <w:tcW w:w="1249" w:type="dxa"/>
            <w:tcBorders>
              <w:top w:val="single" w:color="auto" w:sz="4" w:space="0"/>
              <w:left w:val="nil"/>
              <w:bottom w:val="single" w:color="auto" w:sz="4" w:space="0"/>
              <w:right w:val="single" w:color="auto" w:sz="4" w:space="0"/>
            </w:tcBorders>
            <w:vAlign w:val="center"/>
          </w:tcPr>
          <w:p w14:paraId="268134C8">
            <w:pPr>
              <w:keepLines w:val="0"/>
              <w:pageBreakBefore w:val="0"/>
              <w:widowControl/>
              <w:kinsoku/>
              <w:wordWrap/>
              <w:overflowPunct/>
              <w:topLinePunct w:val="0"/>
              <w:bidi w:val="0"/>
              <w:spacing w:line="360" w:lineRule="auto"/>
              <w:jc w:val="left"/>
              <w:rPr>
                <w:rFonts w:hint="eastAsia" w:asciiTheme="minorEastAsia" w:hAnsiTheme="minorEastAsia" w:eastAsiaTheme="minorEastAsia"/>
                <w:color w:val="auto"/>
                <w:kern w:val="0"/>
                <w:sz w:val="24"/>
                <w:szCs w:val="24"/>
                <w:lang w:eastAsia="zh-CN"/>
              </w:rPr>
            </w:pPr>
            <w:r>
              <w:rPr>
                <w:rFonts w:hint="eastAsia" w:cs="宋体" w:asciiTheme="minorEastAsia" w:hAnsiTheme="minorEastAsia"/>
                <w:color w:val="auto"/>
                <w:kern w:val="0"/>
                <w:sz w:val="24"/>
                <w:szCs w:val="24"/>
                <w:lang w:eastAsia="zh-CN"/>
              </w:rPr>
              <w:t>控制措施方案</w:t>
            </w:r>
          </w:p>
        </w:tc>
        <w:tc>
          <w:tcPr>
            <w:tcW w:w="6604" w:type="dxa"/>
            <w:tcBorders>
              <w:top w:val="single" w:color="auto" w:sz="4" w:space="0"/>
              <w:left w:val="nil"/>
              <w:bottom w:val="single" w:color="auto" w:sz="4" w:space="0"/>
              <w:right w:val="single" w:color="auto" w:sz="4" w:space="0"/>
            </w:tcBorders>
            <w:vAlign w:val="center"/>
          </w:tcPr>
          <w:p w14:paraId="45D2A1BD">
            <w:pPr>
              <w:keepLines w:val="0"/>
              <w:pageBreakBefore w:val="0"/>
              <w:widowControl/>
              <w:kinsoku/>
              <w:wordWrap/>
              <w:overflowPunct/>
              <w:topLinePunct w:val="0"/>
              <w:bidi w:val="0"/>
              <w:spacing w:line="360" w:lineRule="auto"/>
              <w:jc w:val="left"/>
              <w:rPr>
                <w:rFonts w:asciiTheme="minorEastAsia" w:hAnsiTheme="minorEastAsia"/>
                <w:color w:val="auto"/>
                <w:sz w:val="24"/>
                <w:szCs w:val="24"/>
              </w:rPr>
            </w:pPr>
            <w:r>
              <w:rPr>
                <w:rFonts w:cs="宋体" w:asciiTheme="minorEastAsia" w:hAnsiTheme="minorEastAsia"/>
                <w:color w:val="auto"/>
                <w:kern w:val="0"/>
                <w:sz w:val="24"/>
                <w:szCs w:val="24"/>
              </w:rPr>
              <w:t>包括但不限于：</w:t>
            </w:r>
            <w:r>
              <w:rPr>
                <w:rFonts w:hint="eastAsia" w:cs="宋体" w:asciiTheme="minorEastAsia" w:hAnsiTheme="minorEastAsia"/>
                <w:color w:val="auto"/>
                <w:kern w:val="0"/>
                <w:sz w:val="24"/>
                <w:szCs w:val="24"/>
              </w:rPr>
              <w:t>1</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质量控制措施</w:t>
            </w:r>
            <w:r>
              <w:rPr>
                <w:rFonts w:cs="宋体" w:asciiTheme="minorEastAsia" w:hAnsiTheme="minorEastAsia"/>
                <w:color w:val="auto"/>
                <w:kern w:val="0"/>
                <w:sz w:val="24"/>
                <w:szCs w:val="24"/>
              </w:rPr>
              <w:t xml:space="preserve">； </w:t>
            </w:r>
            <w:r>
              <w:rPr>
                <w:rFonts w:hint="eastAsia" w:cs="宋体" w:asciiTheme="minorEastAsia" w:hAnsiTheme="minorEastAsia"/>
                <w:color w:val="auto"/>
                <w:kern w:val="0"/>
                <w:sz w:val="24"/>
                <w:szCs w:val="24"/>
              </w:rPr>
              <w:t>2</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进度保证措施</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3</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lang w:val="en-US" w:eastAsia="zh-CN"/>
              </w:rPr>
              <w:t>保密措施</w:t>
            </w:r>
            <w:r>
              <w:rPr>
                <w:rFonts w:cs="宋体" w:asciiTheme="minorEastAsia" w:hAnsiTheme="minorEastAsia"/>
                <w:color w:val="auto"/>
                <w:kern w:val="0"/>
                <w:sz w:val="24"/>
                <w:szCs w:val="24"/>
              </w:rPr>
              <w:t>；</w:t>
            </w:r>
            <w:r>
              <w:rPr>
                <w:rFonts w:hint="eastAsia" w:cs="宋体" w:asciiTheme="minorEastAsia" w:hAnsiTheme="minorEastAsia"/>
                <w:color w:val="auto"/>
                <w:kern w:val="0"/>
                <w:sz w:val="24"/>
                <w:szCs w:val="24"/>
              </w:rPr>
              <w:t>4、</w:t>
            </w:r>
            <w:r>
              <w:rPr>
                <w:rFonts w:hint="eastAsia" w:cs="宋体" w:asciiTheme="minorEastAsia" w:hAnsiTheme="minorEastAsia"/>
                <w:color w:val="auto"/>
                <w:kern w:val="0"/>
                <w:sz w:val="24"/>
                <w:szCs w:val="24"/>
                <w:lang w:val="en-US" w:eastAsia="zh-CN"/>
              </w:rPr>
              <w:t>合理化建议</w:t>
            </w:r>
            <w:r>
              <w:rPr>
                <w:rFonts w:hint="eastAsia" w:cs="宋体" w:asciiTheme="minorEastAsia" w:hAnsiTheme="minorEastAsia"/>
                <w:color w:val="auto"/>
                <w:kern w:val="0"/>
                <w:sz w:val="24"/>
                <w:szCs w:val="24"/>
                <w:lang w:eastAsia="zh-CN"/>
              </w:rPr>
              <w:t>；</w:t>
            </w:r>
            <w:r>
              <w:rPr>
                <w:rFonts w:cs="宋体" w:asciiTheme="minorEastAsia" w:hAnsiTheme="minorEastAsia"/>
                <w:color w:val="auto"/>
                <w:kern w:val="0"/>
                <w:sz w:val="24"/>
                <w:szCs w:val="24"/>
              </w:rPr>
              <w:t xml:space="preserve">以上内容齐全详细且符合项目特点的得 </w:t>
            </w:r>
            <w:r>
              <w:rPr>
                <w:rFonts w:hint="eastAsia" w:cs="宋体" w:asciiTheme="minorEastAsia" w:hAnsiTheme="minorEastAsia"/>
                <w:color w:val="auto"/>
                <w:kern w:val="0"/>
                <w:sz w:val="24"/>
                <w:szCs w:val="24"/>
              </w:rPr>
              <w:t>24</w:t>
            </w:r>
            <w:r>
              <w:rPr>
                <w:rFonts w:cs="宋体" w:asciiTheme="minorEastAsia" w:hAnsiTheme="minorEastAsia"/>
                <w:color w:val="auto"/>
                <w:kern w:val="0"/>
                <w:sz w:val="24"/>
                <w:szCs w:val="24"/>
              </w:rPr>
              <w:t xml:space="preserve">分，每有一项内容缺失的扣 </w:t>
            </w:r>
            <w:r>
              <w:rPr>
                <w:rFonts w:hint="eastAsia" w:cs="宋体" w:asciiTheme="minorEastAsia" w:hAnsiTheme="minorEastAsia"/>
                <w:color w:val="auto"/>
                <w:kern w:val="0"/>
                <w:sz w:val="24"/>
                <w:szCs w:val="24"/>
              </w:rPr>
              <w:t>6</w:t>
            </w:r>
            <w:r>
              <w:rPr>
                <w:rFonts w:cs="宋体" w:asciiTheme="minorEastAsia" w:hAnsiTheme="minorEastAsia"/>
                <w:color w:val="auto"/>
                <w:kern w:val="0"/>
                <w:sz w:val="24"/>
                <w:szCs w:val="24"/>
              </w:rPr>
              <w:t>分，每有一项内容中表述有错误(错误指凭空编造、语句不通顺有歧义或前后内容相互矛盾)或与本项目无关(无关指描述中存在使用其他项目、其他采购人或与本项目无关的内容)扣分 1 分，扣完为止，未提供不得分。</w:t>
            </w:r>
          </w:p>
        </w:tc>
        <w:tc>
          <w:tcPr>
            <w:tcW w:w="952" w:type="dxa"/>
            <w:tcBorders>
              <w:top w:val="single" w:color="auto" w:sz="4" w:space="0"/>
              <w:left w:val="nil"/>
              <w:bottom w:val="single" w:color="auto" w:sz="4" w:space="0"/>
              <w:right w:val="single" w:color="auto" w:sz="4" w:space="0"/>
            </w:tcBorders>
            <w:vAlign w:val="center"/>
          </w:tcPr>
          <w:p w14:paraId="3C93BBA2">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24</w:t>
            </w:r>
          </w:p>
        </w:tc>
      </w:tr>
      <w:tr w14:paraId="79143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Borders>
              <w:top w:val="single" w:color="auto" w:sz="4" w:space="0"/>
              <w:left w:val="single" w:color="auto" w:sz="4" w:space="0"/>
              <w:bottom w:val="single" w:color="auto" w:sz="4" w:space="0"/>
              <w:right w:val="single" w:color="auto" w:sz="4" w:space="0"/>
            </w:tcBorders>
            <w:vAlign w:val="center"/>
          </w:tcPr>
          <w:p w14:paraId="1EF83BEB">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7</w:t>
            </w:r>
          </w:p>
        </w:tc>
        <w:tc>
          <w:tcPr>
            <w:tcW w:w="1249" w:type="dxa"/>
            <w:tcBorders>
              <w:top w:val="single" w:color="auto" w:sz="4" w:space="0"/>
              <w:left w:val="nil"/>
              <w:bottom w:val="single" w:color="auto" w:sz="4" w:space="0"/>
              <w:right w:val="single" w:color="auto" w:sz="4" w:space="0"/>
            </w:tcBorders>
            <w:vAlign w:val="center"/>
          </w:tcPr>
          <w:p w14:paraId="341F5C2C">
            <w:pPr>
              <w:keepLines w:val="0"/>
              <w:pageBreakBefore w:val="0"/>
              <w:widowControl/>
              <w:kinsoku/>
              <w:wordWrap/>
              <w:overflowPunct/>
              <w:topLinePunct w:val="0"/>
              <w:bidi w:val="0"/>
              <w:spacing w:line="360" w:lineRule="auto"/>
              <w:jc w:val="left"/>
              <w:rPr>
                <w:rFonts w:asciiTheme="minorEastAsia" w:hAnsiTheme="minorEastAsia"/>
                <w:color w:val="auto"/>
                <w:kern w:val="0"/>
                <w:sz w:val="24"/>
                <w:szCs w:val="24"/>
              </w:rPr>
            </w:pPr>
            <w:r>
              <w:rPr>
                <w:rFonts w:hint="eastAsia" w:cs="宋体" w:asciiTheme="minorEastAsia" w:hAnsiTheme="minorEastAsia"/>
                <w:color w:val="auto"/>
                <w:kern w:val="0"/>
                <w:sz w:val="24"/>
                <w:szCs w:val="24"/>
              </w:rPr>
              <w:t>后续</w:t>
            </w:r>
            <w:r>
              <w:rPr>
                <w:rFonts w:cs="宋体" w:asciiTheme="minorEastAsia" w:hAnsiTheme="minorEastAsia"/>
                <w:color w:val="auto"/>
                <w:kern w:val="0"/>
                <w:sz w:val="24"/>
                <w:szCs w:val="24"/>
              </w:rPr>
              <w:t>保障</w:t>
            </w:r>
            <w:r>
              <w:rPr>
                <w:rFonts w:hint="eastAsia" w:cs="宋体" w:asciiTheme="minorEastAsia" w:hAnsiTheme="minorEastAsia"/>
                <w:color w:val="auto"/>
                <w:kern w:val="0"/>
                <w:sz w:val="24"/>
                <w:szCs w:val="24"/>
              </w:rPr>
              <w:t>措施</w:t>
            </w:r>
          </w:p>
        </w:tc>
        <w:tc>
          <w:tcPr>
            <w:tcW w:w="6604" w:type="dxa"/>
            <w:tcBorders>
              <w:top w:val="single" w:color="auto" w:sz="4" w:space="0"/>
              <w:left w:val="nil"/>
              <w:bottom w:val="single" w:color="auto" w:sz="4" w:space="0"/>
              <w:right w:val="single" w:color="auto" w:sz="4" w:space="0"/>
            </w:tcBorders>
            <w:vAlign w:val="center"/>
          </w:tcPr>
          <w:p w14:paraId="321FC77F">
            <w:pPr>
              <w:keepLines w:val="0"/>
              <w:pageBreakBefore w:val="0"/>
              <w:widowControl/>
              <w:kinsoku/>
              <w:wordWrap/>
              <w:overflowPunct/>
              <w:topLinePunct w:val="0"/>
              <w:bidi w:val="0"/>
              <w:spacing w:line="360" w:lineRule="auto"/>
              <w:jc w:val="left"/>
              <w:rPr>
                <w:rFonts w:asciiTheme="minorEastAsia" w:hAnsiTheme="minorEastAsia"/>
                <w:color w:val="auto"/>
                <w:sz w:val="24"/>
                <w:szCs w:val="24"/>
              </w:rPr>
            </w:pPr>
            <w:bookmarkStart w:id="69" w:name="OLE_LINK35"/>
            <w:r>
              <w:rPr>
                <w:rFonts w:hint="eastAsia" w:cs="宋体" w:asciiTheme="minorEastAsia" w:hAnsiTheme="minorEastAsia"/>
                <w:color w:val="auto"/>
                <w:kern w:val="0"/>
                <w:sz w:val="24"/>
                <w:szCs w:val="24"/>
              </w:rPr>
              <w:t>后续保障措施包括</w:t>
            </w:r>
            <w:r>
              <w:rPr>
                <w:rFonts w:cs="宋体" w:asciiTheme="minorEastAsia" w:hAnsiTheme="minorEastAsia"/>
                <w:color w:val="auto"/>
                <w:kern w:val="0"/>
                <w:sz w:val="24"/>
                <w:szCs w:val="24"/>
              </w:rPr>
              <w:t>1.</w:t>
            </w:r>
            <w:r>
              <w:rPr>
                <w:rFonts w:hint="eastAsia" w:cs="宋体" w:asciiTheme="minorEastAsia" w:hAnsiTheme="minorEastAsia"/>
                <w:color w:val="auto"/>
                <w:kern w:val="0"/>
                <w:sz w:val="24"/>
                <w:szCs w:val="24"/>
                <w:lang w:eastAsia="zh-CN"/>
              </w:rPr>
              <w:t>方案完善及宣传、培训计划</w:t>
            </w:r>
            <w:r>
              <w:rPr>
                <w:rFonts w:cs="宋体" w:asciiTheme="minorEastAsia" w:hAnsiTheme="minorEastAsia"/>
                <w:color w:val="auto"/>
                <w:kern w:val="0"/>
                <w:sz w:val="24"/>
                <w:szCs w:val="24"/>
              </w:rPr>
              <w:t>；2.项目实施人员</w:t>
            </w:r>
            <w:r>
              <w:rPr>
                <w:rFonts w:hint="eastAsia" w:cs="宋体" w:asciiTheme="minorEastAsia" w:hAnsiTheme="minorEastAsia"/>
                <w:color w:val="auto"/>
                <w:kern w:val="0"/>
                <w:sz w:val="24"/>
                <w:szCs w:val="24"/>
                <w:lang w:eastAsia="zh-CN"/>
              </w:rPr>
              <w:t>保障</w:t>
            </w:r>
            <w:r>
              <w:rPr>
                <w:rFonts w:cs="宋体" w:asciiTheme="minorEastAsia" w:hAnsiTheme="minorEastAsia"/>
                <w:color w:val="auto"/>
                <w:kern w:val="0"/>
                <w:sz w:val="24"/>
                <w:szCs w:val="24"/>
              </w:rPr>
              <w:t xml:space="preserve">安排；3.服务承诺；以上内容齐全详细且符合项目特点的得 </w:t>
            </w:r>
            <w:r>
              <w:rPr>
                <w:rFonts w:hint="eastAsia" w:cs="宋体" w:asciiTheme="minorEastAsia" w:hAnsiTheme="minorEastAsia"/>
                <w:color w:val="auto"/>
                <w:kern w:val="0"/>
                <w:sz w:val="24"/>
                <w:szCs w:val="24"/>
              </w:rPr>
              <w:t>12</w:t>
            </w:r>
            <w:r>
              <w:rPr>
                <w:rFonts w:cs="宋体" w:asciiTheme="minorEastAsia" w:hAnsiTheme="minorEastAsia"/>
                <w:color w:val="auto"/>
                <w:kern w:val="0"/>
                <w:sz w:val="24"/>
                <w:szCs w:val="24"/>
              </w:rPr>
              <w:t xml:space="preserve"> 分，每有一项内容缺失的扣 </w:t>
            </w:r>
            <w:r>
              <w:rPr>
                <w:rFonts w:hint="eastAsia" w:cs="宋体" w:asciiTheme="minorEastAsia" w:hAnsiTheme="minorEastAsia"/>
                <w:color w:val="auto"/>
                <w:kern w:val="0"/>
                <w:sz w:val="24"/>
                <w:szCs w:val="24"/>
              </w:rPr>
              <w:t>4</w:t>
            </w:r>
            <w:r>
              <w:rPr>
                <w:rFonts w:cs="宋体" w:asciiTheme="minorEastAsia" w:hAnsiTheme="minorEastAsia"/>
                <w:color w:val="auto"/>
                <w:kern w:val="0"/>
                <w:sz w:val="24"/>
                <w:szCs w:val="24"/>
              </w:rPr>
              <w:t xml:space="preserve"> 分，每有一项内容中表述有错误(错误指凭空编造、语句不通顺有歧义或前后内容相互矛盾)或与本项目无关(无关指描述中存在使用其他项目、其他采购人或与本项目无关的内容)扣分 1 分，扣完为止，未提供不得分。</w:t>
            </w:r>
            <w:bookmarkEnd w:id="69"/>
          </w:p>
        </w:tc>
        <w:tc>
          <w:tcPr>
            <w:tcW w:w="952" w:type="dxa"/>
            <w:tcBorders>
              <w:top w:val="single" w:color="auto" w:sz="4" w:space="0"/>
              <w:left w:val="nil"/>
              <w:bottom w:val="single" w:color="auto" w:sz="4" w:space="0"/>
              <w:right w:val="single" w:color="auto" w:sz="4" w:space="0"/>
            </w:tcBorders>
            <w:vAlign w:val="center"/>
          </w:tcPr>
          <w:p w14:paraId="08351FDE">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12</w:t>
            </w:r>
          </w:p>
        </w:tc>
      </w:tr>
      <w:tr w14:paraId="6E2F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14:paraId="182D0C4D">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p>
        </w:tc>
        <w:tc>
          <w:tcPr>
            <w:tcW w:w="7853" w:type="dxa"/>
            <w:gridSpan w:val="2"/>
            <w:tcBorders>
              <w:top w:val="single" w:color="auto" w:sz="4" w:space="0"/>
              <w:left w:val="nil"/>
              <w:bottom w:val="single" w:color="auto" w:sz="4" w:space="0"/>
              <w:right w:val="single" w:color="auto" w:sz="4" w:space="0"/>
            </w:tcBorders>
            <w:vAlign w:val="center"/>
          </w:tcPr>
          <w:p w14:paraId="133D9927">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合计</w:t>
            </w:r>
          </w:p>
        </w:tc>
        <w:tc>
          <w:tcPr>
            <w:tcW w:w="952" w:type="dxa"/>
            <w:tcBorders>
              <w:top w:val="single" w:color="auto" w:sz="4" w:space="0"/>
              <w:left w:val="nil"/>
              <w:bottom w:val="single" w:color="auto" w:sz="4" w:space="0"/>
              <w:right w:val="single" w:color="auto" w:sz="4" w:space="0"/>
            </w:tcBorders>
            <w:vAlign w:val="center"/>
          </w:tcPr>
          <w:p w14:paraId="3D2922F8">
            <w:pPr>
              <w:keepLines w:val="0"/>
              <w:pageBreakBefore w:val="0"/>
              <w:kinsoku/>
              <w:wordWrap/>
              <w:overflowPunct/>
              <w:topLinePunct w:val="0"/>
              <w:autoSpaceDE w:val="0"/>
              <w:autoSpaceDN w:val="0"/>
              <w:bidi w:val="0"/>
              <w:adjustRightInd w:val="0"/>
              <w:spacing w:line="360" w:lineRule="auto"/>
              <w:jc w:val="center"/>
              <w:rPr>
                <w:rFonts w:asciiTheme="minorEastAsia" w:hAnsiTheme="minorEastAsia"/>
                <w:color w:val="auto"/>
                <w:kern w:val="0"/>
                <w:sz w:val="24"/>
                <w:szCs w:val="24"/>
              </w:rPr>
            </w:pPr>
            <w:r>
              <w:rPr>
                <w:rFonts w:hint="eastAsia" w:asciiTheme="minorEastAsia" w:hAnsiTheme="minorEastAsia"/>
                <w:color w:val="auto"/>
                <w:kern w:val="0"/>
                <w:sz w:val="24"/>
                <w:szCs w:val="24"/>
              </w:rPr>
              <w:t>90</w:t>
            </w:r>
          </w:p>
        </w:tc>
      </w:tr>
    </w:tbl>
    <w:p w14:paraId="3B56DC3D">
      <w:pPr>
        <w:keepLines w:val="0"/>
        <w:pageBreakBefore w:val="0"/>
        <w:kinsoku/>
        <w:wordWrap/>
        <w:overflowPunct/>
        <w:topLinePunct w:val="0"/>
        <w:bidi w:val="0"/>
        <w:spacing w:line="360" w:lineRule="auto"/>
        <w:jc w:val="center"/>
        <w:rPr>
          <w:rFonts w:ascii="宋体" w:hAnsi="宋体" w:eastAsia="宋体" w:cs="Arial"/>
          <w:b/>
          <w:color w:val="auto"/>
          <w:kern w:val="0"/>
          <w:sz w:val="24"/>
          <w:szCs w:val="24"/>
        </w:rPr>
      </w:pPr>
    </w:p>
    <w:p w14:paraId="2AED1C46">
      <w:pPr>
        <w:keepLines w:val="0"/>
        <w:pageBreakBefore w:val="0"/>
        <w:tabs>
          <w:tab w:val="center" w:pos="4832"/>
          <w:tab w:val="left" w:pos="7140"/>
        </w:tabs>
        <w:kinsoku/>
        <w:wordWrap/>
        <w:overflowPunct/>
        <w:topLinePunct w:val="0"/>
        <w:bidi w:val="0"/>
        <w:spacing w:line="360" w:lineRule="auto"/>
        <w:ind w:firstLine="472" w:firstLineChars="196"/>
        <w:jc w:val="left"/>
        <w:outlineLvl w:val="2"/>
        <w:rPr>
          <w:rFonts w:ascii="宋体" w:hAnsi="Calibri" w:eastAsia="宋体" w:cs="宋体"/>
          <w:b/>
          <w:color w:val="auto"/>
          <w:sz w:val="24"/>
          <w:szCs w:val="24"/>
        </w:rPr>
      </w:pPr>
      <w:bookmarkStart w:id="70" w:name="_Toc16358"/>
      <w:r>
        <w:rPr>
          <w:rFonts w:ascii="宋体" w:hAnsi="宋体" w:eastAsia="宋体" w:cs="宋体"/>
          <w:b/>
          <w:color w:val="auto"/>
          <w:sz w:val="24"/>
          <w:szCs w:val="24"/>
        </w:rPr>
        <w:t xml:space="preserve">1. </w:t>
      </w:r>
      <w:r>
        <w:rPr>
          <w:rFonts w:hint="eastAsia" w:ascii="宋体" w:hAnsi="宋体" w:eastAsia="宋体" w:cs="宋体"/>
          <w:b/>
          <w:color w:val="auto"/>
          <w:sz w:val="24"/>
          <w:szCs w:val="24"/>
        </w:rPr>
        <w:t>评标方法</w:t>
      </w:r>
      <w:bookmarkEnd w:id="70"/>
    </w:p>
    <w:p w14:paraId="36E06DD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本次评标采用竞争性磋商。磋商小组对满足竞争性磋商文件实质性要求的竞争性磋商响应文件，按照本节规定的评审标准进行评审。评标中各评委若发生意见分歧，以少数服从多数原则确定。</w:t>
      </w:r>
    </w:p>
    <w:p w14:paraId="148094D8">
      <w:pPr>
        <w:keepLines w:val="0"/>
        <w:pageBreakBefore w:val="0"/>
        <w:tabs>
          <w:tab w:val="center" w:pos="4832"/>
          <w:tab w:val="left" w:pos="7140"/>
        </w:tabs>
        <w:kinsoku/>
        <w:wordWrap/>
        <w:overflowPunct/>
        <w:topLinePunct w:val="0"/>
        <w:bidi w:val="0"/>
        <w:spacing w:line="360" w:lineRule="auto"/>
        <w:ind w:firstLine="472" w:firstLineChars="196"/>
        <w:jc w:val="left"/>
        <w:outlineLvl w:val="2"/>
        <w:rPr>
          <w:rFonts w:ascii="宋体" w:hAnsi="宋体" w:eastAsia="宋体" w:cs="宋体"/>
          <w:b/>
          <w:color w:val="auto"/>
          <w:sz w:val="24"/>
          <w:szCs w:val="24"/>
        </w:rPr>
      </w:pPr>
      <w:bookmarkStart w:id="71" w:name="_Toc5100"/>
      <w:r>
        <w:rPr>
          <w:rFonts w:ascii="宋体" w:hAnsi="宋体" w:eastAsia="宋体" w:cs="宋体"/>
          <w:b/>
          <w:color w:val="auto"/>
          <w:sz w:val="24"/>
          <w:szCs w:val="24"/>
        </w:rPr>
        <w:t xml:space="preserve">2. </w:t>
      </w:r>
      <w:r>
        <w:rPr>
          <w:rFonts w:hint="eastAsia" w:ascii="宋体" w:hAnsi="宋体" w:eastAsia="宋体" w:cs="宋体"/>
          <w:b/>
          <w:color w:val="auto"/>
          <w:sz w:val="24"/>
          <w:szCs w:val="24"/>
        </w:rPr>
        <w:t>评审标准</w:t>
      </w:r>
      <w:bookmarkEnd w:id="71"/>
    </w:p>
    <w:p w14:paraId="16E8328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1资格审查：评审因素和评审标准见《资格审查标准》。</w:t>
      </w:r>
    </w:p>
    <w:p w14:paraId="05774FD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2完备性及符合性审查：评审因素和评审标准见《完备性及符合性审查标准》。</w:t>
      </w:r>
    </w:p>
    <w:p w14:paraId="46C4AB1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3详细评审：</w:t>
      </w:r>
    </w:p>
    <w:p w14:paraId="17E56A3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Calibri" w:eastAsia="宋体" w:cs="Arial"/>
          <w:color w:val="auto"/>
          <w:kern w:val="0"/>
          <w:sz w:val="24"/>
          <w:szCs w:val="24"/>
        </w:rPr>
        <w:t>2.3.1详细评审：评审因素和评审标准见《详细评审标准》及本节第3.6款。</w:t>
      </w:r>
    </w:p>
    <w:p w14:paraId="3CFE9AA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2.</w:t>
      </w:r>
      <w:r>
        <w:rPr>
          <w:rFonts w:hint="eastAsia" w:ascii="宋体" w:hAnsi="宋体" w:eastAsia="宋体" w:cs="Arial"/>
          <w:color w:val="auto"/>
          <w:kern w:val="0"/>
          <w:sz w:val="24"/>
          <w:szCs w:val="24"/>
        </w:rPr>
        <w:t>3</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投标报价评分标准：</w:t>
      </w:r>
    </w:p>
    <w:p w14:paraId="6825F4F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）分值构成：见评标办法前附表。</w:t>
      </w:r>
    </w:p>
    <w:p w14:paraId="684D60C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）评标基准价计算：见评标办法前附表。</w:t>
      </w:r>
    </w:p>
    <w:p w14:paraId="649786C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（3）投标报价得分的计算：见评标办法前附表。</w:t>
      </w:r>
    </w:p>
    <w:p w14:paraId="7BC6D9EB">
      <w:pPr>
        <w:keepLines w:val="0"/>
        <w:pageBreakBefore w:val="0"/>
        <w:tabs>
          <w:tab w:val="center" w:pos="4832"/>
          <w:tab w:val="left" w:pos="7140"/>
        </w:tabs>
        <w:kinsoku/>
        <w:wordWrap/>
        <w:overflowPunct/>
        <w:topLinePunct w:val="0"/>
        <w:bidi w:val="0"/>
        <w:spacing w:line="360" w:lineRule="auto"/>
        <w:ind w:firstLine="472" w:firstLineChars="196"/>
        <w:jc w:val="left"/>
        <w:outlineLvl w:val="2"/>
        <w:rPr>
          <w:rFonts w:ascii="宋体" w:hAnsi="Calibri" w:eastAsia="宋体" w:cs="宋体"/>
          <w:b/>
          <w:color w:val="auto"/>
          <w:sz w:val="24"/>
          <w:szCs w:val="24"/>
        </w:rPr>
      </w:pPr>
      <w:bookmarkStart w:id="72" w:name="_Toc1849"/>
      <w:r>
        <w:rPr>
          <w:rFonts w:ascii="宋体" w:hAnsi="宋体" w:eastAsia="宋体" w:cs="宋体"/>
          <w:b/>
          <w:color w:val="auto"/>
          <w:sz w:val="24"/>
          <w:szCs w:val="24"/>
        </w:rPr>
        <w:t xml:space="preserve">3. </w:t>
      </w:r>
      <w:r>
        <w:rPr>
          <w:rFonts w:hint="eastAsia" w:ascii="宋体" w:hAnsi="宋体" w:eastAsia="宋体" w:cs="宋体"/>
          <w:b/>
          <w:color w:val="auto"/>
          <w:sz w:val="24"/>
          <w:szCs w:val="24"/>
        </w:rPr>
        <w:t>评标程序</w:t>
      </w:r>
      <w:bookmarkEnd w:id="72"/>
    </w:p>
    <w:p w14:paraId="5AA0DB5B">
      <w:pPr>
        <w:pStyle w:val="66"/>
        <w:keepLines w:val="0"/>
        <w:pageBreakBefore w:val="0"/>
        <w:widowControl/>
        <w:numPr>
          <w:ilvl w:val="1"/>
          <w:numId w:val="2"/>
        </w:numPr>
        <w:shd w:val="clear" w:color="auto" w:fill="FFFFFF"/>
        <w:kinsoku/>
        <w:wordWrap/>
        <w:overflowPunct/>
        <w:topLinePunct w:val="0"/>
        <w:bidi w:val="0"/>
        <w:snapToGrid w:val="0"/>
        <w:spacing w:line="360" w:lineRule="auto"/>
        <w:ind w:firstLineChars="0"/>
        <w:rPr>
          <w:rFonts w:ascii="宋体" w:cs="Arial"/>
          <w:color w:val="auto"/>
          <w:kern w:val="0"/>
          <w:sz w:val="24"/>
          <w:szCs w:val="24"/>
        </w:rPr>
      </w:pPr>
      <w:r>
        <w:rPr>
          <w:rFonts w:hint="eastAsia" w:ascii="宋体" w:hAnsi="宋体" w:cs="Arial"/>
          <w:color w:val="auto"/>
          <w:kern w:val="0"/>
          <w:sz w:val="24"/>
          <w:szCs w:val="24"/>
        </w:rPr>
        <w:t>基本程序</w:t>
      </w:r>
    </w:p>
    <w:p w14:paraId="01B5EB2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评标活动将按以下步骤进行：</w:t>
      </w:r>
    </w:p>
    <w:p w14:paraId="7326285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（1）</w:t>
      </w:r>
      <w:r>
        <w:rPr>
          <w:rFonts w:hint="eastAsia" w:ascii="宋体" w:hAnsi="宋体" w:cs="Arial"/>
          <w:color w:val="auto"/>
          <w:kern w:val="0"/>
          <w:sz w:val="24"/>
          <w:szCs w:val="24"/>
        </w:rPr>
        <w:t>评标准备</w:t>
      </w:r>
    </w:p>
    <w:p w14:paraId="1B9E7A2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（2）资格审查</w:t>
      </w:r>
    </w:p>
    <w:p w14:paraId="5E40CA8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（3）完备性及符合性审查</w:t>
      </w:r>
    </w:p>
    <w:p w14:paraId="67ADF7B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hint="eastAsia" w:ascii="宋体" w:hAnsi="宋体" w:eastAsia="宋体" w:cs="Arial"/>
          <w:color w:val="auto"/>
          <w:kern w:val="0"/>
          <w:sz w:val="24"/>
          <w:szCs w:val="24"/>
        </w:rPr>
        <w:t>（4）详细评审</w:t>
      </w:r>
    </w:p>
    <w:p w14:paraId="501972FA">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（5）磋商报价</w:t>
      </w:r>
    </w:p>
    <w:p w14:paraId="21453D0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（6）澄清、说明或补正</w:t>
      </w:r>
    </w:p>
    <w:p w14:paraId="1C4F235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（7）推荐成交候选人及提交评标报告</w:t>
      </w:r>
    </w:p>
    <w:p w14:paraId="7B50A7F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 xml:space="preserve">3.2 </w:t>
      </w:r>
      <w:r>
        <w:rPr>
          <w:rFonts w:hint="eastAsia" w:ascii="宋体" w:hAnsi="宋体" w:eastAsia="宋体" w:cs="Arial"/>
          <w:color w:val="auto"/>
          <w:kern w:val="0"/>
          <w:sz w:val="24"/>
          <w:szCs w:val="24"/>
        </w:rPr>
        <w:t>评标准备</w:t>
      </w:r>
    </w:p>
    <w:p w14:paraId="727532A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3.2.1</w:t>
      </w:r>
      <w:r>
        <w:rPr>
          <w:rFonts w:hint="eastAsia" w:ascii="宋体" w:hAnsi="宋体" w:eastAsia="宋体" w:cs="Arial"/>
          <w:color w:val="auto"/>
          <w:kern w:val="0"/>
          <w:sz w:val="24"/>
          <w:szCs w:val="24"/>
        </w:rPr>
        <w:t>磋商小组成员签到</w:t>
      </w:r>
    </w:p>
    <w:p w14:paraId="33F7D07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磋商小组成员到达评标现场时应当在签到表上签到以证明其出席。</w:t>
      </w:r>
    </w:p>
    <w:p w14:paraId="1169304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3.2.2 </w:t>
      </w:r>
      <w:r>
        <w:rPr>
          <w:rFonts w:hint="eastAsia" w:ascii="宋体" w:hAnsi="宋体" w:eastAsia="宋体" w:cs="Arial"/>
          <w:color w:val="auto"/>
          <w:kern w:val="0"/>
          <w:sz w:val="24"/>
          <w:szCs w:val="24"/>
        </w:rPr>
        <w:t>磋商小组的分工</w:t>
      </w:r>
    </w:p>
    <w:p w14:paraId="0F8593D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3.2.2.1</w:t>
      </w:r>
      <w:r>
        <w:rPr>
          <w:rFonts w:hint="eastAsia" w:ascii="宋体" w:hAnsi="宋体" w:eastAsia="宋体" w:cs="Arial"/>
          <w:color w:val="auto"/>
          <w:kern w:val="0"/>
          <w:sz w:val="24"/>
          <w:szCs w:val="24"/>
        </w:rPr>
        <w:t>磋商小组首先推选一名磋商小组组长（非采购人代表担任）。磋商小组组长负责评标活动的组织领导工作。磋商小组组长与磋商小组其他成员具有同等的评标权力。</w:t>
      </w:r>
    </w:p>
    <w:p w14:paraId="38C8A91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3.2.2.2 </w:t>
      </w:r>
      <w:r>
        <w:rPr>
          <w:rFonts w:hint="eastAsia" w:ascii="宋体" w:hAnsi="宋体" w:eastAsia="宋体" w:cs="Arial"/>
          <w:color w:val="auto"/>
          <w:kern w:val="0"/>
          <w:sz w:val="24"/>
          <w:szCs w:val="24"/>
        </w:rPr>
        <w:t>磋商小组组长除履行自己作为磋商小组成员独立评标的职责外，主要负责以下工作：</w:t>
      </w:r>
    </w:p>
    <w:p w14:paraId="3D1C35A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）组织磋商小组成员学习竞争性磋商文件；</w:t>
      </w:r>
    </w:p>
    <w:p w14:paraId="1C71100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）汇总各磋商小组成员认为需要供应商澄清、说明或者补正的问题；</w:t>
      </w:r>
    </w:p>
    <w:p w14:paraId="6E8A298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3</w:t>
      </w:r>
      <w:r>
        <w:rPr>
          <w:rFonts w:hint="eastAsia" w:ascii="宋体" w:hAnsi="宋体" w:eastAsia="宋体" w:cs="Arial"/>
          <w:color w:val="auto"/>
          <w:kern w:val="0"/>
          <w:sz w:val="24"/>
          <w:szCs w:val="24"/>
        </w:rPr>
        <w:t>）组织磋商小组对供应商质询并对供应商的答复进行评审；</w:t>
      </w:r>
    </w:p>
    <w:p w14:paraId="24BE1EA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4</w:t>
      </w:r>
      <w:r>
        <w:rPr>
          <w:rFonts w:hint="eastAsia" w:ascii="宋体" w:hAnsi="宋体" w:eastAsia="宋体" w:cs="Arial"/>
          <w:color w:val="auto"/>
          <w:kern w:val="0"/>
          <w:sz w:val="24"/>
          <w:szCs w:val="24"/>
        </w:rPr>
        <w:t>）对出现较大争议的事项进行书面记录；</w:t>
      </w:r>
    </w:p>
    <w:p w14:paraId="693C829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5</w:t>
      </w:r>
      <w:r>
        <w:rPr>
          <w:rFonts w:hint="eastAsia" w:ascii="宋体" w:hAnsi="宋体" w:eastAsia="宋体" w:cs="Arial"/>
          <w:color w:val="auto"/>
          <w:kern w:val="0"/>
          <w:sz w:val="24"/>
          <w:szCs w:val="24"/>
        </w:rPr>
        <w:t>）组织收回评标过程中使用的文件、表格和评标记录以及其他资料，并查验评标记录的完整性及有效性；</w:t>
      </w:r>
    </w:p>
    <w:p w14:paraId="144EE2A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6</w:t>
      </w:r>
      <w:r>
        <w:rPr>
          <w:rFonts w:hint="eastAsia" w:ascii="宋体" w:hAnsi="宋体" w:eastAsia="宋体" w:cs="Arial"/>
          <w:color w:val="auto"/>
          <w:kern w:val="0"/>
          <w:sz w:val="24"/>
          <w:szCs w:val="24"/>
        </w:rPr>
        <w:t>）组织对评标结论进行复核确认；</w:t>
      </w:r>
    </w:p>
    <w:p w14:paraId="34E51CD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7</w:t>
      </w:r>
      <w:r>
        <w:rPr>
          <w:rFonts w:hint="eastAsia" w:ascii="宋体" w:hAnsi="宋体" w:eastAsia="宋体" w:cs="Arial"/>
          <w:color w:val="auto"/>
          <w:kern w:val="0"/>
          <w:sz w:val="24"/>
          <w:szCs w:val="24"/>
        </w:rPr>
        <w:t>）组织编写评标报告。</w:t>
      </w:r>
    </w:p>
    <w:p w14:paraId="4241300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3.2.3 </w:t>
      </w:r>
      <w:r>
        <w:rPr>
          <w:rFonts w:hint="eastAsia" w:ascii="宋体" w:hAnsi="宋体" w:eastAsia="宋体" w:cs="Arial"/>
          <w:color w:val="auto"/>
          <w:kern w:val="0"/>
          <w:sz w:val="24"/>
          <w:szCs w:val="24"/>
        </w:rPr>
        <w:t>熟悉文件资料</w:t>
      </w:r>
    </w:p>
    <w:p w14:paraId="526804F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3.2.3.1 </w:t>
      </w:r>
      <w:r>
        <w:rPr>
          <w:rFonts w:hint="eastAsia" w:ascii="宋体" w:hAnsi="宋体" w:eastAsia="宋体" w:cs="Arial"/>
          <w:color w:val="auto"/>
          <w:kern w:val="0"/>
          <w:sz w:val="24"/>
          <w:szCs w:val="24"/>
        </w:rPr>
        <w:t>磋商小组组长应当组织磋商小组成员认真研究竞争性磋商文件，了解和熟悉采购目的、采购范围、主要合同条件、服务标准和要求，掌握评标标准和方法，熟悉本章及附件中包括的评标表格的使用，如果本章及附件所附的表格不能满足评标所需时，磋商小组应当补充编制评标所需的表格。</w:t>
      </w:r>
    </w:p>
    <w:p w14:paraId="6F653AC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 xml:space="preserve">3.2.3.2 </w:t>
      </w:r>
      <w:r>
        <w:rPr>
          <w:rFonts w:hint="eastAsia" w:ascii="宋体" w:hAnsi="宋体" w:eastAsia="宋体" w:cs="Arial"/>
          <w:color w:val="auto"/>
          <w:kern w:val="0"/>
          <w:sz w:val="24"/>
          <w:szCs w:val="24"/>
        </w:rPr>
        <w:t>采购人或采购代理机构应当向磋商小组提供评标所需的信息和数据，包括：</w:t>
      </w:r>
    </w:p>
    <w:p w14:paraId="1F4A51E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）竞争性磋商文件及其澄清修改等竞争性磋商文件补充；</w:t>
      </w:r>
    </w:p>
    <w:p w14:paraId="057C265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）未在开标会上当场拒绝的各竞争性磋商响应文件；</w:t>
      </w:r>
    </w:p>
    <w:p w14:paraId="51408E9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3</w:t>
      </w:r>
      <w:r>
        <w:rPr>
          <w:rFonts w:hint="eastAsia" w:ascii="宋体" w:hAnsi="宋体" w:eastAsia="宋体" w:cs="Arial"/>
          <w:color w:val="auto"/>
          <w:kern w:val="0"/>
          <w:sz w:val="24"/>
          <w:szCs w:val="24"/>
        </w:rPr>
        <w:t>）开标会记录；</w:t>
      </w:r>
    </w:p>
    <w:p w14:paraId="2D4E251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4</w:t>
      </w:r>
      <w:r>
        <w:rPr>
          <w:rFonts w:hint="eastAsia" w:ascii="宋体" w:hAnsi="宋体" w:eastAsia="宋体" w:cs="Arial"/>
          <w:color w:val="auto"/>
          <w:kern w:val="0"/>
          <w:sz w:val="24"/>
          <w:szCs w:val="24"/>
        </w:rPr>
        <w:t>）评标表格；</w:t>
      </w:r>
    </w:p>
    <w:p w14:paraId="7AAC49E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5</w:t>
      </w:r>
      <w:r>
        <w:rPr>
          <w:rFonts w:hint="eastAsia" w:ascii="宋体" w:hAnsi="宋体" w:eastAsia="宋体" w:cs="Arial"/>
          <w:color w:val="auto"/>
          <w:kern w:val="0"/>
          <w:sz w:val="24"/>
          <w:szCs w:val="24"/>
        </w:rPr>
        <w:t>）其他信息和数据。</w:t>
      </w:r>
    </w:p>
    <w:p w14:paraId="6210ADD9">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3.3</w:t>
      </w:r>
      <w:r>
        <w:rPr>
          <w:rFonts w:hint="eastAsia" w:ascii="宋体" w:hAnsi="宋体" w:eastAsia="宋体" w:cs="Arial"/>
          <w:color w:val="auto"/>
          <w:kern w:val="0"/>
          <w:sz w:val="24"/>
          <w:szCs w:val="24"/>
        </w:rPr>
        <w:t>资格审查（适用于资格后审）</w:t>
      </w:r>
    </w:p>
    <w:p w14:paraId="620907A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采购人会依据本章规定的评审因素和审查标准，对供应商的资格审查资料进行资格审查。资格审查有一项未通过审查标准，采购人将认定整个竞争性磋商响应文件不响应竞争性磋商文件而否决其投标，并且不允许供应商通过修改或撤销其不符合要求的差异或保留，使之成为具有响应性的投标。</w:t>
      </w:r>
    </w:p>
    <w:p w14:paraId="19D070A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3.4完备性及符合性审查</w:t>
      </w:r>
    </w:p>
    <w:p w14:paraId="51F927F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磋商小组依据本章规定的评审因素和评审标准，对供应商的竞争性磋商响应文件进行完备性及符合性审查。完备性及符合性审查有一项未通过评审标准，磋商小组将认定整个竞争性磋商响应文件不响应竞争性磋商文件而否决其投标，并且不允许供应商通过修改或撤销其不符合要求的差异或保留，使之成为具有响应性的投标。</w:t>
      </w:r>
    </w:p>
    <w:p w14:paraId="6D907FD4">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4</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完备性及符合性审查条款是指对本采购项目产生了重大影响的重大偏差，而且纠正此类偏差将会对响应本次采购的其他供应商的竞争地位产生不公正的影响。</w:t>
      </w:r>
    </w:p>
    <w:p w14:paraId="318A788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4</w:t>
      </w:r>
      <w:r>
        <w:rPr>
          <w:rFonts w:ascii="宋体" w:hAnsi="宋体" w:eastAsia="宋体" w:cs="Arial"/>
          <w:color w:val="auto"/>
          <w:kern w:val="0"/>
          <w:sz w:val="24"/>
          <w:szCs w:val="24"/>
        </w:rPr>
        <w:t>.3</w:t>
      </w:r>
      <w:r>
        <w:rPr>
          <w:rFonts w:hint="eastAsia" w:ascii="宋体" w:hAnsi="宋体" w:eastAsia="宋体" w:cs="Arial"/>
          <w:color w:val="auto"/>
          <w:kern w:val="0"/>
          <w:sz w:val="24"/>
          <w:szCs w:val="24"/>
        </w:rPr>
        <w:t>细微偏差是指竞争性磋商响应文件在实质上响应竞争性磋商文件要求，但在个别地方存在疏漏或者提供了不完整的技术信息和数据等情况，并且补正这些遗漏和不完整不会对其他供应商造成不公平的结果。细微偏差不影响竞争性磋商响应文件的有效性，磋商小组可要求存在细微偏差的供应商予以补正。</w:t>
      </w:r>
    </w:p>
    <w:p w14:paraId="5FACB5A7">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6详细评审</w:t>
      </w:r>
    </w:p>
    <w:p w14:paraId="439699E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.1.</w:t>
      </w:r>
      <w:r>
        <w:rPr>
          <w:rFonts w:hint="eastAsia" w:ascii="宋体" w:hAnsi="宋体" w:eastAsia="宋体" w:cs="Arial"/>
          <w:color w:val="auto"/>
          <w:kern w:val="0"/>
          <w:sz w:val="24"/>
          <w:szCs w:val="24"/>
        </w:rPr>
        <w:t>只有通过了资格审查、完备性及符合性审查且</w:t>
      </w:r>
      <w:r>
        <w:rPr>
          <w:rFonts w:hint="eastAsia" w:ascii="宋体" w:hAnsi="Calibri" w:eastAsia="宋体" w:cs="Arial"/>
          <w:color w:val="auto"/>
          <w:kern w:val="0"/>
          <w:sz w:val="24"/>
          <w:szCs w:val="24"/>
        </w:rPr>
        <w:t>投标方不少于3个</w:t>
      </w:r>
      <w:r>
        <w:rPr>
          <w:rFonts w:hint="eastAsia" w:ascii="宋体" w:hAnsi="宋体" w:eastAsia="宋体" w:cs="Arial"/>
          <w:color w:val="auto"/>
          <w:kern w:val="0"/>
          <w:sz w:val="24"/>
          <w:szCs w:val="24"/>
        </w:rPr>
        <w:t>方可进入详细评审。</w:t>
      </w:r>
      <w:r>
        <w:rPr>
          <w:rFonts w:hint="eastAsia" w:ascii="宋体" w:hAnsi="Calibri" w:eastAsia="宋体" w:cs="Arial"/>
          <w:color w:val="auto"/>
          <w:kern w:val="0"/>
          <w:sz w:val="24"/>
          <w:szCs w:val="24"/>
        </w:rPr>
        <w:t>磋商小组所有成员将对响应文件进行详细评审，并根据谈判文件规定的程序、评定成交的标准等事项与实质性响应磋商文件的单一供应商分别进行磋商。</w:t>
      </w:r>
    </w:p>
    <w:p w14:paraId="54D5890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.2 </w:t>
      </w:r>
      <w:r>
        <w:rPr>
          <w:rFonts w:hint="eastAsia" w:ascii="宋体" w:hAnsi="宋体" w:eastAsia="宋体" w:cs="Arial"/>
          <w:color w:val="auto"/>
          <w:kern w:val="0"/>
          <w:sz w:val="24"/>
          <w:szCs w:val="24"/>
        </w:rPr>
        <w:t>澄清、说明和补正</w:t>
      </w:r>
    </w:p>
    <w:p w14:paraId="23D2F9B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1在不改变供应商竞争性磋商响应文件实质性内容的前提下，磋商小组应当对竞争性磋商响应文件进行基础性数据分析和整理，从而发现并提取其中可能存在的对采购范围理解的偏差、技术响应偏离、投标价格的算术性错误、错漏项、投标价格构成不合理、不平衡报价等存在明显异常的问题。</w:t>
      </w:r>
    </w:p>
    <w:p w14:paraId="4E9E06E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.2澄清、说明和补正内容不得改变竞争性磋商响应文件的实质性内容（算术性错误修正的除外）。供应商的书面澄清、说明和补正属于竞争性磋商响应文件的组成部分。</w:t>
      </w:r>
    </w:p>
    <w:p w14:paraId="25BF8886">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3磋商小组针对需要供应商对所提交竞争性磋商响应文件中不明确的内容进行书面澄清、说明或补正。澄清通知不得向供应商提出带有暗示性或诱导性问题，或向其明确竞争性磋商响应文件中的遗漏和错误。供应商接到磋商小组发出的书面澄清通知后，应按磋商小组的要求提供书面澄清资料，并在规定的时间递交到指定地点。磋商小组不接受供应商主动提出的澄清、说明或补正。</w:t>
      </w:r>
    </w:p>
    <w:p w14:paraId="7DCE5112">
      <w:pPr>
        <w:keepLines w:val="0"/>
        <w:pageBreakBefore w:val="0"/>
        <w:kinsoku/>
        <w:wordWrap/>
        <w:overflowPunct/>
        <w:topLinePunct w:val="0"/>
        <w:bidi w:val="0"/>
        <w:spacing w:line="360" w:lineRule="auto"/>
        <w:rPr>
          <w:rFonts w:ascii="宋体" w:hAnsi="宋体" w:eastAsia="宋体" w:cs="Arial"/>
          <w:color w:val="auto"/>
          <w:kern w:val="0"/>
          <w:sz w:val="24"/>
          <w:szCs w:val="24"/>
        </w:rPr>
      </w:pPr>
      <w:r>
        <w:rPr>
          <w:rFonts w:hint="eastAsia" w:ascii="宋体" w:hAnsi="宋体" w:eastAsia="宋体" w:cs="Arial"/>
          <w:color w:val="auto"/>
          <w:kern w:val="0"/>
          <w:sz w:val="24"/>
          <w:szCs w:val="24"/>
        </w:rPr>
        <w:t xml:space="preserve">     </w:t>
      </w: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.2</w:t>
      </w:r>
      <w:r>
        <w:rPr>
          <w:rFonts w:hint="eastAsia" w:ascii="宋体" w:hAnsi="宋体" w:eastAsia="宋体" w:cs="Arial"/>
          <w:color w:val="auto"/>
          <w:kern w:val="0"/>
          <w:sz w:val="24"/>
          <w:szCs w:val="24"/>
        </w:rPr>
        <w:t>.4磋商小组对供应商提交的澄清、说明或补正有疑问的，可以要求供应商进一步澄清、说明或补正，直至满足磋商小组的要求。磋商结束后，磋商小组应当要求所有继续参加磋商的供应商在规定时间内提交最后报价，提交最后报价的供应商不少于3家。</w:t>
      </w:r>
    </w:p>
    <w:p w14:paraId="71BA585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.3</w:t>
      </w:r>
      <w:r>
        <w:rPr>
          <w:rFonts w:hint="eastAsia" w:ascii="宋体" w:hAnsi="宋体" w:eastAsia="宋体" w:cs="Arial"/>
          <w:color w:val="auto"/>
          <w:kern w:val="0"/>
          <w:sz w:val="24"/>
          <w:szCs w:val="24"/>
        </w:rPr>
        <w:t>评委评分：评委按照《详细评审标准》评分，供应商详细评审得分等于全部评委评分的算术平均值。</w:t>
      </w:r>
    </w:p>
    <w:p w14:paraId="4A2F339E">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.4 </w:t>
      </w:r>
      <w:r>
        <w:rPr>
          <w:rFonts w:hint="eastAsia" w:ascii="宋体" w:hAnsi="宋体" w:eastAsia="宋体" w:cs="Arial"/>
          <w:color w:val="auto"/>
          <w:kern w:val="0"/>
          <w:sz w:val="24"/>
          <w:szCs w:val="24"/>
        </w:rPr>
        <w:t>算术错误修正：投标价格有算术错误的，磋商小组按以下原则对投标价格进行修正，修正的价格经供应商书面确认后具有约束力。供应商不接受修正价格的，其投标将被否决。</w:t>
      </w:r>
    </w:p>
    <w:p w14:paraId="4FA6D1BE">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a. </w:t>
      </w:r>
      <w:r>
        <w:rPr>
          <w:rFonts w:hint="eastAsia" w:ascii="宋体" w:hAnsi="宋体" w:cs="宋体"/>
          <w:color w:val="auto"/>
          <w:kern w:val="0"/>
          <w:sz w:val="24"/>
          <w:szCs w:val="24"/>
        </w:rPr>
        <w:t>响应文件中开标一览表（报价表）内容与响应文件中相应内容不一致的，以开标一览表（报价表）为准；</w:t>
      </w:r>
    </w:p>
    <w:p w14:paraId="3FFC6D7D">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b. </w:t>
      </w:r>
      <w:r>
        <w:rPr>
          <w:rFonts w:hint="eastAsia" w:ascii="宋体" w:hAnsi="宋体" w:cs="宋体"/>
          <w:color w:val="auto"/>
          <w:kern w:val="0"/>
          <w:sz w:val="24"/>
          <w:szCs w:val="24"/>
        </w:rPr>
        <w:t>大写金额和小写金额不一致的，以大写金额为准；</w:t>
      </w:r>
    </w:p>
    <w:p w14:paraId="2FDC682F">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c. </w:t>
      </w:r>
      <w:r>
        <w:rPr>
          <w:rFonts w:hint="eastAsia" w:ascii="宋体" w:hAnsi="宋体" w:cs="宋体"/>
          <w:color w:val="auto"/>
          <w:kern w:val="0"/>
          <w:sz w:val="24"/>
          <w:szCs w:val="24"/>
        </w:rPr>
        <w:t>单价金额小数点或者百分比有明显错位的，以开标一览表的总价为准，并修改单价；</w:t>
      </w:r>
    </w:p>
    <w:p w14:paraId="08CA65C5">
      <w:pPr>
        <w:keepLines w:val="0"/>
        <w:pageBreakBefore w:val="0"/>
        <w:kinsoku/>
        <w:wordWrap/>
        <w:overflowPunct/>
        <w:topLinePunct w:val="0"/>
        <w:autoSpaceDE w:val="0"/>
        <w:autoSpaceDN w:val="0"/>
        <w:bidi w:val="0"/>
        <w:spacing w:line="360" w:lineRule="auto"/>
        <w:ind w:firstLine="480" w:firstLineChars="200"/>
        <w:jc w:val="left"/>
        <w:rPr>
          <w:rFonts w:ascii="宋体" w:cs="宋体"/>
          <w:color w:val="auto"/>
          <w:kern w:val="0"/>
          <w:sz w:val="24"/>
          <w:szCs w:val="24"/>
        </w:rPr>
      </w:pPr>
      <w:r>
        <w:rPr>
          <w:rFonts w:ascii="宋体" w:hAnsi="宋体" w:cs="宋体"/>
          <w:color w:val="auto"/>
          <w:kern w:val="0"/>
          <w:sz w:val="24"/>
          <w:szCs w:val="24"/>
        </w:rPr>
        <w:t xml:space="preserve">d. </w:t>
      </w:r>
      <w:r>
        <w:rPr>
          <w:rFonts w:hint="eastAsia" w:ascii="宋体" w:hAnsi="宋体" w:cs="宋体"/>
          <w:color w:val="auto"/>
          <w:kern w:val="0"/>
          <w:sz w:val="24"/>
          <w:szCs w:val="24"/>
        </w:rPr>
        <w:t>总价金额与按单价汇总金额不一致的，以单价金额计算结果为准。</w:t>
      </w:r>
    </w:p>
    <w:p w14:paraId="55F5F68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cs="宋体"/>
          <w:color w:val="auto"/>
          <w:kern w:val="0"/>
          <w:sz w:val="24"/>
          <w:szCs w:val="24"/>
        </w:rPr>
        <w:t>e. 同时出现两种以上不一致的，按照前款规定的顺序修正。修正后的最终投标报价若超过最高投标限价（如有），评审小组应当否决其投标。</w:t>
      </w:r>
    </w:p>
    <w:p w14:paraId="602BB8BB">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.5 </w:t>
      </w:r>
      <w:r>
        <w:rPr>
          <w:rFonts w:hint="eastAsia" w:ascii="宋体" w:hAnsi="宋体" w:eastAsia="宋体" w:cs="Arial"/>
          <w:color w:val="auto"/>
          <w:kern w:val="0"/>
          <w:sz w:val="24"/>
          <w:szCs w:val="24"/>
        </w:rPr>
        <w:t>磋商小组发现供应商的报价明显低于其他供应商投标价格，使得其投标价格可能低于其成本的，应当要求该供应商作出书面说明并提供相应的证明材料。供应商不能合理说明或者不能提供相应证明材料的，由磋商小组认定该供应商以低于成本报价竞标，否决其投标。</w:t>
      </w:r>
    </w:p>
    <w:p w14:paraId="2636780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.6 </w:t>
      </w:r>
      <w:r>
        <w:rPr>
          <w:rFonts w:hint="eastAsia" w:ascii="宋体" w:hAnsi="宋体" w:eastAsia="宋体" w:cs="Arial"/>
          <w:color w:val="auto"/>
          <w:kern w:val="0"/>
          <w:sz w:val="24"/>
          <w:szCs w:val="24"/>
        </w:rPr>
        <w:t>投标报价评分：对投标报价进行投标报价得分计算，计算方法详见评标办法前附表。</w:t>
      </w:r>
    </w:p>
    <w:p w14:paraId="7E9DFE2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.7</w:t>
      </w:r>
      <w:r>
        <w:rPr>
          <w:rFonts w:hint="eastAsia" w:ascii="宋体" w:hAnsi="宋体" w:eastAsia="宋体" w:cs="Arial"/>
          <w:color w:val="auto"/>
          <w:kern w:val="0"/>
          <w:sz w:val="24"/>
          <w:szCs w:val="24"/>
        </w:rPr>
        <w:t>供应商综合得分即为：最终报价得分+详细评审得分，评分分值计算保留小数点后两位，小数点后第三位“四舍五入”。</w:t>
      </w:r>
    </w:p>
    <w:p w14:paraId="30A25E4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6</w:t>
      </w:r>
      <w:r>
        <w:rPr>
          <w:rFonts w:ascii="宋体" w:hAnsi="宋体" w:eastAsia="宋体" w:cs="Arial"/>
          <w:color w:val="auto"/>
          <w:kern w:val="0"/>
          <w:sz w:val="24"/>
          <w:szCs w:val="24"/>
        </w:rPr>
        <w:t xml:space="preserve">.8 </w:t>
      </w:r>
      <w:r>
        <w:rPr>
          <w:rFonts w:hint="eastAsia" w:ascii="宋体" w:hAnsi="宋体" w:eastAsia="宋体" w:cs="Arial"/>
          <w:color w:val="auto"/>
          <w:kern w:val="0"/>
          <w:sz w:val="24"/>
          <w:szCs w:val="24"/>
        </w:rPr>
        <w:t>详细评审工作全部结束后，供应商成交候选人排序按照以下原则进行。</w:t>
      </w:r>
    </w:p>
    <w:p w14:paraId="04B352A4">
      <w:pPr>
        <w:keepLines w:val="0"/>
        <w:pageBreakBefore w:val="0"/>
        <w:widowControl/>
        <w:shd w:val="clear" w:color="auto" w:fill="FFFFFF"/>
        <w:kinsoku/>
        <w:wordWrap/>
        <w:overflowPunct/>
        <w:topLinePunct w:val="0"/>
        <w:bidi w:val="0"/>
        <w:snapToGrid w:val="0"/>
        <w:spacing w:line="360" w:lineRule="auto"/>
        <w:ind w:firstLine="482" w:firstLineChars="200"/>
        <w:rPr>
          <w:rFonts w:ascii="宋体" w:hAnsi="宋体" w:cs="宋体"/>
          <w:b/>
          <w:color w:val="auto"/>
          <w:kern w:val="0"/>
          <w:sz w:val="24"/>
          <w:szCs w:val="24"/>
        </w:rPr>
      </w:pPr>
      <w:r>
        <w:rPr>
          <w:rFonts w:hint="eastAsia" w:ascii="宋体" w:hAnsi="宋体" w:cs="宋体"/>
          <w:b/>
          <w:color w:val="auto"/>
          <w:kern w:val="0"/>
          <w:sz w:val="24"/>
          <w:szCs w:val="24"/>
        </w:rPr>
        <w:t>评审小组应当根据</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得分情况，按照供应商</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得分由高到低的顺序排列，依次推荐</w:t>
      </w:r>
      <w:r>
        <w:rPr>
          <w:rFonts w:ascii="宋体" w:hAnsi="宋体" w:cs="宋体"/>
          <w:b/>
          <w:color w:val="auto"/>
          <w:kern w:val="0"/>
          <w:sz w:val="24"/>
          <w:szCs w:val="24"/>
        </w:rPr>
        <w:t xml:space="preserve">3 </w:t>
      </w:r>
      <w:r>
        <w:rPr>
          <w:rFonts w:hint="eastAsia" w:ascii="宋体" w:hAnsi="宋体" w:cs="宋体"/>
          <w:b/>
          <w:color w:val="auto"/>
          <w:kern w:val="0"/>
          <w:sz w:val="24"/>
          <w:szCs w:val="24"/>
        </w:rPr>
        <w:t>名成交候选人，并编写评审报告。供应商</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得分相同的，按照最终报价由低到高的顺序排列。供应商</w:t>
      </w:r>
      <w:r>
        <w:rPr>
          <w:rFonts w:hint="eastAsia" w:ascii="宋体" w:hAnsi="宋体" w:eastAsia="宋体" w:cs="Arial"/>
          <w:b/>
          <w:color w:val="auto"/>
          <w:kern w:val="0"/>
          <w:sz w:val="24"/>
          <w:szCs w:val="24"/>
        </w:rPr>
        <w:t>综合</w:t>
      </w:r>
      <w:r>
        <w:rPr>
          <w:rFonts w:hint="eastAsia" w:ascii="宋体" w:hAnsi="宋体" w:cs="宋体"/>
          <w:b/>
          <w:color w:val="auto"/>
          <w:kern w:val="0"/>
          <w:sz w:val="24"/>
          <w:szCs w:val="24"/>
        </w:rPr>
        <w:t>得分相同且最终报价也相同的并列，评审小组将按照</w:t>
      </w:r>
      <w:r>
        <w:rPr>
          <w:rFonts w:hint="eastAsia" w:ascii="宋体" w:hAnsi="宋体" w:cs="宋体"/>
          <w:b/>
          <w:color w:val="auto"/>
          <w:kern w:val="0"/>
          <w:sz w:val="24"/>
          <w:szCs w:val="24"/>
          <w:lang w:eastAsia="zh-CN"/>
        </w:rPr>
        <w:t>投标文件技术指标优劣</w:t>
      </w:r>
      <w:r>
        <w:rPr>
          <w:rFonts w:hint="eastAsia" w:ascii="宋体" w:hAnsi="宋体" w:cs="宋体"/>
          <w:b/>
          <w:color w:val="auto"/>
          <w:kern w:val="0"/>
          <w:sz w:val="24"/>
          <w:szCs w:val="24"/>
        </w:rPr>
        <w:t>排列。</w:t>
      </w:r>
    </w:p>
    <w:p w14:paraId="6CED1488">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7推荐成交候选人及提交评标报告</w:t>
      </w:r>
    </w:p>
    <w:p w14:paraId="405CB1B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w:t>
      </w:r>
      <w:r>
        <w:rPr>
          <w:rFonts w:ascii="宋体" w:hAnsi="宋体" w:eastAsia="宋体" w:cs="Arial"/>
          <w:color w:val="auto"/>
          <w:kern w:val="0"/>
          <w:sz w:val="24"/>
          <w:szCs w:val="24"/>
        </w:rPr>
        <w:t>.1</w:t>
      </w:r>
      <w:r>
        <w:rPr>
          <w:rFonts w:hint="eastAsia" w:ascii="宋体" w:hAnsi="宋体" w:eastAsia="宋体" w:cs="Arial"/>
          <w:color w:val="auto"/>
          <w:kern w:val="0"/>
          <w:sz w:val="24"/>
          <w:szCs w:val="24"/>
        </w:rPr>
        <w:t>磋商小组推荐成交候选人，综合得分排序第一的供应商将被确定为第一成交候选人，以此类推确定出规定数量的的成交候选人。</w:t>
      </w:r>
    </w:p>
    <w:p w14:paraId="6CE03010">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w:t>
      </w:r>
      <w:r>
        <w:rPr>
          <w:rFonts w:ascii="宋体" w:hAnsi="宋体" w:eastAsia="宋体" w:cs="Arial"/>
          <w:color w:val="auto"/>
          <w:kern w:val="0"/>
          <w:sz w:val="24"/>
          <w:szCs w:val="24"/>
        </w:rPr>
        <w:t>.2</w:t>
      </w:r>
      <w:r>
        <w:rPr>
          <w:rFonts w:hint="eastAsia" w:ascii="宋体" w:hAnsi="宋体" w:eastAsia="宋体" w:cs="Arial"/>
          <w:color w:val="auto"/>
          <w:kern w:val="0"/>
          <w:sz w:val="24"/>
          <w:szCs w:val="24"/>
        </w:rPr>
        <w:t>当通过了资格审查、完备性及符合性审查后，投标方少于3个时，采购人应当依法重新采购。</w:t>
      </w:r>
    </w:p>
    <w:p w14:paraId="43D5D34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7</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磋商小组完成评标后，应当向采购人提交书面评标报告。</w:t>
      </w:r>
    </w:p>
    <w:p w14:paraId="3B2C1442">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9特殊情况的处置程序</w:t>
      </w:r>
    </w:p>
    <w:p w14:paraId="7949C443">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.1 </w:t>
      </w:r>
      <w:r>
        <w:rPr>
          <w:rFonts w:hint="eastAsia" w:ascii="宋体" w:hAnsi="宋体" w:eastAsia="宋体" w:cs="Arial"/>
          <w:color w:val="auto"/>
          <w:kern w:val="0"/>
          <w:sz w:val="24"/>
          <w:szCs w:val="24"/>
        </w:rPr>
        <w:t>关于评标活动暂停</w:t>
      </w:r>
    </w:p>
    <w:p w14:paraId="337F4A51">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磋商小组应当执行连续评标的原则，按评标办法中规定的程序、内容、方法、标准完成全部评标工作。只有发生不可抗力导致评标工作无法继续时，评标活动方可暂停。发生评标暂停情况时，应当封存全部竞争性磋商响应文件和评标记录，待不可抗力的影响结束且具备继续评标的条件时，由原磋商小组继续评标。</w:t>
      </w:r>
    </w:p>
    <w:p w14:paraId="19ACD58D">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.2</w:t>
      </w:r>
      <w:r>
        <w:rPr>
          <w:rFonts w:hint="eastAsia" w:ascii="宋体" w:hAnsi="宋体" w:eastAsia="宋体" w:cs="Arial"/>
          <w:color w:val="auto"/>
          <w:kern w:val="0"/>
          <w:sz w:val="24"/>
          <w:szCs w:val="24"/>
        </w:rPr>
        <w:t>关于评标中途更换评委</w:t>
      </w:r>
    </w:p>
    <w:p w14:paraId="51F04ED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.2.1 </w:t>
      </w:r>
      <w:r>
        <w:rPr>
          <w:rFonts w:hint="eastAsia" w:ascii="宋体" w:hAnsi="宋体" w:eastAsia="宋体" w:cs="Arial"/>
          <w:color w:val="auto"/>
          <w:kern w:val="0"/>
          <w:sz w:val="24"/>
          <w:szCs w:val="24"/>
        </w:rPr>
        <w:t>除非发生下列情况之一，磋商小组成员不得在评标中途更换：</w:t>
      </w:r>
    </w:p>
    <w:p w14:paraId="78309BB5">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1</w:t>
      </w:r>
      <w:r>
        <w:rPr>
          <w:rFonts w:hint="eastAsia" w:ascii="宋体" w:hAnsi="宋体" w:eastAsia="宋体" w:cs="Arial"/>
          <w:color w:val="auto"/>
          <w:kern w:val="0"/>
          <w:sz w:val="24"/>
          <w:szCs w:val="24"/>
        </w:rPr>
        <w:t>）因不可抗拒的客观原因，不能到场或需在评标中途退出评标活动。</w:t>
      </w:r>
    </w:p>
    <w:p w14:paraId="3BF9C5A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hint="eastAsia" w:ascii="宋体" w:hAnsi="宋体" w:eastAsia="宋体" w:cs="Arial"/>
          <w:color w:val="auto"/>
          <w:kern w:val="0"/>
          <w:sz w:val="24"/>
          <w:szCs w:val="24"/>
        </w:rPr>
        <w:t>（</w:t>
      </w:r>
      <w:r>
        <w:rPr>
          <w:rFonts w:ascii="宋体" w:hAnsi="宋体" w:eastAsia="宋体" w:cs="Arial"/>
          <w:color w:val="auto"/>
          <w:kern w:val="0"/>
          <w:sz w:val="24"/>
          <w:szCs w:val="24"/>
        </w:rPr>
        <w:t>2</w:t>
      </w:r>
      <w:r>
        <w:rPr>
          <w:rFonts w:hint="eastAsia" w:ascii="宋体" w:hAnsi="宋体" w:eastAsia="宋体" w:cs="Arial"/>
          <w:color w:val="auto"/>
          <w:kern w:val="0"/>
          <w:sz w:val="24"/>
          <w:szCs w:val="24"/>
        </w:rPr>
        <w:t>）根据法律法规规定，某个或某几个磋商小组成员需要回避。</w:t>
      </w:r>
    </w:p>
    <w:p w14:paraId="61FAF2FF">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Calibri"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.2.2 </w:t>
      </w:r>
      <w:r>
        <w:rPr>
          <w:rFonts w:hint="eastAsia" w:ascii="宋体" w:hAnsi="宋体" w:eastAsia="宋体" w:cs="Arial"/>
          <w:color w:val="auto"/>
          <w:kern w:val="0"/>
          <w:sz w:val="24"/>
          <w:szCs w:val="24"/>
        </w:rPr>
        <w:t>退出评标的磋商小组成员，其已完成的评标行为无效，由更换的评委进行评标。</w:t>
      </w:r>
    </w:p>
    <w:p w14:paraId="20BF03AC">
      <w:pPr>
        <w:keepLines w:val="0"/>
        <w:pageBreakBefore w:val="0"/>
        <w:widowControl/>
        <w:shd w:val="clear" w:color="auto" w:fill="FFFFFF"/>
        <w:kinsoku/>
        <w:wordWrap/>
        <w:overflowPunct/>
        <w:topLinePunct w:val="0"/>
        <w:bidi w:val="0"/>
        <w:snapToGrid w:val="0"/>
        <w:spacing w:line="360" w:lineRule="auto"/>
        <w:ind w:firstLine="480" w:firstLineChars="200"/>
        <w:rPr>
          <w:rFonts w:ascii="宋体" w:hAnsi="宋体" w:eastAsia="宋体" w:cs="Arial"/>
          <w:color w:val="auto"/>
          <w:kern w:val="0"/>
          <w:sz w:val="24"/>
          <w:szCs w:val="24"/>
        </w:rPr>
      </w:pPr>
      <w:r>
        <w:rPr>
          <w:rFonts w:ascii="宋体" w:hAnsi="宋体" w:eastAsia="宋体" w:cs="Arial"/>
          <w:color w:val="auto"/>
          <w:kern w:val="0"/>
          <w:sz w:val="24"/>
          <w:szCs w:val="24"/>
        </w:rPr>
        <w:t>3.</w:t>
      </w:r>
      <w:r>
        <w:rPr>
          <w:rFonts w:hint="eastAsia" w:ascii="宋体" w:hAnsi="宋体" w:eastAsia="宋体" w:cs="Arial"/>
          <w:color w:val="auto"/>
          <w:kern w:val="0"/>
          <w:sz w:val="24"/>
          <w:szCs w:val="24"/>
        </w:rPr>
        <w:t>9</w:t>
      </w:r>
      <w:r>
        <w:rPr>
          <w:rFonts w:ascii="宋体" w:hAnsi="宋体" w:eastAsia="宋体" w:cs="Arial"/>
          <w:color w:val="auto"/>
          <w:kern w:val="0"/>
          <w:sz w:val="24"/>
          <w:szCs w:val="24"/>
        </w:rPr>
        <w:t xml:space="preserve">.3 </w:t>
      </w:r>
      <w:r>
        <w:rPr>
          <w:rFonts w:hint="eastAsia" w:ascii="宋体" w:hAnsi="宋体" w:eastAsia="宋体" w:cs="Arial"/>
          <w:color w:val="auto"/>
          <w:kern w:val="0"/>
          <w:sz w:val="24"/>
          <w:szCs w:val="24"/>
        </w:rPr>
        <w:t>在评标环节中，需磋商小组就某项定性的评审结论做出表决的，由磋商小组全体成员按照少数服从多数的原则确定。</w:t>
      </w:r>
      <w:r>
        <w:rPr>
          <w:rFonts w:ascii="宋体" w:hAnsi="宋体" w:eastAsia="宋体" w:cs="Arial"/>
          <w:color w:val="auto"/>
          <w:kern w:val="0"/>
          <w:sz w:val="24"/>
          <w:szCs w:val="24"/>
        </w:rPr>
        <w:br w:type="page"/>
      </w:r>
    </w:p>
    <w:p w14:paraId="4150B578">
      <w:pPr>
        <w:keepLines w:val="0"/>
        <w:pageBreakBefore w:val="0"/>
        <w:kinsoku/>
        <w:wordWrap/>
        <w:overflowPunct/>
        <w:topLinePunct w:val="0"/>
        <w:autoSpaceDE w:val="0"/>
        <w:autoSpaceDN w:val="0"/>
        <w:bidi w:val="0"/>
        <w:adjustRightInd w:val="0"/>
        <w:spacing w:line="360" w:lineRule="auto"/>
        <w:ind w:firstLine="482" w:firstLineChars="200"/>
        <w:jc w:val="center"/>
        <w:rPr>
          <w:rFonts w:ascii="宋体" w:hAnsi="宋体"/>
          <w:b/>
          <w:color w:val="auto"/>
          <w:sz w:val="24"/>
          <w:szCs w:val="24"/>
        </w:rPr>
      </w:pPr>
      <w:bookmarkStart w:id="73" w:name="_Toc485312286"/>
      <w:r>
        <w:rPr>
          <w:rFonts w:hint="eastAsia" w:ascii="宋体" w:hAnsi="宋体"/>
          <w:b/>
          <w:color w:val="auto"/>
          <w:sz w:val="24"/>
          <w:szCs w:val="24"/>
        </w:rPr>
        <w:t>问题澄清通知</w:t>
      </w:r>
    </w:p>
    <w:p w14:paraId="7F29073A">
      <w:pPr>
        <w:keepLines w:val="0"/>
        <w:pageBreakBefore w:val="0"/>
        <w:kinsoku/>
        <w:wordWrap/>
        <w:overflowPunct/>
        <w:topLinePunct w:val="0"/>
        <w:bidi w:val="0"/>
        <w:spacing w:line="360" w:lineRule="auto"/>
        <w:rPr>
          <w:rFonts w:ascii="宋体" w:hAnsi="宋体"/>
          <w:color w:val="auto"/>
          <w:sz w:val="24"/>
          <w:szCs w:val="24"/>
        </w:rPr>
      </w:pPr>
    </w:p>
    <w:p w14:paraId="5DD566B7">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（供应商名称）：</w:t>
      </w:r>
    </w:p>
    <w:p w14:paraId="48BEFD88">
      <w:pPr>
        <w:keepLines w:val="0"/>
        <w:pageBreakBefore w:val="0"/>
        <w:kinsoku/>
        <w:wordWrap/>
        <w:overflowPunct/>
        <w:topLinePunct w:val="0"/>
        <w:bidi w:val="0"/>
        <w:spacing w:line="360" w:lineRule="auto"/>
        <w:ind w:firstLine="480" w:firstLineChars="200"/>
        <w:rPr>
          <w:rFonts w:ascii="宋体" w:hAnsi="宋体" w:cs="Arial"/>
          <w:color w:val="auto"/>
          <w:kern w:val="0"/>
          <w:sz w:val="24"/>
          <w:szCs w:val="24"/>
        </w:rPr>
      </w:pPr>
      <w:r>
        <w:rPr>
          <w:rFonts w:hint="eastAsia" w:ascii="宋体" w:hAnsi="宋体" w:cs="Arial"/>
          <w:color w:val="auto"/>
          <w:kern w:val="0"/>
          <w:sz w:val="24"/>
          <w:szCs w:val="24"/>
        </w:rPr>
        <w:t>（采购项目名称）采购的磋商小组，对你方的响应文件进行了仔细的审查，现需你方对本通知所附质疑问卷中的问题以书面形式予以澄清、说明或者补正。</w:t>
      </w:r>
    </w:p>
    <w:p w14:paraId="4A25D108">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质疑问题：</w:t>
      </w:r>
    </w:p>
    <w:p w14:paraId="0E141ACA">
      <w:pPr>
        <w:keepLines w:val="0"/>
        <w:pageBreakBefore w:val="0"/>
        <w:kinsoku/>
        <w:wordWrap/>
        <w:overflowPunct/>
        <w:topLinePunct w:val="0"/>
        <w:bidi w:val="0"/>
        <w:spacing w:line="360" w:lineRule="auto"/>
        <w:rPr>
          <w:rFonts w:ascii="宋体" w:hAnsi="宋体" w:cs="Arial"/>
          <w:color w:val="auto"/>
          <w:kern w:val="0"/>
          <w:sz w:val="24"/>
          <w:szCs w:val="24"/>
        </w:rPr>
      </w:pPr>
    </w:p>
    <w:p w14:paraId="4FD2A951">
      <w:pPr>
        <w:keepLines w:val="0"/>
        <w:pageBreakBefore w:val="0"/>
        <w:kinsoku/>
        <w:wordWrap/>
        <w:overflowPunct/>
        <w:topLinePunct w:val="0"/>
        <w:bidi w:val="0"/>
        <w:spacing w:line="360" w:lineRule="auto"/>
        <w:rPr>
          <w:rFonts w:ascii="宋体" w:hAnsi="宋体" w:cs="Arial"/>
          <w:color w:val="auto"/>
          <w:kern w:val="0"/>
          <w:sz w:val="24"/>
          <w:szCs w:val="24"/>
        </w:rPr>
      </w:pPr>
    </w:p>
    <w:p w14:paraId="6BF1B071">
      <w:pPr>
        <w:keepLines w:val="0"/>
        <w:pageBreakBefore w:val="0"/>
        <w:kinsoku/>
        <w:wordWrap/>
        <w:overflowPunct/>
        <w:topLinePunct w:val="0"/>
        <w:bidi w:val="0"/>
        <w:spacing w:line="360" w:lineRule="auto"/>
        <w:rPr>
          <w:rFonts w:ascii="宋体" w:hAnsi="宋体" w:cs="Arial"/>
          <w:color w:val="auto"/>
          <w:kern w:val="0"/>
          <w:sz w:val="24"/>
          <w:szCs w:val="24"/>
        </w:rPr>
      </w:pPr>
    </w:p>
    <w:p w14:paraId="4304F03B">
      <w:pPr>
        <w:keepLines w:val="0"/>
        <w:pageBreakBefore w:val="0"/>
        <w:kinsoku/>
        <w:wordWrap/>
        <w:overflowPunct/>
        <w:topLinePunct w:val="0"/>
        <w:bidi w:val="0"/>
        <w:spacing w:line="360" w:lineRule="auto"/>
        <w:rPr>
          <w:rFonts w:ascii="宋体" w:hAnsi="宋体" w:cs="Arial"/>
          <w:color w:val="auto"/>
          <w:kern w:val="0"/>
          <w:sz w:val="24"/>
          <w:szCs w:val="24"/>
        </w:rPr>
      </w:pPr>
    </w:p>
    <w:p w14:paraId="46DEC203">
      <w:pPr>
        <w:keepLines w:val="0"/>
        <w:pageBreakBefore w:val="0"/>
        <w:kinsoku/>
        <w:wordWrap/>
        <w:overflowPunct/>
        <w:topLinePunct w:val="0"/>
        <w:bidi w:val="0"/>
        <w:spacing w:line="360" w:lineRule="auto"/>
        <w:rPr>
          <w:rFonts w:ascii="宋体" w:hAnsi="宋体" w:cs="Arial"/>
          <w:color w:val="auto"/>
          <w:kern w:val="0"/>
          <w:sz w:val="24"/>
          <w:szCs w:val="24"/>
        </w:rPr>
      </w:pPr>
    </w:p>
    <w:p w14:paraId="6C99FAED">
      <w:pPr>
        <w:keepLines w:val="0"/>
        <w:pageBreakBefore w:val="0"/>
        <w:kinsoku/>
        <w:wordWrap/>
        <w:overflowPunct/>
        <w:topLinePunct w:val="0"/>
        <w:bidi w:val="0"/>
        <w:spacing w:line="360" w:lineRule="auto"/>
        <w:rPr>
          <w:rFonts w:ascii="宋体" w:hAnsi="宋体" w:cs="Arial"/>
          <w:color w:val="auto"/>
          <w:kern w:val="0"/>
          <w:sz w:val="24"/>
          <w:szCs w:val="24"/>
        </w:rPr>
      </w:pPr>
    </w:p>
    <w:p w14:paraId="7EB1EFBB">
      <w:pPr>
        <w:keepLines w:val="0"/>
        <w:pageBreakBefore w:val="0"/>
        <w:kinsoku/>
        <w:wordWrap/>
        <w:overflowPunct/>
        <w:topLinePunct w:val="0"/>
        <w:bidi w:val="0"/>
        <w:spacing w:line="360" w:lineRule="auto"/>
        <w:rPr>
          <w:rFonts w:ascii="宋体" w:hAnsi="宋体" w:cs="Arial"/>
          <w:color w:val="auto"/>
          <w:kern w:val="0"/>
          <w:sz w:val="24"/>
          <w:szCs w:val="24"/>
        </w:rPr>
      </w:pPr>
    </w:p>
    <w:p w14:paraId="708982AE">
      <w:pPr>
        <w:keepLines w:val="0"/>
        <w:pageBreakBefore w:val="0"/>
        <w:kinsoku/>
        <w:wordWrap/>
        <w:overflowPunct/>
        <w:topLinePunct w:val="0"/>
        <w:bidi w:val="0"/>
        <w:spacing w:line="360" w:lineRule="auto"/>
        <w:rPr>
          <w:rFonts w:ascii="宋体" w:hAnsi="宋体" w:cs="Arial"/>
          <w:color w:val="auto"/>
          <w:kern w:val="0"/>
          <w:sz w:val="24"/>
          <w:szCs w:val="24"/>
        </w:rPr>
      </w:pPr>
    </w:p>
    <w:p w14:paraId="3C94E122">
      <w:pPr>
        <w:keepLines w:val="0"/>
        <w:pageBreakBefore w:val="0"/>
        <w:kinsoku/>
        <w:wordWrap/>
        <w:overflowPunct/>
        <w:topLinePunct w:val="0"/>
        <w:bidi w:val="0"/>
        <w:spacing w:line="360" w:lineRule="auto"/>
        <w:rPr>
          <w:rFonts w:ascii="宋体" w:hAnsi="宋体" w:cs="Arial"/>
          <w:color w:val="auto"/>
          <w:kern w:val="0"/>
          <w:sz w:val="24"/>
          <w:szCs w:val="24"/>
        </w:rPr>
      </w:pPr>
    </w:p>
    <w:p w14:paraId="764EC986">
      <w:pPr>
        <w:keepLines w:val="0"/>
        <w:pageBreakBefore w:val="0"/>
        <w:kinsoku/>
        <w:wordWrap/>
        <w:overflowPunct/>
        <w:topLinePunct w:val="0"/>
        <w:bidi w:val="0"/>
        <w:spacing w:line="360" w:lineRule="auto"/>
        <w:rPr>
          <w:rFonts w:ascii="宋体" w:hAnsi="宋体" w:cs="Arial"/>
          <w:color w:val="auto"/>
          <w:kern w:val="0"/>
          <w:sz w:val="24"/>
          <w:szCs w:val="24"/>
        </w:rPr>
      </w:pPr>
    </w:p>
    <w:p w14:paraId="03263A16">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磋商小组（签字）：</w:t>
      </w:r>
    </w:p>
    <w:p w14:paraId="0BDA250A">
      <w:pPr>
        <w:keepLines w:val="0"/>
        <w:pageBreakBefore w:val="0"/>
        <w:kinsoku/>
        <w:wordWrap/>
        <w:overflowPunct/>
        <w:topLinePunct w:val="0"/>
        <w:bidi w:val="0"/>
        <w:spacing w:line="360" w:lineRule="auto"/>
        <w:rPr>
          <w:rFonts w:ascii="宋体" w:hAnsi="宋体" w:cs="Arial"/>
          <w:color w:val="auto"/>
          <w:kern w:val="0"/>
          <w:sz w:val="24"/>
          <w:szCs w:val="24"/>
        </w:rPr>
      </w:pPr>
    </w:p>
    <w:p w14:paraId="6F730FC2">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日期：    年    月    日</w:t>
      </w:r>
    </w:p>
    <w:p w14:paraId="63279DF7">
      <w:pPr>
        <w:keepLines w:val="0"/>
        <w:pageBreakBefore w:val="0"/>
        <w:kinsoku/>
        <w:wordWrap/>
        <w:overflowPunct/>
        <w:topLinePunct w:val="0"/>
        <w:bidi w:val="0"/>
        <w:spacing w:line="360" w:lineRule="auto"/>
        <w:jc w:val="center"/>
        <w:rPr>
          <w:rFonts w:ascii="宋体" w:hAnsi="宋体"/>
          <w:b/>
          <w:color w:val="auto"/>
          <w:sz w:val="24"/>
          <w:szCs w:val="24"/>
        </w:rPr>
      </w:pPr>
      <w:r>
        <w:rPr>
          <w:rFonts w:hint="eastAsia" w:ascii="宋体" w:hAnsi="宋体" w:cs="Arial"/>
          <w:color w:val="auto"/>
          <w:kern w:val="0"/>
          <w:sz w:val="24"/>
          <w:szCs w:val="24"/>
        </w:rPr>
        <w:br w:type="page"/>
      </w:r>
      <w:r>
        <w:rPr>
          <w:rFonts w:hint="eastAsia" w:ascii="宋体" w:hAnsi="宋体"/>
          <w:b/>
          <w:color w:val="auto"/>
          <w:sz w:val="24"/>
          <w:szCs w:val="24"/>
        </w:rPr>
        <w:t>问题的澄清、说明或补正</w:t>
      </w:r>
    </w:p>
    <w:p w14:paraId="564D3893">
      <w:pPr>
        <w:keepLines w:val="0"/>
        <w:pageBreakBefore w:val="0"/>
        <w:kinsoku/>
        <w:wordWrap/>
        <w:overflowPunct/>
        <w:topLinePunct w:val="0"/>
        <w:bidi w:val="0"/>
        <w:spacing w:line="360" w:lineRule="auto"/>
        <w:rPr>
          <w:rFonts w:ascii="宋体" w:hAnsi="宋体" w:cs="Arial"/>
          <w:color w:val="auto"/>
          <w:kern w:val="0"/>
          <w:sz w:val="24"/>
          <w:szCs w:val="24"/>
        </w:rPr>
      </w:pPr>
    </w:p>
    <w:p w14:paraId="28EDC90D">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磋商小组：</w:t>
      </w:r>
    </w:p>
    <w:p w14:paraId="5664546A">
      <w:pPr>
        <w:keepLines w:val="0"/>
        <w:pageBreakBefore w:val="0"/>
        <w:kinsoku/>
        <w:wordWrap/>
        <w:overflowPunct/>
        <w:topLinePunct w:val="0"/>
        <w:bidi w:val="0"/>
        <w:spacing w:line="360" w:lineRule="auto"/>
        <w:ind w:firstLine="480" w:firstLineChars="200"/>
        <w:rPr>
          <w:rFonts w:ascii="宋体" w:hAnsi="宋体" w:cs="Arial"/>
          <w:color w:val="auto"/>
          <w:kern w:val="0"/>
          <w:sz w:val="24"/>
          <w:szCs w:val="24"/>
        </w:rPr>
      </w:pPr>
      <w:r>
        <w:rPr>
          <w:rFonts w:hint="eastAsia" w:ascii="宋体" w:hAnsi="宋体" w:cs="Arial"/>
          <w:color w:val="auto"/>
          <w:kern w:val="0"/>
          <w:sz w:val="24"/>
          <w:szCs w:val="24"/>
        </w:rPr>
        <w:t>（采购项目名称）的问题澄清通知已收悉，现澄清、说明或者补正如下：</w:t>
      </w:r>
    </w:p>
    <w:p w14:paraId="2A827098">
      <w:pPr>
        <w:keepLines w:val="0"/>
        <w:pageBreakBefore w:val="0"/>
        <w:kinsoku/>
        <w:wordWrap/>
        <w:overflowPunct/>
        <w:topLinePunct w:val="0"/>
        <w:bidi w:val="0"/>
        <w:spacing w:line="360" w:lineRule="auto"/>
        <w:rPr>
          <w:rFonts w:ascii="宋体" w:hAnsi="宋体" w:cs="Arial"/>
          <w:color w:val="auto"/>
          <w:kern w:val="0"/>
          <w:sz w:val="24"/>
          <w:szCs w:val="24"/>
        </w:rPr>
      </w:pPr>
    </w:p>
    <w:p w14:paraId="68F04664">
      <w:pPr>
        <w:keepLines w:val="0"/>
        <w:pageBreakBefore w:val="0"/>
        <w:kinsoku/>
        <w:wordWrap/>
        <w:overflowPunct/>
        <w:topLinePunct w:val="0"/>
        <w:bidi w:val="0"/>
        <w:spacing w:line="360" w:lineRule="auto"/>
        <w:rPr>
          <w:rFonts w:ascii="宋体" w:hAnsi="宋体" w:cs="Arial"/>
          <w:color w:val="auto"/>
          <w:kern w:val="0"/>
          <w:sz w:val="24"/>
          <w:szCs w:val="24"/>
        </w:rPr>
      </w:pPr>
    </w:p>
    <w:p w14:paraId="55BD49EA">
      <w:pPr>
        <w:keepLines w:val="0"/>
        <w:pageBreakBefore w:val="0"/>
        <w:kinsoku/>
        <w:wordWrap/>
        <w:overflowPunct/>
        <w:topLinePunct w:val="0"/>
        <w:bidi w:val="0"/>
        <w:spacing w:line="360" w:lineRule="auto"/>
        <w:rPr>
          <w:rFonts w:ascii="宋体" w:hAnsi="宋体" w:cs="Arial"/>
          <w:color w:val="auto"/>
          <w:kern w:val="0"/>
          <w:sz w:val="24"/>
          <w:szCs w:val="24"/>
        </w:rPr>
      </w:pPr>
    </w:p>
    <w:p w14:paraId="2BC3A9F2">
      <w:pPr>
        <w:keepLines w:val="0"/>
        <w:pageBreakBefore w:val="0"/>
        <w:kinsoku/>
        <w:wordWrap/>
        <w:overflowPunct/>
        <w:topLinePunct w:val="0"/>
        <w:bidi w:val="0"/>
        <w:spacing w:line="360" w:lineRule="auto"/>
        <w:rPr>
          <w:rFonts w:ascii="宋体" w:hAnsi="宋体" w:cs="Arial"/>
          <w:color w:val="auto"/>
          <w:kern w:val="0"/>
          <w:sz w:val="24"/>
          <w:szCs w:val="24"/>
        </w:rPr>
      </w:pPr>
    </w:p>
    <w:p w14:paraId="39C61A5B">
      <w:pPr>
        <w:keepLines w:val="0"/>
        <w:pageBreakBefore w:val="0"/>
        <w:kinsoku/>
        <w:wordWrap/>
        <w:overflowPunct/>
        <w:topLinePunct w:val="0"/>
        <w:bidi w:val="0"/>
        <w:spacing w:line="360" w:lineRule="auto"/>
        <w:rPr>
          <w:rFonts w:ascii="宋体" w:hAnsi="宋体" w:cs="Arial"/>
          <w:color w:val="auto"/>
          <w:kern w:val="0"/>
          <w:sz w:val="24"/>
          <w:szCs w:val="24"/>
        </w:rPr>
      </w:pPr>
    </w:p>
    <w:p w14:paraId="04AB1804">
      <w:pPr>
        <w:keepLines w:val="0"/>
        <w:pageBreakBefore w:val="0"/>
        <w:kinsoku/>
        <w:wordWrap/>
        <w:overflowPunct/>
        <w:topLinePunct w:val="0"/>
        <w:bidi w:val="0"/>
        <w:spacing w:line="360" w:lineRule="auto"/>
        <w:rPr>
          <w:rFonts w:ascii="宋体" w:hAnsi="宋体" w:cs="Arial"/>
          <w:color w:val="auto"/>
          <w:kern w:val="0"/>
          <w:sz w:val="24"/>
          <w:szCs w:val="24"/>
        </w:rPr>
      </w:pPr>
    </w:p>
    <w:p w14:paraId="41BA38B9">
      <w:pPr>
        <w:keepLines w:val="0"/>
        <w:pageBreakBefore w:val="0"/>
        <w:kinsoku/>
        <w:wordWrap/>
        <w:overflowPunct/>
        <w:topLinePunct w:val="0"/>
        <w:bidi w:val="0"/>
        <w:spacing w:line="360" w:lineRule="auto"/>
        <w:rPr>
          <w:rFonts w:ascii="宋体" w:hAnsi="宋体" w:cs="Arial"/>
          <w:color w:val="auto"/>
          <w:kern w:val="0"/>
          <w:sz w:val="24"/>
          <w:szCs w:val="24"/>
        </w:rPr>
      </w:pPr>
    </w:p>
    <w:p w14:paraId="5C945BB1">
      <w:pPr>
        <w:keepLines w:val="0"/>
        <w:pageBreakBefore w:val="0"/>
        <w:kinsoku/>
        <w:wordWrap/>
        <w:overflowPunct/>
        <w:topLinePunct w:val="0"/>
        <w:bidi w:val="0"/>
        <w:spacing w:line="360" w:lineRule="auto"/>
        <w:rPr>
          <w:rFonts w:ascii="宋体" w:hAnsi="宋体" w:cs="Arial"/>
          <w:color w:val="auto"/>
          <w:kern w:val="0"/>
          <w:sz w:val="24"/>
          <w:szCs w:val="24"/>
        </w:rPr>
      </w:pPr>
    </w:p>
    <w:p w14:paraId="4563C3D6">
      <w:pPr>
        <w:keepLines w:val="0"/>
        <w:pageBreakBefore w:val="0"/>
        <w:kinsoku/>
        <w:wordWrap/>
        <w:overflowPunct/>
        <w:topLinePunct w:val="0"/>
        <w:bidi w:val="0"/>
        <w:spacing w:line="360" w:lineRule="auto"/>
        <w:rPr>
          <w:rFonts w:ascii="宋体" w:hAnsi="宋体" w:cs="Arial"/>
          <w:color w:val="auto"/>
          <w:kern w:val="0"/>
          <w:sz w:val="24"/>
          <w:szCs w:val="24"/>
        </w:rPr>
      </w:pPr>
    </w:p>
    <w:p w14:paraId="11E2DDDC">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法定代表人或其授权委托人（签字）：</w:t>
      </w:r>
    </w:p>
    <w:p w14:paraId="5025DE88">
      <w:pPr>
        <w:keepLines w:val="0"/>
        <w:pageBreakBefore w:val="0"/>
        <w:kinsoku/>
        <w:wordWrap/>
        <w:overflowPunct/>
        <w:topLinePunct w:val="0"/>
        <w:bidi w:val="0"/>
        <w:spacing w:line="360" w:lineRule="auto"/>
        <w:rPr>
          <w:rFonts w:ascii="宋体" w:hAnsi="宋体" w:cs="Arial"/>
          <w:color w:val="auto"/>
          <w:kern w:val="0"/>
          <w:sz w:val="24"/>
          <w:szCs w:val="24"/>
        </w:rPr>
      </w:pPr>
    </w:p>
    <w:p w14:paraId="55C74ACA">
      <w:pPr>
        <w:keepLines w:val="0"/>
        <w:pageBreakBefore w:val="0"/>
        <w:kinsoku/>
        <w:wordWrap/>
        <w:overflowPunct/>
        <w:topLinePunct w:val="0"/>
        <w:bidi w:val="0"/>
        <w:spacing w:line="360" w:lineRule="auto"/>
        <w:rPr>
          <w:rFonts w:ascii="宋体" w:hAnsi="宋体" w:cs="Arial"/>
          <w:color w:val="auto"/>
          <w:kern w:val="0"/>
          <w:sz w:val="24"/>
          <w:szCs w:val="24"/>
        </w:rPr>
      </w:pPr>
      <w:r>
        <w:rPr>
          <w:rFonts w:hint="eastAsia" w:ascii="宋体" w:hAnsi="宋体" w:cs="Arial"/>
          <w:color w:val="auto"/>
          <w:kern w:val="0"/>
          <w:sz w:val="24"/>
          <w:szCs w:val="24"/>
        </w:rPr>
        <w:t>日期：    年    月    日</w:t>
      </w:r>
    </w:p>
    <w:p w14:paraId="5EF1C1FE">
      <w:pPr>
        <w:keepLines w:val="0"/>
        <w:pageBreakBefore w:val="0"/>
        <w:widowControl/>
        <w:kinsoku/>
        <w:wordWrap/>
        <w:overflowPunct/>
        <w:topLinePunct w:val="0"/>
        <w:bidi w:val="0"/>
        <w:spacing w:line="360" w:lineRule="auto"/>
        <w:jc w:val="left"/>
        <w:rPr>
          <w:rFonts w:ascii="宋体" w:hAnsi="宋体" w:cs="Arial"/>
          <w:color w:val="auto"/>
          <w:kern w:val="0"/>
          <w:sz w:val="24"/>
          <w:szCs w:val="24"/>
        </w:rPr>
      </w:pPr>
      <w:r>
        <w:rPr>
          <w:rFonts w:ascii="宋体" w:hAnsi="宋体" w:cs="Arial"/>
          <w:color w:val="auto"/>
          <w:kern w:val="0"/>
          <w:sz w:val="24"/>
          <w:szCs w:val="24"/>
        </w:rPr>
        <w:br w:type="page"/>
      </w:r>
    </w:p>
    <w:p w14:paraId="49C9A04A">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74" w:name="_Toc3621"/>
      <w:r>
        <w:rPr>
          <w:rFonts w:hint="eastAsia" w:ascii="宋体" w:hAnsi="宋体" w:eastAsia="宋体" w:cs="宋体"/>
          <w:b/>
          <w:color w:val="auto"/>
          <w:sz w:val="24"/>
          <w:szCs w:val="24"/>
        </w:rPr>
        <w:t>第三章 合同</w:t>
      </w:r>
      <w:bookmarkEnd w:id="73"/>
      <w:r>
        <w:rPr>
          <w:rFonts w:hint="eastAsia" w:ascii="宋体" w:hAnsi="宋体" w:eastAsia="宋体" w:cs="宋体"/>
          <w:b/>
          <w:color w:val="auto"/>
          <w:sz w:val="24"/>
          <w:szCs w:val="24"/>
        </w:rPr>
        <w:t>条款及格式</w:t>
      </w:r>
      <w:bookmarkEnd w:id="74"/>
    </w:p>
    <w:p w14:paraId="03C2EB74">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75" w:name="_Toc2585"/>
      <w:bookmarkStart w:id="76" w:name="_Toc135922792"/>
      <w:bookmarkStart w:id="77" w:name="_Toc31960"/>
      <w:bookmarkStart w:id="78" w:name="_Toc10262"/>
      <w:r>
        <w:rPr>
          <w:rFonts w:hint="eastAsia" w:ascii="宋体" w:hAnsi="宋体" w:eastAsia="宋体" w:cs="宋体"/>
          <w:b/>
          <w:color w:val="auto"/>
          <w:sz w:val="24"/>
          <w:szCs w:val="24"/>
        </w:rPr>
        <w:t>（仅供参考，以采购人实际签订为准）</w:t>
      </w:r>
      <w:bookmarkEnd w:id="75"/>
      <w:bookmarkEnd w:id="76"/>
      <w:bookmarkEnd w:id="77"/>
      <w:bookmarkEnd w:id="78"/>
    </w:p>
    <w:p w14:paraId="04C71BCD">
      <w:pPr>
        <w:keepLines w:val="0"/>
        <w:pageBreakBefore w:val="0"/>
        <w:kinsoku/>
        <w:wordWrap/>
        <w:overflowPunct/>
        <w:topLinePunct w:val="0"/>
        <w:bidi w:val="0"/>
        <w:spacing w:line="360" w:lineRule="auto"/>
        <w:jc w:val="left"/>
        <w:outlineLvl w:val="0"/>
        <w:rPr>
          <w:rFonts w:cs="宋体" w:asciiTheme="minorEastAsia" w:hAnsiTheme="minorEastAsia"/>
          <w:b/>
          <w:color w:val="auto"/>
          <w:sz w:val="24"/>
          <w:szCs w:val="24"/>
          <w:u w:val="single"/>
        </w:rPr>
      </w:pPr>
      <w:bookmarkStart w:id="79" w:name="_Toc2696"/>
      <w:r>
        <w:rPr>
          <w:rFonts w:hint="eastAsia" w:cs="宋体" w:asciiTheme="minorEastAsia" w:hAnsiTheme="minorEastAsia"/>
          <w:b/>
          <w:color w:val="auto"/>
          <w:sz w:val="24"/>
          <w:szCs w:val="24"/>
        </w:rPr>
        <w:t>甲方：</w:t>
      </w:r>
      <w:bookmarkEnd w:id="79"/>
      <w:r>
        <w:rPr>
          <w:rFonts w:hint="eastAsia" w:cs="宋体" w:asciiTheme="minorEastAsia" w:hAnsiTheme="minorEastAsia"/>
          <w:b/>
          <w:color w:val="auto"/>
          <w:sz w:val="24"/>
          <w:szCs w:val="24"/>
          <w:u w:val="single"/>
        </w:rPr>
        <w:t xml:space="preserve">                               </w:t>
      </w:r>
    </w:p>
    <w:p w14:paraId="65823CD2">
      <w:pPr>
        <w:keepLines w:val="0"/>
        <w:pageBreakBefore w:val="0"/>
        <w:kinsoku/>
        <w:wordWrap/>
        <w:overflowPunct/>
        <w:topLinePunct w:val="0"/>
        <w:bidi w:val="0"/>
        <w:spacing w:line="360" w:lineRule="auto"/>
        <w:jc w:val="left"/>
        <w:outlineLvl w:val="0"/>
        <w:rPr>
          <w:rFonts w:cs="宋体" w:asciiTheme="minorEastAsia" w:hAnsiTheme="minorEastAsia"/>
          <w:b/>
          <w:color w:val="auto"/>
          <w:sz w:val="24"/>
          <w:szCs w:val="24"/>
        </w:rPr>
      </w:pPr>
      <w:bookmarkStart w:id="80" w:name="_Toc30983"/>
      <w:r>
        <w:rPr>
          <w:rFonts w:hint="eastAsia" w:cs="宋体" w:asciiTheme="minorEastAsia" w:hAnsiTheme="minorEastAsia"/>
          <w:b/>
          <w:color w:val="auto"/>
          <w:sz w:val="24"/>
          <w:szCs w:val="24"/>
        </w:rPr>
        <w:t>乙方：</w:t>
      </w:r>
      <w:bookmarkEnd w:id="80"/>
      <w:r>
        <w:rPr>
          <w:rFonts w:hint="eastAsia" w:cs="宋体" w:asciiTheme="minorEastAsia" w:hAnsiTheme="minorEastAsia"/>
          <w:b/>
          <w:color w:val="auto"/>
          <w:sz w:val="24"/>
          <w:szCs w:val="24"/>
          <w:u w:val="single"/>
        </w:rPr>
        <w:t xml:space="preserve">                               </w:t>
      </w:r>
    </w:p>
    <w:p w14:paraId="50642AB7">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为明确双方的权利、义务，经协商一致，依照《中华人民共和国政府采购法》、《中华人民共和国民法典》，并遵循诚实、诚信、公平和自愿原则订立本合同。 </w:t>
      </w:r>
    </w:p>
    <w:p w14:paraId="2DC793E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 xml:space="preserve">1. 规划项目地点: </w:t>
      </w:r>
    </w:p>
    <w:p w14:paraId="5C830F6A">
      <w:pPr>
        <w:keepLines w:val="0"/>
        <w:pageBreakBefore w:val="0"/>
        <w:widowControl/>
        <w:kinsoku/>
        <w:wordWrap/>
        <w:overflowPunct/>
        <w:topLinePunct w:val="0"/>
        <w:bidi w:val="0"/>
        <w:spacing w:line="360" w:lineRule="auto"/>
        <w:ind w:firstLine="361" w:firstLineChars="150"/>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规划项目范围与规模：</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 xml:space="preserve"> </w:t>
      </w:r>
    </w:p>
    <w:p w14:paraId="2AF33C5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2. 成果深度与内容：</w:t>
      </w:r>
      <w:r>
        <w:rPr>
          <w:rFonts w:hint="eastAsia" w:cs="宋体" w:asciiTheme="minorEastAsia" w:hAnsiTheme="minorEastAsia"/>
          <w:color w:val="auto"/>
          <w:kern w:val="0"/>
          <w:sz w:val="24"/>
          <w:szCs w:val="24"/>
          <w:u w:val="single"/>
        </w:rPr>
        <w:t>内容根据《中华人民共和国城乡规划法》、《城市规划编制办法》以及国家有关编制的文件规定执行。符合有关法规、政策以及国家、省市相关的城市规划编制技术规范和标准。</w:t>
      </w:r>
      <w:r>
        <w:rPr>
          <w:rFonts w:hint="eastAsia" w:cs="宋体" w:asciiTheme="minorEastAsia" w:hAnsiTheme="minorEastAsia"/>
          <w:color w:val="auto"/>
          <w:kern w:val="0"/>
          <w:sz w:val="24"/>
          <w:szCs w:val="24"/>
        </w:rPr>
        <w:t xml:space="preserve"> </w:t>
      </w:r>
    </w:p>
    <w:p w14:paraId="2EB5FDD7">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u w:val="single"/>
        </w:rPr>
      </w:pPr>
      <w:r>
        <w:rPr>
          <w:rFonts w:hint="eastAsia" w:cs="宋体" w:asciiTheme="minorEastAsia" w:hAnsiTheme="minorEastAsia"/>
          <w:color w:val="auto"/>
          <w:kern w:val="0"/>
          <w:sz w:val="24"/>
          <w:szCs w:val="24"/>
        </w:rPr>
        <w:t>成果及深度主要包含以下内容：</w:t>
      </w:r>
      <w:r>
        <w:rPr>
          <w:rFonts w:hint="eastAsia" w:cs="宋体" w:asciiTheme="minorEastAsia" w:hAnsiTheme="minorEastAsia"/>
          <w:color w:val="auto"/>
          <w:kern w:val="0"/>
          <w:sz w:val="24"/>
          <w:szCs w:val="24"/>
          <w:u w:val="single"/>
        </w:rPr>
        <w:t xml:space="preserve"> </w:t>
      </w:r>
      <w:r>
        <w:rPr>
          <w:rFonts w:asciiTheme="minorEastAsia" w:hAnsiTheme="minorEastAsia"/>
          <w:color w:val="auto"/>
          <w:sz w:val="24"/>
          <w:szCs w:val="24"/>
          <w:u w:val="single"/>
        </w:rPr>
        <w:t>完成水磨沟区“十五五”规划纲要编制及“十四五”规划总结评估工作</w:t>
      </w:r>
      <w:r>
        <w:rPr>
          <w:rFonts w:hint="eastAsia" w:asciiTheme="minorEastAsia" w:hAnsiTheme="minorEastAsia"/>
          <w:color w:val="auto"/>
          <w:sz w:val="24"/>
          <w:szCs w:val="24"/>
          <w:u w:val="single"/>
        </w:rPr>
        <w:t>。</w:t>
      </w:r>
    </w:p>
    <w:p w14:paraId="16D7E36B">
      <w:pPr>
        <w:keepLines w:val="0"/>
        <w:pageBreakBefore w:val="0"/>
        <w:kinsoku/>
        <w:wordWrap/>
        <w:overflowPunct/>
        <w:topLinePunct w:val="0"/>
        <w:bidi w:val="0"/>
        <w:spacing w:line="360" w:lineRule="auto"/>
        <w:rPr>
          <w:rFonts w:asciiTheme="minorEastAsia" w:hAnsiTheme="minorEastAsia"/>
          <w:color w:val="auto"/>
          <w:sz w:val="24"/>
          <w:szCs w:val="24"/>
        </w:rPr>
      </w:pPr>
      <w:r>
        <w:rPr>
          <w:rFonts w:asciiTheme="minorEastAsia" w:hAnsiTheme="minorEastAsia"/>
          <w:b/>
          <w:bCs/>
          <w:color w:val="auto"/>
          <w:sz w:val="24"/>
          <w:szCs w:val="24"/>
        </w:rPr>
        <w:t>3. 成果形式：</w:t>
      </w:r>
    </w:p>
    <w:p w14:paraId="733C5031">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3.1、方案成果汇报时提供：</w:t>
      </w:r>
      <w:r>
        <w:rPr>
          <w:rFonts w:hint="eastAsia" w:cs="宋体" w:asciiTheme="minorEastAsia" w:hAnsiTheme="minorEastAsia"/>
          <w:color w:val="auto"/>
          <w:kern w:val="0"/>
          <w:sz w:val="24"/>
          <w:szCs w:val="24"/>
          <w:u w:val="single"/>
        </w:rPr>
        <w:t>成果相关电子文件及纸质材料</w:t>
      </w:r>
    </w:p>
    <w:p w14:paraId="6BDD5D36">
      <w:pPr>
        <w:keepLines w:val="0"/>
        <w:pageBreakBefore w:val="0"/>
        <w:widowControl/>
        <w:kinsoku/>
        <w:wordWrap/>
        <w:overflowPunct/>
        <w:topLinePunct w:val="0"/>
        <w:bidi w:val="0"/>
        <w:spacing w:line="360" w:lineRule="auto"/>
        <w:ind w:firstLine="600" w:firstLineChars="25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最终成果：</w:t>
      </w:r>
      <w:r>
        <w:rPr>
          <w:rFonts w:hint="eastAsia" w:cs="宋体" w:asciiTheme="minorEastAsia" w:hAnsiTheme="minorEastAsia"/>
          <w:color w:val="auto"/>
          <w:kern w:val="0"/>
          <w:sz w:val="24"/>
          <w:szCs w:val="24"/>
          <w:u w:val="single"/>
        </w:rPr>
        <w:t>纸质成果数量若干，电子成果制作成电子文件1套。</w:t>
      </w:r>
      <w:r>
        <w:rPr>
          <w:rFonts w:hint="eastAsia" w:cs="宋体" w:asciiTheme="minorEastAsia" w:hAnsiTheme="minorEastAsia"/>
          <w:color w:val="auto"/>
          <w:kern w:val="0"/>
          <w:sz w:val="24"/>
          <w:szCs w:val="24"/>
        </w:rPr>
        <w:t xml:space="preserve"> </w:t>
      </w:r>
    </w:p>
    <w:p w14:paraId="264DD2B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3.2</w:t>
      </w:r>
      <w:r>
        <w:rPr>
          <w:rFonts w:cs="宋体" w:asciiTheme="minorEastAsia" w:hAnsiTheme="minorEastAsia"/>
          <w:bCs/>
          <w:color w:val="auto"/>
          <w:kern w:val="0"/>
          <w:sz w:val="24"/>
          <w:szCs w:val="24"/>
        </w:rPr>
        <w:t>、服务期限要求：</w:t>
      </w:r>
      <w:r>
        <w:rPr>
          <w:rFonts w:hint="eastAsia" w:ascii="Undefined" w:hAnsi="Undefined" w:eastAsia="宋体" w:cs="宋体"/>
          <w:color w:val="auto"/>
          <w:kern w:val="0"/>
          <w:sz w:val="24"/>
          <w:szCs w:val="24"/>
          <w:u w:val="single"/>
        </w:rPr>
        <w:t>自合同签订之日至2025年12月31日前提交所有经修正后的成果资料。</w:t>
      </w:r>
      <w:r>
        <w:rPr>
          <w:rFonts w:hint="eastAsia" w:cs="宋体" w:asciiTheme="minorEastAsia" w:hAnsiTheme="minorEastAsia"/>
          <w:color w:val="auto"/>
          <w:kern w:val="0"/>
          <w:sz w:val="24"/>
          <w:szCs w:val="24"/>
          <w:u w:val="single"/>
        </w:rPr>
        <w:t xml:space="preserve">成果质量要求执行国家或行业标准、规范，确保项目成果质量符合有关文件或技术标准的规定。 </w:t>
      </w:r>
    </w:p>
    <w:p w14:paraId="129A425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Cs/>
          <w:color w:val="auto"/>
          <w:kern w:val="0"/>
          <w:sz w:val="24"/>
          <w:szCs w:val="24"/>
        </w:rPr>
        <w:t>3.3</w:t>
      </w:r>
      <w:r>
        <w:rPr>
          <w:rFonts w:cs="宋体" w:asciiTheme="minorEastAsia" w:hAnsiTheme="minorEastAsia"/>
          <w:bCs/>
          <w:color w:val="auto"/>
          <w:kern w:val="0"/>
          <w:sz w:val="24"/>
          <w:szCs w:val="24"/>
        </w:rPr>
        <w:t>、设计进度安排</w:t>
      </w:r>
    </w:p>
    <w:p w14:paraId="00D30462">
      <w:pPr>
        <w:keepLines w:val="0"/>
        <w:pageBreakBefore w:val="0"/>
        <w:widowControl/>
        <w:kinsoku/>
        <w:wordWrap/>
        <w:overflowPunct/>
        <w:topLinePunct w:val="0"/>
        <w:bidi w:val="0"/>
        <w:spacing w:line="360" w:lineRule="auto"/>
        <w:ind w:firstLine="480" w:firstLineChars="200"/>
        <w:jc w:val="left"/>
        <w:rPr>
          <w:rFonts w:hint="default" w:cs="宋体" w:asciiTheme="minorEastAsia" w:hAnsiTheme="minorEastAsia" w:eastAsiaTheme="minorEastAsia"/>
          <w:color w:val="auto"/>
          <w:kern w:val="0"/>
          <w:sz w:val="24"/>
          <w:szCs w:val="24"/>
          <w:lang w:val="en-US" w:eastAsia="zh-CN"/>
        </w:rPr>
      </w:pPr>
      <w:r>
        <w:rPr>
          <w:rFonts w:hint="eastAsia" w:cs="宋体" w:asciiTheme="minorEastAsia" w:hAnsiTheme="minorEastAsia"/>
          <w:color w:val="auto"/>
          <w:kern w:val="0"/>
          <w:sz w:val="24"/>
          <w:szCs w:val="24"/>
          <w:u w:val="single"/>
          <w:lang w:val="en-US" w:eastAsia="zh-CN"/>
        </w:rPr>
        <w:t xml:space="preserve"> </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1.编制水磨沟区</w:t>
      </w:r>
      <w:r>
        <w:rPr>
          <w:rFonts w:hint="eastAsia" w:asciiTheme="minorEastAsia" w:hAnsiTheme="minorEastAsia" w:eastAsiaTheme="minorEastAsia" w:cstheme="minorEastAsia"/>
          <w:color w:val="auto"/>
          <w:sz w:val="24"/>
          <w:szCs w:val="24"/>
          <w:u w:val="single"/>
          <w:lang w:val="en-US" w:eastAsia="zh-CN"/>
        </w:rPr>
        <w:t>“十五五”规划《纲要》，完成时序：</w:t>
      </w:r>
      <w:r>
        <w:rPr>
          <w:rFonts w:hint="eastAsia" w:asciiTheme="minorEastAsia" w:hAnsiTheme="minorEastAsia" w:cstheme="minorEastAsia"/>
          <w:color w:val="auto"/>
          <w:sz w:val="24"/>
          <w:szCs w:val="24"/>
          <w:u w:val="single"/>
          <w:lang w:val="en-US" w:eastAsia="zh-CN"/>
        </w:rPr>
        <w:t>八</w:t>
      </w:r>
      <w:r>
        <w:rPr>
          <w:rFonts w:hint="eastAsia" w:asciiTheme="minorEastAsia" w:hAnsiTheme="minorEastAsia" w:eastAsiaTheme="minorEastAsia" w:cstheme="minorEastAsia"/>
          <w:color w:val="auto"/>
          <w:sz w:val="24"/>
          <w:szCs w:val="24"/>
          <w:u w:val="single"/>
          <w:lang w:val="en-US" w:eastAsia="zh-CN"/>
        </w:rPr>
        <w:t>月底前形成初稿，</w:t>
      </w:r>
      <w:r>
        <w:rPr>
          <w:rFonts w:hint="eastAsia" w:asciiTheme="minorEastAsia" w:hAnsiTheme="minorEastAsia" w:cstheme="minorEastAsia"/>
          <w:color w:val="auto"/>
          <w:sz w:val="24"/>
          <w:szCs w:val="24"/>
          <w:u w:val="single"/>
          <w:lang w:val="en-US" w:eastAsia="zh-CN"/>
        </w:rPr>
        <w:t>九</w:t>
      </w:r>
      <w:r>
        <w:rPr>
          <w:rFonts w:hint="eastAsia" w:asciiTheme="minorEastAsia" w:hAnsiTheme="minorEastAsia" w:eastAsiaTheme="minorEastAsia" w:cstheme="minorEastAsia"/>
          <w:color w:val="auto"/>
          <w:sz w:val="24"/>
          <w:szCs w:val="24"/>
          <w:u w:val="single"/>
          <w:lang w:val="en-US" w:eastAsia="zh-CN"/>
        </w:rPr>
        <w:t>月</w:t>
      </w:r>
      <w:r>
        <w:rPr>
          <w:rFonts w:hint="eastAsia" w:asciiTheme="minorEastAsia" w:hAnsiTheme="minorEastAsia" w:cstheme="minorEastAsia"/>
          <w:color w:val="auto"/>
          <w:sz w:val="24"/>
          <w:szCs w:val="24"/>
          <w:u w:val="single"/>
          <w:lang w:val="en-US" w:eastAsia="zh-CN"/>
        </w:rPr>
        <w:t>二十日前完成征询意见修改稿，</w:t>
      </w:r>
      <w:r>
        <w:rPr>
          <w:rFonts w:hint="eastAsia" w:asciiTheme="minorEastAsia" w:hAnsiTheme="minorEastAsia" w:eastAsiaTheme="minorEastAsia" w:cstheme="minorEastAsia"/>
          <w:color w:val="auto"/>
          <w:sz w:val="24"/>
          <w:szCs w:val="24"/>
          <w:u w:val="single"/>
          <w:lang w:val="en-US" w:eastAsia="zh-CN"/>
        </w:rPr>
        <w:t>九月底完成送审稿。</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2.编制水磨沟区“十四五”规划纲要总结评估报告。完成时序：</w:t>
      </w:r>
      <w:r>
        <w:rPr>
          <w:rFonts w:hint="eastAsia" w:asciiTheme="minorEastAsia" w:hAnsiTheme="minorEastAsia" w:cstheme="minorEastAsia"/>
          <w:snapToGrid w:val="0"/>
          <w:color w:val="auto"/>
          <w:spacing w:val="0"/>
          <w:kern w:val="0"/>
          <w:sz w:val="24"/>
          <w:szCs w:val="24"/>
          <w:highlight w:val="none"/>
          <w:u w:val="single"/>
          <w:lang w:val="en-US" w:eastAsia="zh-CN"/>
        </w:rPr>
        <w:t>七</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月底前完成初稿，</w:t>
      </w:r>
      <w:r>
        <w:rPr>
          <w:rFonts w:hint="eastAsia" w:asciiTheme="minorEastAsia" w:hAnsiTheme="minorEastAsia" w:cstheme="minorEastAsia"/>
          <w:snapToGrid w:val="0"/>
          <w:color w:val="auto"/>
          <w:spacing w:val="0"/>
          <w:kern w:val="0"/>
          <w:sz w:val="24"/>
          <w:szCs w:val="24"/>
          <w:highlight w:val="none"/>
          <w:u w:val="single"/>
          <w:lang w:val="en-US" w:eastAsia="zh-CN"/>
        </w:rPr>
        <w:t>八月二十日前完成</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月完成</w:t>
      </w:r>
      <w:r>
        <w:rPr>
          <w:rFonts w:hint="eastAsia" w:asciiTheme="minorEastAsia" w:hAnsiTheme="minorEastAsia" w:cstheme="minorEastAsia"/>
          <w:snapToGrid w:val="0"/>
          <w:color w:val="auto"/>
          <w:spacing w:val="0"/>
          <w:kern w:val="0"/>
          <w:sz w:val="24"/>
          <w:szCs w:val="24"/>
          <w:highlight w:val="none"/>
          <w:u w:val="single"/>
          <w:lang w:val="en-US" w:eastAsia="zh-CN"/>
        </w:rPr>
        <w:t>征询意见修改稿</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w:t>
      </w:r>
      <w:r>
        <w:rPr>
          <w:rFonts w:hint="eastAsia" w:asciiTheme="minorEastAsia" w:hAnsiTheme="minorEastAsia" w:cstheme="minorEastAsia"/>
          <w:snapToGrid w:val="0"/>
          <w:color w:val="auto"/>
          <w:spacing w:val="0"/>
          <w:kern w:val="0"/>
          <w:sz w:val="24"/>
          <w:szCs w:val="24"/>
          <w:highlight w:val="none"/>
          <w:u w:val="single"/>
          <w:lang w:val="en-US" w:eastAsia="zh-CN"/>
        </w:rPr>
        <w:t>八月底</w:t>
      </w:r>
      <w:r>
        <w:rPr>
          <w:rFonts w:hint="eastAsia" w:asciiTheme="minorEastAsia" w:hAnsiTheme="minorEastAsia" w:eastAsiaTheme="minorEastAsia" w:cstheme="minorEastAsia"/>
          <w:snapToGrid w:val="0"/>
          <w:color w:val="auto"/>
          <w:spacing w:val="0"/>
          <w:kern w:val="0"/>
          <w:sz w:val="24"/>
          <w:szCs w:val="24"/>
          <w:highlight w:val="none"/>
          <w:u w:val="single"/>
          <w:lang w:val="en-US" w:eastAsia="zh-CN"/>
        </w:rPr>
        <w:t>完成送审稿。</w:t>
      </w:r>
    </w:p>
    <w:p w14:paraId="3A5BC29F">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以上时间安排不包括委托方的方案讨论、审查及乙方等待甲方回复意见的时间。 </w:t>
      </w:r>
    </w:p>
    <w:p w14:paraId="6D462F3E">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从合同签订开始计算时间，如因费用支付、资料提供、等待会议及书面意见等原因引起时间变化，则整个进度顺延。如乙方因遇到不可抗力造成工作延迟，则其后的设计进度由双方协商确定安排。</w:t>
      </w:r>
    </w:p>
    <w:p w14:paraId="388F4EE4">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 xml:space="preserve">4.成果验收 </w:t>
      </w:r>
    </w:p>
    <w:p w14:paraId="6CD253EC">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委托方负责按照前述时间节点的规定联系组织召开审查会，审查阶段即为成果验收阶段。</w:t>
      </w:r>
    </w:p>
    <w:p w14:paraId="5BEA6F6E">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设计方根据第三阶段技术审查会意见进行调整，修改完善后提交最终成果，即视为履行完本合同中设计方的全部义务。</w:t>
      </w:r>
    </w:p>
    <w:p w14:paraId="4BC1C1F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5</w:t>
      </w:r>
      <w:r>
        <w:rPr>
          <w:rFonts w:cs="宋体" w:asciiTheme="minorEastAsia" w:hAnsiTheme="minorEastAsia"/>
          <w:b/>
          <w:bCs/>
          <w:color w:val="auto"/>
          <w:kern w:val="0"/>
          <w:sz w:val="24"/>
          <w:szCs w:val="24"/>
        </w:rPr>
        <w:t xml:space="preserve">、设计经费与支付进程 </w:t>
      </w:r>
    </w:p>
    <w:p w14:paraId="633B66B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5</w:t>
      </w:r>
      <w:r>
        <w:rPr>
          <w:rFonts w:hint="eastAsia" w:cs="宋体" w:asciiTheme="minorEastAsia" w:hAnsiTheme="minorEastAsia"/>
          <w:b/>
          <w:bCs/>
          <w:color w:val="auto"/>
          <w:kern w:val="0"/>
          <w:sz w:val="24"/>
          <w:szCs w:val="24"/>
        </w:rPr>
        <w:t>.1</w:t>
      </w:r>
      <w:r>
        <w:rPr>
          <w:rFonts w:cs="宋体" w:asciiTheme="minorEastAsia" w:hAnsiTheme="minorEastAsia"/>
          <w:b/>
          <w:bCs/>
          <w:color w:val="auto"/>
          <w:kern w:val="0"/>
          <w:sz w:val="24"/>
          <w:szCs w:val="24"/>
        </w:rPr>
        <w:t xml:space="preserve">.设计经费 </w:t>
      </w:r>
    </w:p>
    <w:p w14:paraId="78DF6A17">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设计费总额人民币（大写）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万元整。</w:t>
      </w:r>
    </w:p>
    <w:p w14:paraId="2DF5F3B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5.2</w:t>
      </w:r>
      <w:r>
        <w:rPr>
          <w:rFonts w:cs="宋体" w:asciiTheme="minorEastAsia" w:hAnsiTheme="minorEastAsia"/>
          <w:b/>
          <w:bCs/>
          <w:color w:val="auto"/>
          <w:kern w:val="0"/>
          <w:sz w:val="24"/>
          <w:szCs w:val="24"/>
        </w:rPr>
        <w:t xml:space="preserve">.支付进程： </w:t>
      </w:r>
    </w:p>
    <w:p w14:paraId="4F94450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第一次支付设计费总额</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u w:val="single"/>
          <w:lang w:val="en-US" w:eastAsia="zh-CN"/>
        </w:rPr>
        <w:t xml:space="preserve">30 </w:t>
      </w:r>
      <w:r>
        <w:rPr>
          <w:rFonts w:hint="eastAsia" w:cs="宋体" w:asciiTheme="minorEastAsia" w:hAnsiTheme="minorEastAsia"/>
          <w:color w:val="auto"/>
          <w:kern w:val="0"/>
          <w:sz w:val="24"/>
          <w:szCs w:val="24"/>
        </w:rPr>
        <w:t>％。乙方完成第一阶段工作后 5 个工作日内，甲方支付给乙方人民币（大写）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w:t>
      </w:r>
    </w:p>
    <w:p w14:paraId="0629975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第二次支付设计费总额</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u w:val="single"/>
          <w:lang w:val="en-US" w:eastAsia="zh-CN"/>
        </w:rPr>
        <w:t xml:space="preserve">40 </w:t>
      </w:r>
      <w:r>
        <w:rPr>
          <w:rFonts w:hint="eastAsia" w:cs="宋体" w:asciiTheme="minorEastAsia" w:hAnsiTheme="minorEastAsia"/>
          <w:color w:val="auto"/>
          <w:kern w:val="0"/>
          <w:sz w:val="24"/>
          <w:szCs w:val="24"/>
        </w:rPr>
        <w:t>％。乙方完成第二阶段工作后 5 个工作日内，甲方支付给乙方人民币（大写）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w:t>
      </w:r>
    </w:p>
    <w:p w14:paraId="04A0482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第三次支付设计费总额</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u w:val="single"/>
          <w:lang w:val="en-US" w:eastAsia="zh-CN"/>
        </w:rPr>
        <w:t xml:space="preserve">30 </w:t>
      </w:r>
      <w:r>
        <w:rPr>
          <w:rFonts w:hint="eastAsia" w:cs="宋体" w:asciiTheme="minorEastAsia" w:hAnsiTheme="minorEastAsia"/>
          <w:color w:val="auto"/>
          <w:kern w:val="0"/>
          <w:sz w:val="24"/>
          <w:szCs w:val="24"/>
        </w:rPr>
        <w:t>％。乙方完成第三阶段工作后 5 个工作日内，甲方支付给乙方人民币（大写）</w:t>
      </w:r>
      <w:r>
        <w:rPr>
          <w:rFonts w:hint="eastAsia" w:cs="宋体" w:asciiTheme="minorEastAsia" w:hAnsiTheme="minorEastAsia"/>
          <w:color w:val="auto"/>
          <w:kern w:val="0"/>
          <w:sz w:val="24"/>
          <w:szCs w:val="24"/>
          <w:u w:val="single"/>
        </w:rPr>
        <w:t xml:space="preserve">         </w:t>
      </w:r>
      <w:r>
        <w:rPr>
          <w:rFonts w:hint="eastAsia" w:cs="宋体" w:asciiTheme="minorEastAsia" w:hAnsiTheme="minorEastAsia"/>
          <w:color w:val="auto"/>
          <w:kern w:val="0"/>
          <w:sz w:val="24"/>
          <w:szCs w:val="24"/>
        </w:rPr>
        <w:t>万元。</w:t>
      </w:r>
    </w:p>
    <w:p w14:paraId="7575816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6</w:t>
      </w:r>
      <w:r>
        <w:rPr>
          <w:rFonts w:cs="宋体" w:asciiTheme="minorEastAsia" w:hAnsiTheme="minorEastAsia"/>
          <w:b/>
          <w:bCs/>
          <w:color w:val="auto"/>
          <w:kern w:val="0"/>
          <w:sz w:val="24"/>
          <w:szCs w:val="24"/>
        </w:rPr>
        <w:t>、双方责任与协作事项</w:t>
      </w:r>
    </w:p>
    <w:p w14:paraId="37F2D883">
      <w:pPr>
        <w:keepLines w:val="0"/>
        <w:pageBreakBefore w:val="0"/>
        <w:kinsoku/>
        <w:wordWrap/>
        <w:overflowPunct/>
        <w:topLinePunct w:val="0"/>
        <w:bidi w:val="0"/>
        <w:spacing w:line="360" w:lineRule="auto"/>
        <w:rPr>
          <w:rFonts w:cs="宋体" w:asciiTheme="minorEastAsia" w:hAnsiTheme="minorEastAsia"/>
          <w:b/>
          <w:bCs/>
          <w:color w:val="auto"/>
          <w:kern w:val="0"/>
          <w:sz w:val="24"/>
          <w:szCs w:val="24"/>
        </w:rPr>
      </w:pPr>
      <w:r>
        <w:rPr>
          <w:rFonts w:hint="eastAsia" w:cs="宋体" w:asciiTheme="minorEastAsia" w:hAnsiTheme="minorEastAsia"/>
          <w:b/>
          <w:bCs/>
          <w:color w:val="auto"/>
          <w:kern w:val="0"/>
          <w:sz w:val="24"/>
          <w:szCs w:val="24"/>
        </w:rPr>
        <w:t>6.1</w:t>
      </w:r>
      <w:r>
        <w:rPr>
          <w:rFonts w:cs="宋体" w:asciiTheme="minorEastAsia" w:hAnsiTheme="minorEastAsia"/>
          <w:b/>
          <w:bCs/>
          <w:color w:val="auto"/>
          <w:kern w:val="0"/>
          <w:sz w:val="24"/>
          <w:szCs w:val="24"/>
        </w:rPr>
        <w:t>.甲方责任</w:t>
      </w:r>
    </w:p>
    <w:p w14:paraId="7A68F021">
      <w:pPr>
        <w:keepLines w:val="0"/>
        <w:pageBreakBefore w:val="0"/>
        <w:kinsoku/>
        <w:wordWrap/>
        <w:overflowPunct/>
        <w:topLinePunct w:val="0"/>
        <w:bidi w:val="0"/>
        <w:spacing w:line="360" w:lineRule="auto"/>
        <w:ind w:firstLine="480" w:firstLineChars="200"/>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1）甲方必须在合同签订后</w:t>
      </w:r>
      <w:r>
        <w:rPr>
          <w:rFonts w:hint="eastAsia" w:cs="宋体" w:asciiTheme="minorEastAsia" w:hAnsiTheme="minorEastAsia"/>
          <w:color w:val="auto"/>
          <w:kern w:val="0"/>
          <w:sz w:val="24"/>
          <w:szCs w:val="24"/>
          <w:u w:val="single"/>
        </w:rPr>
        <w:t>7</w:t>
      </w:r>
      <w:r>
        <w:rPr>
          <w:rFonts w:hint="eastAsia" w:cs="宋体" w:asciiTheme="minorEastAsia" w:hAnsiTheme="minorEastAsia"/>
          <w:color w:val="auto"/>
          <w:kern w:val="0"/>
          <w:sz w:val="24"/>
          <w:szCs w:val="24"/>
        </w:rPr>
        <w:t>个工作日内提供基础资料及设计要求，若提交时间超过约定期限，乙方可相应分别延迟提交各阶段规划设计成果。甲方需对提供的基础资料负责，并做好现场服务工作。</w:t>
      </w:r>
    </w:p>
    <w:p w14:paraId="26D11A53">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甲方应协助乙方征询有关方面的意见，并在规划设计过程中做好有关部门的协调工作。负责组织规划方案审查、报批。在每阶段汇报讨论后应按合同要求及时出具书面意见，乙方根据书面意见进行下一阶段工作。</w:t>
      </w:r>
    </w:p>
    <w:p w14:paraId="3EEBB134">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3）甲方应根据合同规定如期支付规划设计费。</w:t>
      </w:r>
    </w:p>
    <w:p w14:paraId="72F9E391">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4）甲方变更设计范围、内容和深度（变更量超过</w:t>
      </w:r>
      <w:r>
        <w:rPr>
          <w:rFonts w:hint="eastAsia" w:cs="宋体" w:asciiTheme="minorEastAsia" w:hAnsiTheme="minorEastAsia"/>
          <w:color w:val="auto"/>
          <w:kern w:val="0"/>
          <w:sz w:val="24"/>
          <w:szCs w:val="24"/>
          <w:u w:val="single"/>
        </w:rPr>
        <w:t xml:space="preserve"> 15 </w:t>
      </w:r>
      <w:r>
        <w:rPr>
          <w:rFonts w:hint="eastAsia" w:cs="宋体" w:asciiTheme="minorEastAsia" w:hAnsiTheme="minorEastAsia"/>
          <w:color w:val="auto"/>
          <w:kern w:val="0"/>
          <w:sz w:val="24"/>
          <w:szCs w:val="24"/>
        </w:rPr>
        <w:t>％）或因提交的资料错误或提交的资料作较大修改以致造成乙方要返工时，双方需另行协商签订补充协议，调整原合同中有关条款，增付返工及新增规划设计内容的费用。如协商不成，甲方应按乙方已完成的设计内容支付相应的设计费用。</w:t>
      </w:r>
    </w:p>
    <w:p w14:paraId="779C1D0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6.2</w:t>
      </w:r>
      <w:r>
        <w:rPr>
          <w:rFonts w:cs="宋体" w:asciiTheme="minorEastAsia" w:hAnsiTheme="minorEastAsia"/>
          <w:b/>
          <w:bCs/>
          <w:color w:val="auto"/>
          <w:kern w:val="0"/>
          <w:sz w:val="24"/>
          <w:szCs w:val="24"/>
        </w:rPr>
        <w:t xml:space="preserve">.乙方责任 </w:t>
      </w:r>
    </w:p>
    <w:p w14:paraId="3B133A70">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1）乙方应按国家和地方有关法律、技术规范标准，以及合同约定的工作内容进行规划设计。</w:t>
      </w:r>
    </w:p>
    <w:p w14:paraId="6BB5B5DF">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2）乙方应按合同规定向有关部门汇报，负责提供所需的汇报资料。应按合同规定的进度、提交质量合格的规划设计成果，并对其负责。</w:t>
      </w:r>
    </w:p>
    <w:p w14:paraId="350F2E63">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3）乙方对委托方所提供的涉密资料承担保密义务。乙方按本合同规定编制的规划设计方案及各种成果资料，未经甲方同意不得向其他单位或个人提供和转让。（法律另有规定的除外）</w:t>
      </w:r>
    </w:p>
    <w:p w14:paraId="227367E7">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4）乙方对规划设计成果中的遗漏、差错应负责进行修改或补充，同时要根据甲方提出的修改意见和审查意见拟定的修改意见书进行修改（修改仅仅针对本合同规定的规划设计内容范围内的内容）。如超出本合同规定的规划设计内容，甲乙双方需另行协商签订补充协议，就超出范围的修改内容的完成时间、新增费用等作出规定。</w:t>
      </w:r>
    </w:p>
    <w:p w14:paraId="4065DDE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7</w:t>
      </w:r>
      <w:r>
        <w:rPr>
          <w:rFonts w:cs="宋体" w:asciiTheme="minorEastAsia" w:hAnsiTheme="minorEastAsia"/>
          <w:b/>
          <w:bCs/>
          <w:color w:val="auto"/>
          <w:kern w:val="0"/>
          <w:sz w:val="24"/>
          <w:szCs w:val="24"/>
        </w:rPr>
        <w:t>、违约及争议解决方式</w:t>
      </w:r>
    </w:p>
    <w:p w14:paraId="1EFE268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7.1</w:t>
      </w:r>
      <w:r>
        <w:rPr>
          <w:rFonts w:cs="宋体" w:asciiTheme="minorEastAsia" w:hAnsiTheme="minorEastAsia"/>
          <w:b/>
          <w:bCs/>
          <w:color w:val="auto"/>
          <w:kern w:val="0"/>
          <w:sz w:val="24"/>
          <w:szCs w:val="24"/>
        </w:rPr>
        <w:t>.违约责任</w:t>
      </w:r>
    </w:p>
    <w:p w14:paraId="1719EE4E">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1）在合同生效7个工作日以后，甲方或乙方要求终止或解除合同，双方应协商处理，并就终止或解除合同达成一致。 </w:t>
      </w:r>
    </w:p>
    <w:p w14:paraId="58D7DC35">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2）甲方应按本合同规定的时间和金额向乙方支付设计费。因甲方原因，造成项目延期或中止、终止 , 甲方应出具书面说明,责任由甲方承担（乙方违约在先除外），并与乙方协商处理办法。 </w:t>
      </w:r>
    </w:p>
    <w:p w14:paraId="6C27CE18">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3）乙方应按本合同约定的时间提交合格的设计图纸、文件。因乙方原因,造成项目延期或中止、终止 ,乙方应出具书面说明,责任由乙方承担（甲方违约在先除外），并与甲方协商处理办法。 </w:t>
      </w:r>
    </w:p>
    <w:p w14:paraId="4E1A5DB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8</w:t>
      </w:r>
      <w:r>
        <w:rPr>
          <w:rFonts w:cs="宋体" w:asciiTheme="minorEastAsia" w:hAnsiTheme="minorEastAsia"/>
          <w:b/>
          <w:bCs/>
          <w:color w:val="auto"/>
          <w:kern w:val="0"/>
          <w:sz w:val="24"/>
          <w:szCs w:val="24"/>
        </w:rPr>
        <w:t xml:space="preserve">.争议解决方式 </w:t>
      </w:r>
    </w:p>
    <w:p w14:paraId="64890339">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本合同产生的争议，由双方协商解决；协商不成的，双方同意将争议提交甲方住所地法院审理。 </w:t>
      </w:r>
    </w:p>
    <w:p w14:paraId="774D9D3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b/>
          <w:bCs/>
          <w:color w:val="auto"/>
          <w:kern w:val="0"/>
          <w:sz w:val="24"/>
          <w:szCs w:val="24"/>
        </w:rPr>
        <w:t>9</w:t>
      </w:r>
      <w:r>
        <w:rPr>
          <w:rFonts w:cs="宋体" w:asciiTheme="minorEastAsia" w:hAnsiTheme="minorEastAsia"/>
          <w:b/>
          <w:bCs/>
          <w:color w:val="auto"/>
          <w:kern w:val="0"/>
          <w:sz w:val="24"/>
          <w:szCs w:val="24"/>
        </w:rPr>
        <w:t xml:space="preserve">.其他 </w:t>
      </w:r>
    </w:p>
    <w:p w14:paraId="77942176">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9.1本合同由甲、乙方签字、盖章后生效。 </w:t>
      </w:r>
    </w:p>
    <w:p w14:paraId="08D4A2C8">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9.2在合同约定期内因各种原因未能如期履行完毕，双方应友好协商另行约定合同有效期限。 </w:t>
      </w:r>
    </w:p>
    <w:p w14:paraId="6075905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9.3本合同未尽事宜，双方可签订补充合同。对本合同的修改与变更，必须经甲乙双方签署书面协议方可生效。 </w:t>
      </w:r>
    </w:p>
    <w:p w14:paraId="192E8670">
      <w:pPr>
        <w:keepLines w:val="0"/>
        <w:pageBreakBefore w:val="0"/>
        <w:kinsoku/>
        <w:wordWrap/>
        <w:overflowPunct/>
        <w:topLinePunct w:val="0"/>
        <w:bidi w:val="0"/>
        <w:spacing w:line="36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9.4本合同一式八份，甲、乙方各存四份。</w:t>
      </w:r>
    </w:p>
    <w:p w14:paraId="28E838B3">
      <w:pPr>
        <w:keepLines w:val="0"/>
        <w:pageBreakBefore w:val="0"/>
        <w:kinsoku/>
        <w:wordWrap/>
        <w:overflowPunct/>
        <w:topLinePunct w:val="0"/>
        <w:bidi w:val="0"/>
        <w:spacing w:line="360" w:lineRule="auto"/>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以下无正文</w:t>
      </w:r>
    </w:p>
    <w:p w14:paraId="6FD405D6">
      <w:pPr>
        <w:keepLines w:val="0"/>
        <w:pageBreakBefore w:val="0"/>
        <w:kinsoku/>
        <w:wordWrap/>
        <w:overflowPunct/>
        <w:topLinePunct w:val="0"/>
        <w:bidi w:val="0"/>
        <w:spacing w:line="360" w:lineRule="auto"/>
        <w:rPr>
          <w:rFonts w:cs="宋体" w:asciiTheme="minorEastAsia" w:hAnsiTheme="minorEastAsia"/>
          <w:color w:val="auto"/>
          <w:kern w:val="0"/>
          <w:sz w:val="24"/>
          <w:szCs w:val="24"/>
        </w:rPr>
      </w:pPr>
      <w:r>
        <w:rPr>
          <w:rFonts w:cs="宋体" w:asciiTheme="minorEastAsia" w:hAnsiTheme="minorEastAsia"/>
          <w:b/>
          <w:bCs/>
          <w:color w:val="auto"/>
          <w:kern w:val="0"/>
          <w:sz w:val="24"/>
          <w:szCs w:val="24"/>
        </w:rPr>
        <w:t>甲方</w:t>
      </w:r>
      <w:r>
        <w:rPr>
          <w:rFonts w:hint="eastAsia" w:cs="宋体" w:asciiTheme="minorEastAsia" w:hAnsiTheme="minorEastAsia"/>
          <w:color w:val="auto"/>
          <w:kern w:val="0"/>
          <w:sz w:val="24"/>
          <w:szCs w:val="24"/>
        </w:rPr>
        <w:t>：（盖章）</w:t>
      </w:r>
      <w:r>
        <w:rPr>
          <w:rFonts w:cs="宋体" w:asciiTheme="minorEastAsia" w:hAnsiTheme="minorEastAsia"/>
          <w:b/>
          <w:bCs/>
          <w:color w:val="auto"/>
          <w:kern w:val="0"/>
          <w:sz w:val="24"/>
          <w:szCs w:val="24"/>
        </w:rPr>
        <w:t xml:space="preserve"> </w:t>
      </w:r>
    </w:p>
    <w:p w14:paraId="33F0E8A4">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法定代表人：（盖章） </w:t>
      </w:r>
    </w:p>
    <w:p w14:paraId="3C19A5D5">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委托代理人： </w:t>
      </w:r>
    </w:p>
    <w:p w14:paraId="3EFBB671">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联系人： </w:t>
      </w:r>
    </w:p>
    <w:p w14:paraId="5992F3A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单位地址： </w:t>
      </w:r>
    </w:p>
    <w:p w14:paraId="7599348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邮政编码： </w:t>
      </w:r>
    </w:p>
    <w:p w14:paraId="11807B4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电 话： </w:t>
      </w:r>
    </w:p>
    <w:p w14:paraId="0907209A">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传 真： </w:t>
      </w:r>
    </w:p>
    <w:p w14:paraId="717A6F70">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开户银行： </w:t>
      </w:r>
    </w:p>
    <w:p w14:paraId="0111FE1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银行帐号： </w:t>
      </w:r>
    </w:p>
    <w:p w14:paraId="2A4CBF0C">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 xml:space="preserve"> 年 月 日 </w:t>
      </w:r>
    </w:p>
    <w:p w14:paraId="5D4A0647">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cs="宋体" w:asciiTheme="minorEastAsia" w:hAnsiTheme="minorEastAsia"/>
          <w:b/>
          <w:bCs/>
          <w:color w:val="auto"/>
          <w:kern w:val="0"/>
          <w:sz w:val="24"/>
          <w:szCs w:val="24"/>
        </w:rPr>
        <w:t>乙方</w:t>
      </w:r>
      <w:r>
        <w:rPr>
          <w:rFonts w:hint="eastAsia" w:cs="宋体" w:asciiTheme="minorEastAsia" w:hAnsiTheme="minorEastAsia"/>
          <w:color w:val="auto"/>
          <w:kern w:val="0"/>
          <w:sz w:val="24"/>
          <w:szCs w:val="24"/>
        </w:rPr>
        <w:t xml:space="preserve">：（盖章） </w:t>
      </w:r>
    </w:p>
    <w:p w14:paraId="7BDFABB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法定代表人：（盖章） </w:t>
      </w:r>
    </w:p>
    <w:p w14:paraId="4ECC875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委托代理人： </w:t>
      </w:r>
    </w:p>
    <w:p w14:paraId="1771F7F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项目负责人： </w:t>
      </w:r>
    </w:p>
    <w:p w14:paraId="0A4392C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单位地址： </w:t>
      </w:r>
    </w:p>
    <w:p w14:paraId="5D61DAE4">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邮政编码： </w:t>
      </w:r>
    </w:p>
    <w:p w14:paraId="0E17426F">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电 话： </w:t>
      </w:r>
    </w:p>
    <w:p w14:paraId="2D5C5B7E">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传 真： </w:t>
      </w:r>
    </w:p>
    <w:p w14:paraId="4B2EA8F8">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开户银行： </w:t>
      </w:r>
    </w:p>
    <w:p w14:paraId="581514C6">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银行帐号： </w:t>
      </w:r>
    </w:p>
    <w:p w14:paraId="2A49ADD4">
      <w:pPr>
        <w:keepLines w:val="0"/>
        <w:pageBreakBefore w:val="0"/>
        <w:widowControl/>
        <w:kinsoku/>
        <w:wordWrap/>
        <w:overflowPunct/>
        <w:topLinePunct w:val="0"/>
        <w:bidi w:val="0"/>
        <w:spacing w:line="360" w:lineRule="auto"/>
        <w:jc w:val="left"/>
        <w:rPr>
          <w:color w:val="auto"/>
          <w:sz w:val="24"/>
          <w:szCs w:val="24"/>
        </w:rPr>
      </w:pPr>
      <w:r>
        <w:rPr>
          <w:rFonts w:hint="eastAsia" w:cs="宋体" w:asciiTheme="minorEastAsia" w:hAnsiTheme="minorEastAsia"/>
          <w:color w:val="auto"/>
          <w:kern w:val="0"/>
          <w:sz w:val="24"/>
          <w:szCs w:val="24"/>
        </w:rPr>
        <w:t>202</w:t>
      </w:r>
      <w:r>
        <w:rPr>
          <w:rFonts w:hint="eastAsia" w:cs="宋体" w:asciiTheme="minorEastAsia" w:hAnsiTheme="minorEastAsia"/>
          <w:color w:val="auto"/>
          <w:kern w:val="0"/>
          <w:sz w:val="24"/>
          <w:szCs w:val="24"/>
          <w:lang w:val="en-US" w:eastAsia="zh-CN"/>
        </w:rPr>
        <w:t>5</w:t>
      </w:r>
      <w:r>
        <w:rPr>
          <w:rFonts w:hint="eastAsia" w:cs="宋体" w:asciiTheme="minorEastAsia" w:hAnsiTheme="minorEastAsia"/>
          <w:color w:val="auto"/>
          <w:kern w:val="0"/>
          <w:sz w:val="24"/>
          <w:szCs w:val="24"/>
        </w:rPr>
        <w:t xml:space="preserve"> 年 月 日</w:t>
      </w:r>
      <w:r>
        <w:rPr>
          <w:color w:val="auto"/>
          <w:sz w:val="24"/>
          <w:szCs w:val="24"/>
        </w:rPr>
        <w:br w:type="page"/>
      </w:r>
    </w:p>
    <w:p w14:paraId="3E2E40AD">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81" w:name="_Toc14354"/>
      <w:r>
        <w:rPr>
          <w:rFonts w:hint="eastAsia" w:ascii="宋体" w:hAnsi="宋体" w:eastAsia="宋体" w:cs="宋体"/>
          <w:b/>
          <w:color w:val="auto"/>
          <w:sz w:val="24"/>
          <w:szCs w:val="24"/>
        </w:rPr>
        <w:t>第四章 采购标准和要求</w:t>
      </w:r>
      <w:bookmarkEnd w:id="81"/>
      <w:bookmarkStart w:id="82" w:name="_Toc138638510"/>
      <w:bookmarkEnd w:id="82"/>
      <w:bookmarkStart w:id="83" w:name="_Toc138639090"/>
      <w:bookmarkEnd w:id="83"/>
      <w:bookmarkStart w:id="84" w:name="_Toc138638718"/>
      <w:bookmarkEnd w:id="84"/>
      <w:bookmarkStart w:id="85" w:name="_Toc138639145"/>
      <w:bookmarkEnd w:id="85"/>
      <w:bookmarkStart w:id="86" w:name="_合同文件的组成及解释顺序"/>
      <w:bookmarkEnd w:id="86"/>
      <w:bookmarkStart w:id="87" w:name="_Toc138638907"/>
      <w:bookmarkEnd w:id="87"/>
      <w:bookmarkStart w:id="88" w:name="_Toc138639074"/>
      <w:bookmarkEnd w:id="88"/>
      <w:bookmarkStart w:id="89" w:name="_Toc138638538"/>
      <w:bookmarkEnd w:id="89"/>
      <w:bookmarkStart w:id="90" w:name="_Toc138638719"/>
      <w:bookmarkEnd w:id="90"/>
      <w:bookmarkStart w:id="91" w:name="_Toc138638884"/>
      <w:bookmarkEnd w:id="91"/>
      <w:bookmarkStart w:id="92" w:name="_Toc138638883"/>
      <w:bookmarkEnd w:id="92"/>
      <w:bookmarkStart w:id="93" w:name="_Toc138638535"/>
      <w:bookmarkEnd w:id="93"/>
      <w:bookmarkStart w:id="94" w:name="_Toc138639091"/>
      <w:bookmarkEnd w:id="94"/>
      <w:bookmarkStart w:id="95" w:name="_Toc138638509"/>
      <w:bookmarkEnd w:id="95"/>
      <w:bookmarkStart w:id="96" w:name="_Toc138638534"/>
      <w:bookmarkEnd w:id="96"/>
      <w:bookmarkStart w:id="97" w:name="_Toc138638910"/>
      <w:bookmarkEnd w:id="97"/>
      <w:bookmarkStart w:id="98" w:name="_Toc138638773"/>
      <w:bookmarkEnd w:id="98"/>
      <w:bookmarkStart w:id="99" w:name="_Toc138638906"/>
      <w:bookmarkEnd w:id="99"/>
      <w:bookmarkStart w:id="100" w:name="_Toc138638702"/>
      <w:bookmarkEnd w:id="100"/>
    </w:p>
    <w:p w14:paraId="077E21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spacing w:val="0"/>
          <w:kern w:val="0"/>
          <w:sz w:val="24"/>
          <w:szCs w:val="24"/>
          <w:highlight w:val="none"/>
          <w:u w:val="none"/>
          <w:lang w:eastAsia="zh-CN"/>
        </w:rPr>
      </w:pPr>
      <w:r>
        <w:rPr>
          <w:rFonts w:hint="eastAsia" w:asciiTheme="minorEastAsia" w:hAnsiTheme="minorEastAsia" w:eastAsiaTheme="minorEastAsia" w:cstheme="minorEastAsia"/>
          <w:color w:val="auto"/>
          <w:sz w:val="24"/>
          <w:szCs w:val="24"/>
          <w:lang w:eastAsia="zh-CN"/>
        </w:rPr>
        <w:t>项目概况：</w:t>
      </w:r>
      <w:r>
        <w:rPr>
          <w:rFonts w:hint="eastAsia" w:asciiTheme="minorEastAsia" w:hAnsiTheme="minorEastAsia" w:eastAsiaTheme="minorEastAsia" w:cstheme="minorEastAsia"/>
          <w:color w:val="auto"/>
          <w:sz w:val="24"/>
          <w:szCs w:val="24"/>
          <w:lang w:val="en-US" w:eastAsia="zh-CN"/>
        </w:rPr>
        <w:t>“十五五”规划是作为迈向2035年基本实现现代化的重要衔接规划，是基本实现社会主义现代化承上启下的关键时期，也是我区抢抓发展机遇、把握战略定位、实现高质量发展的重要阶段，编制实施好“十五五”规划意义重大。积极服务和融入新发展格局，加快推动水磨沟区现代化城市建设，因地制宜发展新质生产力，更好统筹发展和安全、开放和安全，科学谋划“十五五”经济社会高质量发展，为到2035年与全国全疆全市同步基本实现社会主义现代化奠定坚实基础，特编制水磨沟区国民经济和社会发展第十五个五年规划纲要，以下简称“十五五”规划《纲要》。本次规划范围为水磨沟区行政区，</w:t>
      </w:r>
      <w:r>
        <w:rPr>
          <w:rFonts w:hint="eastAsia" w:asciiTheme="minorEastAsia" w:hAnsiTheme="minorEastAsia" w:eastAsiaTheme="minorEastAsia" w:cstheme="minorEastAsia"/>
          <w:snapToGrid w:val="0"/>
          <w:color w:val="auto"/>
          <w:spacing w:val="0"/>
          <w:kern w:val="0"/>
          <w:sz w:val="24"/>
          <w:szCs w:val="24"/>
          <w:highlight w:val="none"/>
          <w:u w:val="none"/>
        </w:rPr>
        <w:t>辖区总面积约</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279.55</w:t>
      </w:r>
      <w:r>
        <w:rPr>
          <w:rFonts w:hint="eastAsia" w:asciiTheme="minorEastAsia" w:hAnsiTheme="minorEastAsia" w:eastAsiaTheme="minorEastAsia" w:cstheme="minorEastAsia"/>
          <w:snapToGrid w:val="0"/>
          <w:color w:val="auto"/>
          <w:spacing w:val="0"/>
          <w:kern w:val="0"/>
          <w:sz w:val="24"/>
          <w:szCs w:val="24"/>
          <w:highlight w:val="none"/>
          <w:u w:val="none"/>
        </w:rPr>
        <w:t>平方公里，建成区面积69.31平方公里，现辖15个街道、152个社区、</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5</w:t>
      </w:r>
      <w:r>
        <w:rPr>
          <w:rFonts w:hint="eastAsia" w:asciiTheme="minorEastAsia" w:hAnsiTheme="minorEastAsia" w:eastAsiaTheme="minorEastAsia" w:cstheme="minorEastAsia"/>
          <w:snapToGrid w:val="0"/>
          <w:color w:val="auto"/>
          <w:spacing w:val="0"/>
          <w:kern w:val="0"/>
          <w:sz w:val="24"/>
          <w:szCs w:val="24"/>
          <w:highlight w:val="none"/>
          <w:u w:val="none"/>
        </w:rPr>
        <w:t>个行政村</w:t>
      </w:r>
      <w:r>
        <w:rPr>
          <w:rFonts w:hint="eastAsia" w:asciiTheme="minorEastAsia" w:hAnsiTheme="minorEastAsia" w:eastAsiaTheme="minorEastAsia" w:cstheme="minorEastAsia"/>
          <w:snapToGrid w:val="0"/>
          <w:color w:val="auto"/>
          <w:spacing w:val="0"/>
          <w:kern w:val="0"/>
          <w:sz w:val="24"/>
          <w:szCs w:val="24"/>
          <w:highlight w:val="none"/>
          <w:u w:val="none"/>
          <w:lang w:eastAsia="zh-CN"/>
        </w:rPr>
        <w:t>。</w:t>
      </w:r>
    </w:p>
    <w:p w14:paraId="26AA61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napToGrid w:val="0"/>
          <w:color w:val="auto"/>
          <w:spacing w:val="0"/>
          <w:kern w:val="0"/>
          <w:sz w:val="24"/>
          <w:szCs w:val="24"/>
          <w:highlight w:val="none"/>
          <w:u w:val="none"/>
          <w:lang w:eastAsia="zh-CN"/>
        </w:rPr>
      </w:pPr>
      <w:r>
        <w:rPr>
          <w:rFonts w:hint="eastAsia" w:asciiTheme="minorEastAsia" w:hAnsiTheme="minorEastAsia" w:eastAsiaTheme="minorEastAsia" w:cstheme="minorEastAsia"/>
          <w:snapToGrid w:val="0"/>
          <w:color w:val="auto"/>
          <w:spacing w:val="0"/>
          <w:kern w:val="0"/>
          <w:sz w:val="24"/>
          <w:szCs w:val="24"/>
          <w:highlight w:val="none"/>
          <w:u w:val="none"/>
          <w:lang w:eastAsia="zh-CN"/>
        </w:rPr>
        <w:t>规划要求与主要规划内容：</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1.编制水磨沟区</w:t>
      </w:r>
      <w:r>
        <w:rPr>
          <w:rFonts w:hint="eastAsia" w:asciiTheme="minorEastAsia" w:hAnsiTheme="minorEastAsia" w:eastAsiaTheme="minorEastAsia" w:cstheme="minorEastAsia"/>
          <w:color w:val="auto"/>
          <w:sz w:val="24"/>
          <w:szCs w:val="24"/>
          <w:lang w:val="en-US" w:eastAsia="zh-CN"/>
        </w:rPr>
        <w:t>“十五五”规划《纲要》，完成时序：</w:t>
      </w:r>
      <w:r>
        <w:rPr>
          <w:rFonts w:hint="eastAsia" w:asciiTheme="minorEastAsia" w:hAnsiTheme="minorEastAsia" w:cstheme="minorEastAsia"/>
          <w:color w:val="auto"/>
          <w:sz w:val="24"/>
          <w:szCs w:val="24"/>
          <w:lang w:val="en-US" w:eastAsia="zh-CN"/>
        </w:rPr>
        <w:t>八</w:t>
      </w:r>
      <w:r>
        <w:rPr>
          <w:rFonts w:hint="eastAsia" w:asciiTheme="minorEastAsia" w:hAnsiTheme="minorEastAsia" w:eastAsiaTheme="minorEastAsia" w:cstheme="minorEastAsia"/>
          <w:color w:val="auto"/>
          <w:sz w:val="24"/>
          <w:szCs w:val="24"/>
          <w:lang w:val="en-US" w:eastAsia="zh-CN"/>
        </w:rPr>
        <w:t>月底前形成初稿，</w:t>
      </w:r>
      <w:r>
        <w:rPr>
          <w:rFonts w:hint="eastAsia" w:asciiTheme="minorEastAsia" w:hAnsiTheme="minorEastAsia" w:cstheme="minorEastAsia"/>
          <w:color w:val="auto"/>
          <w:sz w:val="24"/>
          <w:szCs w:val="24"/>
          <w:lang w:val="en-US" w:eastAsia="zh-CN"/>
        </w:rPr>
        <w:t>九</w:t>
      </w:r>
      <w:r>
        <w:rPr>
          <w:rFonts w:hint="eastAsia" w:asciiTheme="minorEastAsia" w:hAnsiTheme="minorEastAsia" w:eastAsiaTheme="minorEastAsia" w:cstheme="minorEastAsia"/>
          <w:color w:val="auto"/>
          <w:sz w:val="24"/>
          <w:szCs w:val="24"/>
          <w:lang w:val="en-US" w:eastAsia="zh-CN"/>
        </w:rPr>
        <w:t>月</w:t>
      </w:r>
      <w:r>
        <w:rPr>
          <w:rFonts w:hint="eastAsia" w:asciiTheme="minorEastAsia" w:hAnsiTheme="minorEastAsia" w:cstheme="minorEastAsia"/>
          <w:color w:val="auto"/>
          <w:sz w:val="24"/>
          <w:szCs w:val="24"/>
          <w:lang w:val="en-US" w:eastAsia="zh-CN"/>
        </w:rPr>
        <w:t>二十日前完成征询意见修改稿，</w:t>
      </w:r>
      <w:r>
        <w:rPr>
          <w:rFonts w:hint="eastAsia" w:asciiTheme="minorEastAsia" w:hAnsiTheme="minorEastAsia" w:eastAsiaTheme="minorEastAsia" w:cstheme="minorEastAsia"/>
          <w:color w:val="auto"/>
          <w:sz w:val="24"/>
          <w:szCs w:val="24"/>
          <w:lang w:val="en-US" w:eastAsia="zh-CN"/>
        </w:rPr>
        <w:t>九月底完成送审稿。</w:t>
      </w:r>
      <w:r>
        <w:rPr>
          <w:rFonts w:hint="eastAsia" w:asciiTheme="minorEastAsia" w:hAnsiTheme="minorEastAsia" w:eastAsiaTheme="minorEastAsia" w:cstheme="minorEastAsia"/>
          <w:snapToGrid w:val="0"/>
          <w:color w:val="auto"/>
          <w:spacing w:val="0"/>
          <w:kern w:val="0"/>
          <w:sz w:val="24"/>
          <w:szCs w:val="24"/>
          <w:highlight w:val="none"/>
          <w:u w:val="none"/>
          <w:lang w:eastAsia="zh-CN"/>
        </w:rPr>
        <w:t>全面把握国家、自治区、乌鲁木齐市重大战略部署，在《水磨沟区空间战略规划》的指导下，对接《乌鲁木齐市国民经济和社会发展第十五个五年规划纲要》，立足区域功能定位和资源禀赋，明确未来五年发展方向、关键任务、重点项目，体现区域特色</w:t>
      </w:r>
    </w:p>
    <w:p w14:paraId="3B84AF2F">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Ansi="宋体"/>
          <w:b/>
          <w:bCs/>
          <w:color w:val="auto"/>
          <w:sz w:val="24"/>
          <w:szCs w:val="24"/>
        </w:rPr>
      </w:pP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2.编制水磨沟区“十四五”规划纲要总结评估报告。完成时序：</w:t>
      </w:r>
      <w:r>
        <w:rPr>
          <w:rFonts w:hint="eastAsia" w:asciiTheme="minorEastAsia" w:hAnsiTheme="minorEastAsia" w:cstheme="minorEastAsia"/>
          <w:snapToGrid w:val="0"/>
          <w:color w:val="auto"/>
          <w:spacing w:val="0"/>
          <w:kern w:val="0"/>
          <w:sz w:val="24"/>
          <w:szCs w:val="24"/>
          <w:highlight w:val="none"/>
          <w:u w:val="none"/>
          <w:lang w:val="en-US" w:eastAsia="zh-CN"/>
        </w:rPr>
        <w:t>七</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月底前完成初稿，</w:t>
      </w:r>
      <w:r>
        <w:rPr>
          <w:rFonts w:hint="eastAsia" w:asciiTheme="minorEastAsia" w:hAnsiTheme="minorEastAsia" w:cstheme="minorEastAsia"/>
          <w:snapToGrid w:val="0"/>
          <w:color w:val="auto"/>
          <w:spacing w:val="0"/>
          <w:kern w:val="0"/>
          <w:sz w:val="24"/>
          <w:szCs w:val="24"/>
          <w:highlight w:val="none"/>
          <w:u w:val="none"/>
          <w:lang w:val="en-US" w:eastAsia="zh-CN"/>
        </w:rPr>
        <w:t>八月二十日前完成</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月完成</w:t>
      </w:r>
      <w:r>
        <w:rPr>
          <w:rFonts w:hint="eastAsia" w:asciiTheme="minorEastAsia" w:hAnsiTheme="minorEastAsia" w:cstheme="minorEastAsia"/>
          <w:snapToGrid w:val="0"/>
          <w:color w:val="auto"/>
          <w:spacing w:val="0"/>
          <w:kern w:val="0"/>
          <w:sz w:val="24"/>
          <w:szCs w:val="24"/>
          <w:highlight w:val="none"/>
          <w:u w:val="none"/>
          <w:lang w:val="en-US" w:eastAsia="zh-CN"/>
        </w:rPr>
        <w:t>征询意见修改稿</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w:t>
      </w:r>
      <w:r>
        <w:rPr>
          <w:rFonts w:hint="eastAsia" w:asciiTheme="minorEastAsia" w:hAnsiTheme="minorEastAsia" w:cstheme="minorEastAsia"/>
          <w:snapToGrid w:val="0"/>
          <w:color w:val="auto"/>
          <w:spacing w:val="0"/>
          <w:kern w:val="0"/>
          <w:sz w:val="24"/>
          <w:szCs w:val="24"/>
          <w:highlight w:val="none"/>
          <w:u w:val="none"/>
          <w:lang w:val="en-US" w:eastAsia="zh-CN"/>
        </w:rPr>
        <w:t>八月底</w:t>
      </w:r>
      <w:r>
        <w:rPr>
          <w:rFonts w:hint="eastAsia" w:asciiTheme="minorEastAsia" w:hAnsiTheme="minorEastAsia" w:eastAsiaTheme="minorEastAsia" w:cstheme="minorEastAsia"/>
          <w:snapToGrid w:val="0"/>
          <w:color w:val="auto"/>
          <w:spacing w:val="0"/>
          <w:kern w:val="0"/>
          <w:sz w:val="24"/>
          <w:szCs w:val="24"/>
          <w:highlight w:val="none"/>
          <w:u w:val="none"/>
          <w:lang w:val="en-US" w:eastAsia="zh-CN"/>
        </w:rPr>
        <w:t>完成送审稿。全面评估水磨沟区“十四五”期间的工作完成情况，成效和短板，精准分析区情，把握发展阶段性特征和挑战机遇，为“十五五”规划《纲要》编制奠定坚实基础。</w:t>
      </w:r>
    </w:p>
    <w:p w14:paraId="58577C0B">
      <w:pPr>
        <w:keepNext w:val="0"/>
        <w:keepLines w:val="0"/>
        <w:pageBreakBefore w:val="0"/>
        <w:kinsoku/>
        <w:wordWrap/>
        <w:overflowPunct/>
        <w:topLinePunct w:val="0"/>
        <w:autoSpaceDE/>
        <w:autoSpaceDN/>
        <w:bidi w:val="0"/>
        <w:adjustRightInd/>
        <w:snapToGrid/>
        <w:spacing w:line="360" w:lineRule="auto"/>
        <w:textAlignment w:val="auto"/>
        <w:rPr>
          <w:rFonts w:ascii="宋体" w:hAnsi="宋体" w:eastAsia="宋体" w:cs="宋体"/>
          <w:b/>
          <w:color w:val="auto"/>
          <w:sz w:val="24"/>
          <w:szCs w:val="24"/>
          <w:u w:val="single"/>
        </w:rPr>
      </w:pPr>
      <w:r>
        <w:rPr>
          <w:rFonts w:ascii="宋体" w:hAnsi="宋体" w:eastAsia="宋体" w:cs="宋体"/>
          <w:b/>
          <w:color w:val="auto"/>
          <w:sz w:val="24"/>
          <w:szCs w:val="24"/>
        </w:rPr>
        <w:br w:type="page"/>
      </w:r>
    </w:p>
    <w:p w14:paraId="23DD8BE2">
      <w:pPr>
        <w:keepLines w:val="0"/>
        <w:pageBreakBefore w:val="0"/>
        <w:kinsoku/>
        <w:wordWrap/>
        <w:overflowPunct/>
        <w:topLinePunct w:val="0"/>
        <w:bidi w:val="0"/>
        <w:spacing w:line="360" w:lineRule="auto"/>
        <w:jc w:val="center"/>
        <w:outlineLvl w:val="0"/>
        <w:rPr>
          <w:rFonts w:ascii="宋体" w:hAnsi="宋体" w:eastAsia="宋体" w:cs="宋体"/>
          <w:b/>
          <w:color w:val="auto"/>
          <w:sz w:val="24"/>
          <w:szCs w:val="24"/>
        </w:rPr>
      </w:pPr>
      <w:bookmarkStart w:id="101" w:name="_Toc3468"/>
      <w:r>
        <w:rPr>
          <w:rFonts w:hint="eastAsia" w:ascii="宋体" w:hAnsi="宋体" w:eastAsia="宋体" w:cs="宋体"/>
          <w:b/>
          <w:color w:val="auto"/>
          <w:sz w:val="24"/>
          <w:szCs w:val="24"/>
        </w:rPr>
        <w:t>第五章 竞争性磋商响应文件格式</w:t>
      </w:r>
      <w:bookmarkEnd w:id="101"/>
    </w:p>
    <w:p w14:paraId="1F4926B4">
      <w:pPr>
        <w:keepLines w:val="0"/>
        <w:pageBreakBefore w:val="0"/>
        <w:kinsoku/>
        <w:wordWrap/>
        <w:overflowPunct/>
        <w:topLinePunct w:val="0"/>
        <w:bidi w:val="0"/>
        <w:spacing w:line="360" w:lineRule="auto"/>
        <w:rPr>
          <w:rFonts w:ascii="宋体" w:hAnsi="Calibri" w:eastAsia="宋体" w:cs="宋体"/>
          <w:b/>
          <w:color w:val="auto"/>
          <w:sz w:val="24"/>
          <w:szCs w:val="24"/>
        </w:rPr>
      </w:pPr>
    </w:p>
    <w:p w14:paraId="065BE691">
      <w:pPr>
        <w:keepLines w:val="0"/>
        <w:pageBreakBefore w:val="0"/>
        <w:kinsoku/>
        <w:wordWrap/>
        <w:overflowPunct/>
        <w:topLinePunct w:val="0"/>
        <w:bidi w:val="0"/>
        <w:spacing w:line="360" w:lineRule="auto"/>
        <w:rPr>
          <w:rFonts w:ascii="宋体" w:hAnsi="Calibri" w:eastAsia="宋体" w:cs="宋体"/>
          <w:b/>
          <w:color w:val="auto"/>
          <w:sz w:val="24"/>
          <w:szCs w:val="24"/>
        </w:rPr>
      </w:pPr>
    </w:p>
    <w:p w14:paraId="589EEA2D">
      <w:pPr>
        <w:keepLines w:val="0"/>
        <w:pageBreakBefore w:val="0"/>
        <w:kinsoku/>
        <w:wordWrap/>
        <w:overflowPunct/>
        <w:topLinePunct w:val="0"/>
        <w:bidi w:val="0"/>
        <w:spacing w:line="360" w:lineRule="auto"/>
        <w:rPr>
          <w:rFonts w:ascii="宋体" w:hAnsi="Calibri" w:eastAsia="宋体" w:cs="宋体"/>
          <w:color w:val="auto"/>
          <w:sz w:val="24"/>
          <w:szCs w:val="24"/>
          <w:u w:val="single"/>
        </w:rPr>
      </w:pPr>
      <w:r>
        <w:rPr>
          <w:rFonts w:hint="eastAsia" w:ascii="宋体" w:hAnsi="宋体" w:eastAsia="宋体" w:cs="宋体"/>
          <w:color w:val="auto"/>
          <w:sz w:val="24"/>
          <w:szCs w:val="24"/>
          <w:u w:val="single"/>
        </w:rPr>
        <w:t>竞争性磋商响应文件封面示例</w:t>
      </w:r>
    </w:p>
    <w:p w14:paraId="3F7EAF7F">
      <w:pPr>
        <w:keepLines w:val="0"/>
        <w:pageBreakBefore w:val="0"/>
        <w:kinsoku/>
        <w:wordWrap/>
        <w:overflowPunct/>
        <w:topLinePunct w:val="0"/>
        <w:bidi w:val="0"/>
        <w:spacing w:line="360" w:lineRule="auto"/>
        <w:ind w:right="315"/>
        <w:jc w:val="right"/>
        <w:rPr>
          <w:rFonts w:ascii="宋体" w:hAnsi="Calibri" w:eastAsia="宋体" w:cs="宋体"/>
          <w:b/>
          <w:color w:val="auto"/>
          <w:sz w:val="24"/>
          <w:szCs w:val="24"/>
          <w:bdr w:val="single" w:color="auto" w:sz="4" w:space="0"/>
        </w:rPr>
      </w:pPr>
      <w:r>
        <w:rPr>
          <w:rFonts w:hint="eastAsia" w:ascii="宋体" w:hAnsi="宋体" w:eastAsia="宋体" w:cs="宋体"/>
          <w:b/>
          <w:color w:val="auto"/>
          <w:sz w:val="24"/>
          <w:szCs w:val="24"/>
          <w:bdr w:val="single" w:color="auto" w:sz="4" w:space="0"/>
        </w:rPr>
        <w:t>正本</w:t>
      </w:r>
    </w:p>
    <w:p w14:paraId="7F0E35A4">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u w:val="single"/>
        </w:rPr>
      </w:pPr>
      <w:r>
        <w:rPr>
          <w:rFonts w:hint="eastAsia" w:ascii="宋体" w:hAnsi="宋体" w:cs="宋体"/>
          <w:color w:val="auto"/>
          <w:kern w:val="0"/>
          <w:sz w:val="32"/>
          <w:szCs w:val="32"/>
          <w:u w:val="single"/>
        </w:rPr>
        <w:t>项目名称：</w:t>
      </w:r>
    </w:p>
    <w:p w14:paraId="178A7C9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32"/>
        </w:rPr>
      </w:pPr>
    </w:p>
    <w:p w14:paraId="081F6EA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159A3B9D">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135197C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6340B29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r>
        <w:rPr>
          <w:rFonts w:hint="eastAsia" w:ascii="宋体" w:hAnsi="宋体" w:cs="宋体"/>
          <w:color w:val="auto"/>
          <w:kern w:val="0"/>
          <w:sz w:val="32"/>
          <w:szCs w:val="32"/>
        </w:rPr>
        <w:t>竞争性磋商响应文件</w:t>
      </w:r>
    </w:p>
    <w:p w14:paraId="46D21477">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2672B9E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4FE128EA">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698AFE9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06AA74B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32"/>
          <w:szCs w:val="32"/>
        </w:rPr>
      </w:pPr>
    </w:p>
    <w:p w14:paraId="7E56046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lang w:eastAsia="zh-CN"/>
        </w:rPr>
        <w:t>项目</w:t>
      </w:r>
      <w:r>
        <w:rPr>
          <w:rFonts w:hint="eastAsia" w:ascii="宋体" w:hAnsi="宋体" w:cs="宋体"/>
          <w:color w:val="auto"/>
          <w:kern w:val="0"/>
          <w:sz w:val="24"/>
          <w:szCs w:val="24"/>
        </w:rPr>
        <w:t>编号：</w:t>
      </w:r>
      <w:r>
        <w:rPr>
          <w:rFonts w:hint="eastAsia" w:ascii="宋体" w:hAnsi="宋体" w:cs="宋体"/>
          <w:color w:val="auto"/>
          <w:kern w:val="0"/>
          <w:sz w:val="24"/>
          <w:szCs w:val="24"/>
          <w:u w:val="single"/>
        </w:rPr>
        <w:t xml:space="preserve">                    </w:t>
      </w:r>
    </w:p>
    <w:p w14:paraId="497FAD73">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采购人：</w:t>
      </w:r>
      <w:r>
        <w:rPr>
          <w:rFonts w:hint="eastAsia" w:ascii="宋体" w:hAnsi="宋体" w:cs="宋体"/>
          <w:color w:val="auto"/>
          <w:kern w:val="0"/>
          <w:sz w:val="24"/>
          <w:szCs w:val="24"/>
          <w:u w:val="single"/>
        </w:rPr>
        <w:t xml:space="preserve">                      </w:t>
      </w:r>
    </w:p>
    <w:p w14:paraId="7F82A42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1E9FFE4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 xml:space="preserve">（盖章）          </w:t>
      </w:r>
    </w:p>
    <w:p w14:paraId="7FD56C3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单位地址：</w:t>
      </w:r>
      <w:r>
        <w:rPr>
          <w:rFonts w:hint="eastAsia" w:ascii="宋体" w:hAnsi="宋体" w:cs="宋体"/>
          <w:color w:val="auto"/>
          <w:kern w:val="0"/>
          <w:sz w:val="24"/>
          <w:szCs w:val="24"/>
          <w:u w:val="single"/>
        </w:rPr>
        <w:t xml:space="preserve">                    </w:t>
      </w:r>
    </w:p>
    <w:p w14:paraId="26FEFD3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联系人及联系电话：</w:t>
      </w:r>
      <w:r>
        <w:rPr>
          <w:rFonts w:hint="eastAsia" w:ascii="宋体" w:hAnsi="宋体" w:cs="宋体"/>
          <w:color w:val="auto"/>
          <w:kern w:val="0"/>
          <w:sz w:val="24"/>
          <w:szCs w:val="24"/>
          <w:u w:val="single"/>
        </w:rPr>
        <w:t xml:space="preserve">            </w:t>
      </w:r>
    </w:p>
    <w:p w14:paraId="161DA9C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u w:val="single"/>
        </w:rPr>
        <w:t xml:space="preserve">20    </w:t>
      </w:r>
      <w:r>
        <w:rPr>
          <w:rFonts w:hint="eastAsia" w:ascii="宋体" w:hAnsi="宋体" w:cs="宋体"/>
          <w:color w:val="auto"/>
          <w:kern w:val="0"/>
          <w:sz w:val="24"/>
          <w:szCs w:val="24"/>
        </w:rPr>
        <w:t>年月日</w:t>
      </w:r>
    </w:p>
    <w:p w14:paraId="12BEC9B4">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6258CE68">
      <w:pPr>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28"/>
          <w:szCs w:val="24"/>
        </w:rPr>
      </w:pPr>
      <w:r>
        <w:rPr>
          <w:rFonts w:hint="eastAsia" w:ascii="宋体" w:hAnsi="宋体" w:cs="宋体"/>
          <w:b/>
          <w:color w:val="auto"/>
          <w:kern w:val="0"/>
          <w:sz w:val="28"/>
          <w:szCs w:val="24"/>
        </w:rPr>
        <w:t>（第一部分）资格响应文件</w:t>
      </w:r>
    </w:p>
    <w:p w14:paraId="52D4C6DF">
      <w:pPr>
        <w:keepLines w:val="0"/>
        <w:pageBreakBefore w:val="0"/>
        <w:widowControl/>
        <w:kinsoku/>
        <w:wordWrap/>
        <w:overflowPunct/>
        <w:topLinePunct w:val="0"/>
        <w:bidi w:val="0"/>
        <w:spacing w:line="360" w:lineRule="auto"/>
        <w:jc w:val="left"/>
        <w:rPr>
          <w:rFonts w:ascii="宋体" w:hAnsi="宋体" w:cs="宋体"/>
          <w:b/>
          <w:color w:val="auto"/>
          <w:kern w:val="0"/>
          <w:sz w:val="40"/>
          <w:szCs w:val="24"/>
        </w:rPr>
      </w:pPr>
      <w:r>
        <w:rPr>
          <w:rFonts w:ascii="宋体" w:hAnsi="宋体" w:cs="宋体"/>
          <w:b/>
          <w:color w:val="auto"/>
          <w:kern w:val="0"/>
          <w:sz w:val="40"/>
          <w:szCs w:val="24"/>
        </w:rPr>
        <w:br w:type="page"/>
      </w:r>
    </w:p>
    <w:p w14:paraId="11E9AC42">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（1）关于资格的声明函</w:t>
      </w:r>
    </w:p>
    <w:p w14:paraId="1E55DB9C">
      <w:pPr>
        <w:keepLines w:val="0"/>
        <w:pageBreakBefore w:val="0"/>
        <w:kinsoku/>
        <w:wordWrap/>
        <w:overflowPunct/>
        <w:topLinePunct w:val="0"/>
        <w:autoSpaceDE w:val="0"/>
        <w:autoSpaceDN w:val="0"/>
        <w:bidi w:val="0"/>
        <w:adjustRightInd w:val="0"/>
        <w:spacing w:line="360" w:lineRule="auto"/>
        <w:jc w:val="left"/>
        <w:rPr>
          <w:rFonts w:ascii="宋体" w:hAnsi="宋体" w:cs="宋体"/>
          <w:b/>
          <w:color w:val="auto"/>
          <w:kern w:val="0"/>
          <w:sz w:val="24"/>
          <w:szCs w:val="24"/>
        </w:rPr>
      </w:pPr>
    </w:p>
    <w:p w14:paraId="6C56F05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致：</w:t>
      </w:r>
      <w:r>
        <w:rPr>
          <w:rFonts w:hint="eastAsia" w:ascii="宋体" w:hAnsi="宋体" w:cs="宋体"/>
          <w:color w:val="auto"/>
          <w:kern w:val="0"/>
          <w:sz w:val="24"/>
          <w:szCs w:val="24"/>
          <w:u w:val="single"/>
        </w:rPr>
        <w:t>（采购人名称）</w:t>
      </w:r>
    </w:p>
    <w:p w14:paraId="08DFA47A">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关于贵方</w:t>
      </w:r>
      <w:r>
        <w:rPr>
          <w:rFonts w:ascii="宋体" w:hAnsi="宋体" w:cs="宋体"/>
          <w:color w:val="auto"/>
          <w:kern w:val="0"/>
          <w:sz w:val="24"/>
          <w:szCs w:val="24"/>
          <w:u w:val="single"/>
        </w:rPr>
        <w:t xml:space="preserve">20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日第</w:t>
      </w:r>
      <w:r>
        <w:rPr>
          <w:rFonts w:hint="eastAsia" w:ascii="宋体" w:hAnsi="宋体" w:cs="宋体"/>
          <w:color w:val="auto"/>
          <w:kern w:val="0"/>
          <w:sz w:val="24"/>
          <w:szCs w:val="24"/>
          <w:u w:val="single"/>
        </w:rPr>
        <w:t>（项目编号）</w:t>
      </w:r>
      <w:r>
        <w:rPr>
          <w:rFonts w:hint="eastAsia" w:ascii="宋体" w:hAnsi="宋体" w:cs="宋体"/>
          <w:color w:val="auto"/>
          <w:kern w:val="0"/>
          <w:sz w:val="24"/>
          <w:szCs w:val="24"/>
        </w:rPr>
        <w:t>竞争性磋商公告关于“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”的采购项目，本公司愿意参加投标，并有能力提供</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rPr>
        <w:t>项目中的全部货物、服务内容，并保证所提交的所有文件和说明是真实和准确的。</w:t>
      </w:r>
    </w:p>
    <w:p w14:paraId="31332AB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013F429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AB39E2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07EAAD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C99B2C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8D7769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B2DF8C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C7DB66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6DD16D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5D89F0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BDFA30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021E6B0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68FA55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6745653">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67F5DF7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1597937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地址：</w:t>
      </w:r>
    </w:p>
    <w:p w14:paraId="3590D9E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传真：</w:t>
      </w:r>
    </w:p>
    <w:p w14:paraId="6BD8777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邮编：</w:t>
      </w:r>
    </w:p>
    <w:p w14:paraId="27AD774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电话：</w:t>
      </w:r>
    </w:p>
    <w:p w14:paraId="585991B7">
      <w:pPr>
        <w:keepLines w:val="0"/>
        <w:pageBreakBefore w:val="0"/>
        <w:kinsoku/>
        <w:wordWrap/>
        <w:overflowPunct/>
        <w:topLinePunct w:val="0"/>
        <w:autoSpaceDE w:val="0"/>
        <w:autoSpaceDN w:val="0"/>
        <w:bidi w:val="0"/>
        <w:adjustRightInd w:val="0"/>
        <w:spacing w:line="360" w:lineRule="auto"/>
        <w:jc w:val="right"/>
        <w:rPr>
          <w:rFonts w:ascii="宋体" w:hAnsi="宋体" w:cs="宋体"/>
          <w:color w:val="auto"/>
          <w:kern w:val="0"/>
          <w:sz w:val="24"/>
          <w:szCs w:val="24"/>
        </w:rPr>
      </w:pP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3B1B79C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4E988CF">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19DED41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1.1、供应商基本情况表</w:t>
      </w:r>
    </w:p>
    <w:tbl>
      <w:tblPr>
        <w:tblStyle w:val="43"/>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4030"/>
        <w:gridCol w:w="2036"/>
        <w:gridCol w:w="2020"/>
      </w:tblGrid>
      <w:tr w14:paraId="7D5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5172FF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名称</w:t>
            </w:r>
          </w:p>
        </w:tc>
        <w:tc>
          <w:tcPr>
            <w:tcW w:w="3994" w:type="pct"/>
            <w:gridSpan w:val="3"/>
            <w:vAlign w:val="center"/>
          </w:tcPr>
          <w:p w14:paraId="175ECD8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75F25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7F317634">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注册地址</w:t>
            </w:r>
          </w:p>
        </w:tc>
        <w:tc>
          <w:tcPr>
            <w:tcW w:w="3994" w:type="pct"/>
            <w:gridSpan w:val="3"/>
            <w:vAlign w:val="center"/>
          </w:tcPr>
          <w:p w14:paraId="2249101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14D3D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57D3005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办公地址</w:t>
            </w:r>
          </w:p>
        </w:tc>
        <w:tc>
          <w:tcPr>
            <w:tcW w:w="3994" w:type="pct"/>
            <w:gridSpan w:val="3"/>
            <w:vAlign w:val="center"/>
          </w:tcPr>
          <w:p w14:paraId="2059C84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2D06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465ABDE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法定代表人</w:t>
            </w:r>
          </w:p>
        </w:tc>
        <w:tc>
          <w:tcPr>
            <w:tcW w:w="1991" w:type="pct"/>
            <w:vAlign w:val="center"/>
          </w:tcPr>
          <w:p w14:paraId="55BD393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2EBE79A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998" w:type="pct"/>
            <w:vAlign w:val="center"/>
          </w:tcPr>
          <w:p w14:paraId="5C7FF61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1F5C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4A34552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联系人</w:t>
            </w:r>
          </w:p>
        </w:tc>
        <w:tc>
          <w:tcPr>
            <w:tcW w:w="1991" w:type="pct"/>
            <w:vAlign w:val="center"/>
          </w:tcPr>
          <w:p w14:paraId="30B32F8F">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7991704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联系电话</w:t>
            </w:r>
          </w:p>
        </w:tc>
        <w:tc>
          <w:tcPr>
            <w:tcW w:w="998" w:type="pct"/>
            <w:vAlign w:val="center"/>
          </w:tcPr>
          <w:p w14:paraId="0D2EA7D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5CA0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2489E3E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邮政编码</w:t>
            </w:r>
          </w:p>
        </w:tc>
        <w:tc>
          <w:tcPr>
            <w:tcW w:w="1991" w:type="pct"/>
            <w:vAlign w:val="center"/>
          </w:tcPr>
          <w:p w14:paraId="2DB45DF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38606D2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E-Mail</w:t>
            </w:r>
          </w:p>
        </w:tc>
        <w:tc>
          <w:tcPr>
            <w:tcW w:w="998" w:type="pct"/>
            <w:vAlign w:val="center"/>
          </w:tcPr>
          <w:p w14:paraId="3CAB672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02B6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1005" w:type="pct"/>
            <w:vAlign w:val="center"/>
          </w:tcPr>
          <w:p w14:paraId="60E8DDA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社会统一信用代码</w:t>
            </w:r>
          </w:p>
        </w:tc>
        <w:tc>
          <w:tcPr>
            <w:tcW w:w="3994" w:type="pct"/>
            <w:gridSpan w:val="3"/>
            <w:vAlign w:val="center"/>
          </w:tcPr>
          <w:p w14:paraId="1758182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2C77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6C2858D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资质等级</w:t>
            </w:r>
          </w:p>
        </w:tc>
        <w:tc>
          <w:tcPr>
            <w:tcW w:w="3994" w:type="pct"/>
            <w:gridSpan w:val="3"/>
            <w:vAlign w:val="center"/>
          </w:tcPr>
          <w:p w14:paraId="60136B45">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53F8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05" w:type="pct"/>
            <w:vAlign w:val="center"/>
          </w:tcPr>
          <w:p w14:paraId="02DF950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注册资金（万元）</w:t>
            </w:r>
          </w:p>
        </w:tc>
        <w:tc>
          <w:tcPr>
            <w:tcW w:w="1991" w:type="pct"/>
            <w:vAlign w:val="center"/>
          </w:tcPr>
          <w:p w14:paraId="1250683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c>
          <w:tcPr>
            <w:tcW w:w="1006" w:type="pct"/>
            <w:vAlign w:val="center"/>
          </w:tcPr>
          <w:p w14:paraId="3810C76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专业人员数量</w:t>
            </w:r>
          </w:p>
        </w:tc>
        <w:tc>
          <w:tcPr>
            <w:tcW w:w="998" w:type="pct"/>
            <w:vAlign w:val="center"/>
          </w:tcPr>
          <w:p w14:paraId="73FB84F7">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70ED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005" w:type="pct"/>
            <w:vAlign w:val="center"/>
          </w:tcPr>
          <w:p w14:paraId="6DAA4429">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经营范围</w:t>
            </w:r>
          </w:p>
        </w:tc>
        <w:tc>
          <w:tcPr>
            <w:tcW w:w="3994" w:type="pct"/>
            <w:gridSpan w:val="3"/>
            <w:vAlign w:val="center"/>
          </w:tcPr>
          <w:p w14:paraId="0BEC04DB">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c>
      </w:tr>
      <w:tr w14:paraId="4A21E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7" w:hRule="atLeast"/>
        </w:trPr>
        <w:tc>
          <w:tcPr>
            <w:tcW w:w="5000" w:type="pct"/>
            <w:gridSpan w:val="4"/>
          </w:tcPr>
          <w:p w14:paraId="73B28F57">
            <w:pPr>
              <w:keepLines w:val="0"/>
              <w:pageBreakBefore w:val="0"/>
              <w:kinsoku/>
              <w:wordWrap/>
              <w:overflowPunct/>
              <w:topLinePunct w:val="0"/>
              <w:autoSpaceDE w:val="0"/>
              <w:autoSpaceDN w:val="0"/>
              <w:bidi w:val="0"/>
              <w:adjustRightInd w:val="0"/>
              <w:spacing w:line="360" w:lineRule="auto"/>
              <w:rPr>
                <w:rFonts w:ascii="宋体" w:hAnsi="宋体" w:cs="宋体"/>
                <w:color w:val="auto"/>
                <w:kern w:val="0"/>
                <w:sz w:val="24"/>
                <w:szCs w:val="24"/>
              </w:rPr>
            </w:pPr>
            <w:r>
              <w:rPr>
                <w:rFonts w:hint="eastAsia" w:ascii="宋体" w:hAnsi="宋体" w:cs="宋体"/>
                <w:color w:val="auto"/>
                <w:kern w:val="0"/>
                <w:sz w:val="24"/>
                <w:szCs w:val="24"/>
              </w:rPr>
              <w:t>机构简况：</w:t>
            </w:r>
          </w:p>
        </w:tc>
      </w:tr>
    </w:tbl>
    <w:p w14:paraId="0ECB96D8">
      <w:pPr>
        <w:pStyle w:val="202"/>
        <w:keepLines w:val="0"/>
        <w:pageBreakBefore w:val="0"/>
        <w:kinsoku/>
        <w:wordWrap/>
        <w:overflowPunct/>
        <w:topLinePunct w:val="0"/>
        <w:bidi w:val="0"/>
        <w:spacing w:line="360" w:lineRule="auto"/>
        <w:rPr>
          <w:rFonts w:ascii="宋体" w:hAnsi="宋体"/>
          <w:color w:val="auto"/>
          <w:sz w:val="24"/>
          <w:szCs w:val="24"/>
        </w:rPr>
      </w:pPr>
    </w:p>
    <w:p w14:paraId="07A175F5">
      <w:pPr>
        <w:keepLines w:val="0"/>
        <w:pageBreakBefore w:val="0"/>
        <w:kinsoku/>
        <w:wordWrap/>
        <w:overflowPunct/>
        <w:topLinePunct w:val="0"/>
        <w:bidi w:val="0"/>
        <w:spacing w:line="360" w:lineRule="auto"/>
        <w:rPr>
          <w:rFonts w:cs="仿宋" w:asciiTheme="minorEastAsia" w:hAnsiTheme="minorEastAsia"/>
          <w:color w:val="auto"/>
          <w:sz w:val="24"/>
          <w:szCs w:val="24"/>
        </w:rPr>
      </w:pPr>
    </w:p>
    <w:p w14:paraId="022ABF14">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16BAD0DE">
      <w:pPr>
        <w:keepLines w:val="0"/>
        <w:pageBreakBefore w:val="0"/>
        <w:kinsoku/>
        <w:wordWrap/>
        <w:overflowPunct/>
        <w:topLinePunct w:val="0"/>
        <w:bidi w:val="0"/>
        <w:spacing w:line="360" w:lineRule="auto"/>
        <w:jc w:val="center"/>
        <w:rPr>
          <w:rFonts w:cs="仿宋" w:asciiTheme="minorEastAsia" w:hAnsiTheme="minorEastAsia"/>
          <w:color w:val="auto"/>
          <w:sz w:val="24"/>
          <w:szCs w:val="24"/>
        </w:rPr>
      </w:pPr>
      <w:r>
        <w:rPr>
          <w:rFonts w:hint="eastAsia" w:ascii="宋体" w:hAnsi="宋体" w:cs="宋体"/>
          <w:color w:val="auto"/>
          <w:kern w:val="0"/>
          <w:sz w:val="24"/>
          <w:szCs w:val="24"/>
        </w:rPr>
        <w:t>1.2、</w:t>
      </w:r>
      <w:r>
        <w:rPr>
          <w:rFonts w:hint="eastAsia" w:cs="仿宋" w:asciiTheme="minorEastAsia" w:hAnsiTheme="minorEastAsia"/>
          <w:color w:val="auto"/>
          <w:sz w:val="24"/>
          <w:szCs w:val="24"/>
        </w:rPr>
        <w:t>供应商营业执照</w:t>
      </w:r>
    </w:p>
    <w:p w14:paraId="71841690">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供应商是企业（包括合伙企业）的，应提供其在工商部门注册的有效“企业法人营业执照”或“营业执照”的复印件； </w:t>
      </w:r>
    </w:p>
    <w:p w14:paraId="64A86777">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供应商是事业单位的，应提供其有效的“事业单位法人证书”复印件； </w:t>
      </w:r>
    </w:p>
    <w:p w14:paraId="48CD6617">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供应商是非企业专业服务机构的，应提供其有效的执业许可证复印件； </w:t>
      </w:r>
    </w:p>
    <w:p w14:paraId="4953FCC8">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 xml:space="preserve">供应商是个体工商户的，应提供其有效的“个体工商户营业执照”复印件； </w:t>
      </w:r>
    </w:p>
    <w:p w14:paraId="0B33E6F8">
      <w:pPr>
        <w:keepLines w:val="0"/>
        <w:pageBreakBefore w:val="0"/>
        <w:widowControl/>
        <w:kinsoku/>
        <w:wordWrap/>
        <w:overflowPunct/>
        <w:topLinePunct w:val="0"/>
        <w:bidi w:val="0"/>
        <w:spacing w:line="360" w:lineRule="auto"/>
        <w:jc w:val="left"/>
        <w:rPr>
          <w:rFonts w:cs="仿宋" w:asciiTheme="minorEastAsia" w:hAnsiTheme="minorEastAsia"/>
          <w:color w:val="auto"/>
          <w:sz w:val="24"/>
          <w:szCs w:val="24"/>
        </w:rPr>
      </w:pPr>
      <w:r>
        <w:rPr>
          <w:rFonts w:hint="eastAsia" w:cs="仿宋" w:asciiTheme="minorEastAsia" w:hAnsiTheme="minorEastAsia"/>
          <w:color w:val="auto"/>
          <w:sz w:val="24"/>
          <w:szCs w:val="24"/>
        </w:rPr>
        <w:t>供应商是自然人的，应提供其有效的自然人身份证明；</w:t>
      </w:r>
      <w:r>
        <w:rPr>
          <w:rFonts w:cs="仿宋" w:asciiTheme="minorEastAsia" w:hAnsiTheme="minorEastAsia"/>
          <w:color w:val="auto"/>
          <w:sz w:val="24"/>
          <w:szCs w:val="24"/>
        </w:rPr>
        <w:br w:type="page"/>
      </w:r>
    </w:p>
    <w:p w14:paraId="624CB010">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（2）提供法定代表人身份证明或法定代表人授权委托书</w:t>
      </w:r>
    </w:p>
    <w:p w14:paraId="60FBC767">
      <w:pPr>
        <w:keepLines w:val="0"/>
        <w:pageBreakBefore w:val="0"/>
        <w:kinsoku/>
        <w:wordWrap/>
        <w:overflowPunct/>
        <w:topLinePunct w:val="0"/>
        <w:autoSpaceDE w:val="0"/>
        <w:autoSpaceDN w:val="0"/>
        <w:bidi w:val="0"/>
        <w:adjustRightInd w:val="0"/>
        <w:spacing w:line="360" w:lineRule="auto"/>
        <w:rPr>
          <w:rFonts w:ascii="宋体" w:hAnsi="宋体" w:cs="宋体"/>
          <w:b/>
          <w:color w:val="auto"/>
          <w:kern w:val="0"/>
          <w:sz w:val="24"/>
          <w:szCs w:val="24"/>
        </w:rPr>
      </w:pPr>
    </w:p>
    <w:p w14:paraId="58C28AD3">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、法定代表人身份证明</w:t>
      </w:r>
    </w:p>
    <w:p w14:paraId="33096CF2">
      <w:pPr>
        <w:keepLines w:val="0"/>
        <w:pageBreakBefore w:val="0"/>
        <w:kinsoku/>
        <w:wordWrap/>
        <w:overflowPunct/>
        <w:topLinePunct w:val="0"/>
        <w:autoSpaceDE w:val="0"/>
        <w:autoSpaceDN w:val="0"/>
        <w:bidi w:val="0"/>
        <w:adjustRightInd w:val="0"/>
        <w:spacing w:line="360" w:lineRule="auto"/>
        <w:ind w:firstLine="360" w:firstLineChars="150"/>
        <w:rPr>
          <w:rFonts w:ascii="宋体" w:hAnsi="宋体" w:cs="宋体"/>
          <w:color w:val="auto"/>
          <w:kern w:val="0"/>
          <w:sz w:val="24"/>
          <w:szCs w:val="24"/>
          <w:u w:val="single"/>
        </w:rPr>
      </w:pPr>
      <w:r>
        <w:rPr>
          <w:rFonts w:hint="eastAsia" w:ascii="宋体" w:hAnsi="宋体" w:cs="宋体"/>
          <w:color w:val="auto"/>
          <w:kern w:val="0"/>
          <w:sz w:val="24"/>
          <w:szCs w:val="24"/>
        </w:rPr>
        <w:t>采购人：</w:t>
      </w:r>
      <w:r>
        <w:rPr>
          <w:rFonts w:hint="eastAsia" w:ascii="宋体" w:hAnsi="宋体" w:cs="宋体"/>
          <w:color w:val="auto"/>
          <w:kern w:val="0"/>
          <w:sz w:val="24"/>
          <w:szCs w:val="24"/>
          <w:u w:val="single"/>
        </w:rPr>
        <w:t xml:space="preserve">                                            </w:t>
      </w:r>
    </w:p>
    <w:p w14:paraId="609FAD6B">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兹证明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同志在我单位任</w:t>
      </w:r>
      <w:r>
        <w:rPr>
          <w:rFonts w:hint="eastAsia" w:ascii="宋体" w:hAnsi="宋体" w:cs="宋体"/>
          <w:color w:val="auto"/>
          <w:kern w:val="0"/>
          <w:sz w:val="24"/>
          <w:szCs w:val="24"/>
          <w:u w:val="single"/>
        </w:rPr>
        <w:t>（职务）</w:t>
      </w:r>
      <w:r>
        <w:rPr>
          <w:rFonts w:hint="eastAsia" w:ascii="宋体" w:hAnsi="宋体" w:cs="宋体"/>
          <w:color w:val="auto"/>
          <w:kern w:val="0"/>
          <w:sz w:val="24"/>
          <w:szCs w:val="24"/>
        </w:rPr>
        <w:t>，是我单位的法定代表人。</w:t>
      </w:r>
    </w:p>
    <w:p w14:paraId="35E2111D">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rPr>
      </w:pPr>
      <w:r>
        <w:rPr>
          <w:rFonts w:hint="eastAsia" w:ascii="宋体" w:hAnsi="宋体" w:cs="宋体"/>
          <w:color w:val="auto"/>
          <w:kern w:val="0"/>
          <w:sz w:val="24"/>
          <w:szCs w:val="24"/>
        </w:rPr>
        <w:t>附法定代表人基本情况：</w:t>
      </w:r>
    </w:p>
    <w:p w14:paraId="625728BC">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姓名</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性别</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年龄</w:t>
      </w:r>
      <w:r>
        <w:rPr>
          <w:rFonts w:hint="eastAsia" w:ascii="宋体" w:hAnsi="宋体" w:cs="宋体"/>
          <w:color w:val="auto"/>
          <w:kern w:val="0"/>
          <w:sz w:val="24"/>
          <w:szCs w:val="24"/>
          <w:u w:val="single"/>
        </w:rPr>
        <w:t xml:space="preserve">     </w:t>
      </w:r>
    </w:p>
    <w:p w14:paraId="6D06F3E7">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p>
    <w:p w14:paraId="53F5A2BD">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通讯地址：</w:t>
      </w:r>
      <w:r>
        <w:rPr>
          <w:rFonts w:hint="eastAsia" w:ascii="宋体" w:hAnsi="宋体" w:cs="宋体"/>
          <w:color w:val="auto"/>
          <w:kern w:val="0"/>
          <w:sz w:val="24"/>
          <w:szCs w:val="24"/>
          <w:u w:val="single"/>
        </w:rPr>
        <w:t xml:space="preserve">                  </w:t>
      </w:r>
    </w:p>
    <w:p w14:paraId="396239A3">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hAnsi="宋体" w:cs="宋体"/>
          <w:color w:val="auto"/>
          <w:kern w:val="0"/>
          <w:sz w:val="24"/>
          <w:szCs w:val="24"/>
          <w:u w:val="single"/>
        </w:rPr>
      </w:pPr>
      <w:r>
        <w:rPr>
          <w:rFonts w:hint="eastAsia" w:ascii="宋体" w:hAnsi="宋体" w:cs="宋体"/>
          <w:color w:val="auto"/>
          <w:kern w:val="0"/>
          <w:sz w:val="24"/>
          <w:szCs w:val="24"/>
        </w:rPr>
        <w:t>电话号码：</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邮编：</w:t>
      </w:r>
      <w:r>
        <w:rPr>
          <w:rFonts w:hint="eastAsia" w:ascii="宋体" w:hAnsi="宋体" w:cs="宋体"/>
          <w:color w:val="auto"/>
          <w:kern w:val="0"/>
          <w:sz w:val="24"/>
          <w:szCs w:val="24"/>
          <w:u w:val="single"/>
        </w:rPr>
        <w:t xml:space="preserve">           </w:t>
      </w:r>
    </w:p>
    <w:p w14:paraId="34F95A2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E7BAFC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4DA0C2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6F76E1E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37C1F83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6AD7B017">
      <w:pPr>
        <w:keepLines w:val="0"/>
        <w:pageBreakBefore w:val="0"/>
        <w:kinsoku/>
        <w:wordWrap/>
        <w:overflowPunct/>
        <w:topLinePunct w:val="0"/>
        <w:autoSpaceDE w:val="0"/>
        <w:autoSpaceDN w:val="0"/>
        <w:bidi w:val="0"/>
        <w:adjustRightInd w:val="0"/>
        <w:spacing w:line="360" w:lineRule="auto"/>
        <w:ind w:firstLine="361" w:firstLineChars="150"/>
        <w:jc w:val="left"/>
        <w:rPr>
          <w:rFonts w:ascii="宋体" w:hAnsi="宋体" w:cs="宋体"/>
          <w:b/>
          <w:color w:val="auto"/>
          <w:kern w:val="0"/>
          <w:sz w:val="24"/>
          <w:szCs w:val="24"/>
        </w:rPr>
      </w:pPr>
      <w:r>
        <w:rPr>
          <w:rFonts w:hint="eastAsia" w:ascii="宋体" w:hAnsi="宋体" w:cs="宋体"/>
          <w:b/>
          <w:color w:val="auto"/>
          <w:kern w:val="0"/>
          <w:sz w:val="24"/>
          <w:szCs w:val="24"/>
        </w:rPr>
        <w:t>附：法定代表人《居民身份证》复印件正反面</w:t>
      </w:r>
    </w:p>
    <w:p w14:paraId="2645855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FE98D5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8D454A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0B78224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23E749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9612DE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75E5AC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4EBD48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964B16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9D2555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5ADADC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45BCAF5">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50294356">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、法定代表人授权委托书</w:t>
      </w:r>
    </w:p>
    <w:p w14:paraId="32775974">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本授权书声明：注册于</w:t>
      </w:r>
      <w:r>
        <w:rPr>
          <w:rFonts w:hint="eastAsia" w:ascii="宋体" w:hAnsi="宋体" w:cs="宋体"/>
          <w:color w:val="auto"/>
          <w:kern w:val="0"/>
          <w:sz w:val="24"/>
          <w:szCs w:val="24"/>
          <w:u w:val="single"/>
        </w:rPr>
        <w:t>（地区的名称）</w:t>
      </w:r>
      <w:r>
        <w:rPr>
          <w:rFonts w:hint="eastAsia" w:ascii="宋体" w:hAnsi="宋体" w:cs="宋体"/>
          <w:color w:val="auto"/>
          <w:kern w:val="0"/>
          <w:sz w:val="24"/>
          <w:szCs w:val="24"/>
        </w:rPr>
        <w:t>的</w:t>
      </w:r>
      <w:r>
        <w:rPr>
          <w:rFonts w:hint="eastAsia" w:ascii="宋体" w:hAnsi="宋体" w:cs="宋体"/>
          <w:color w:val="auto"/>
          <w:kern w:val="0"/>
          <w:sz w:val="24"/>
          <w:szCs w:val="24"/>
          <w:u w:val="single"/>
        </w:rPr>
        <w:t>（公司名称）</w:t>
      </w:r>
      <w:r>
        <w:rPr>
          <w:rFonts w:hint="eastAsia" w:ascii="宋体" w:hAnsi="宋体" w:cs="宋体"/>
          <w:color w:val="auto"/>
          <w:kern w:val="0"/>
          <w:sz w:val="24"/>
          <w:szCs w:val="24"/>
        </w:rPr>
        <w:t>，在下面盖章的法定代表人</w:t>
      </w:r>
      <w:r>
        <w:rPr>
          <w:rFonts w:hint="eastAsia" w:ascii="宋体" w:hAnsi="宋体" w:cs="宋体"/>
          <w:color w:val="auto"/>
          <w:kern w:val="0"/>
          <w:sz w:val="24"/>
          <w:szCs w:val="24"/>
          <w:u w:val="single"/>
        </w:rPr>
        <w:t>（姓名、职务）</w:t>
      </w:r>
      <w:r>
        <w:rPr>
          <w:rFonts w:hint="eastAsia" w:ascii="宋体" w:hAnsi="宋体" w:cs="宋体"/>
          <w:color w:val="auto"/>
          <w:kern w:val="0"/>
          <w:sz w:val="24"/>
          <w:szCs w:val="24"/>
        </w:rPr>
        <w:t>，代表本公司委托在下面签字的</w:t>
      </w:r>
      <w:r>
        <w:rPr>
          <w:rFonts w:hint="eastAsia" w:ascii="宋体" w:hAnsi="宋体" w:cs="宋体"/>
          <w:color w:val="auto"/>
          <w:kern w:val="0"/>
          <w:sz w:val="24"/>
          <w:szCs w:val="24"/>
          <w:u w:val="single"/>
        </w:rPr>
        <w:t>（被授权人的姓名、职务）</w:t>
      </w:r>
      <w:r>
        <w:rPr>
          <w:rFonts w:hint="eastAsia" w:ascii="宋体" w:hAnsi="宋体" w:cs="宋体"/>
          <w:color w:val="auto"/>
          <w:kern w:val="0"/>
          <w:sz w:val="24"/>
          <w:szCs w:val="24"/>
        </w:rPr>
        <w:t>为本公司的合法代理人，就</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rPr>
        <w:t>的投标，以本公司的名义处理一切与之有关的事务。</w:t>
      </w:r>
    </w:p>
    <w:p w14:paraId="413898D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本授权书于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rPr>
        <w:t>日签字生效，代理人无转委托权，特此声明。</w:t>
      </w:r>
    </w:p>
    <w:p w14:paraId="4FCC0DA8">
      <w:pPr>
        <w:keepLines w:val="0"/>
        <w:pageBreakBefore w:val="0"/>
        <w:kinsoku/>
        <w:wordWrap/>
        <w:overflowPunct/>
        <w:topLinePunct w:val="0"/>
        <w:autoSpaceDE w:val="0"/>
        <w:autoSpaceDN w:val="0"/>
        <w:bidi w:val="0"/>
        <w:adjustRightInd w:val="0"/>
        <w:spacing w:line="360" w:lineRule="auto"/>
        <w:jc w:val="left"/>
        <w:rPr>
          <w:rFonts w:ascii="宋体" w:hAnsi="宋体" w:cs="宋体"/>
          <w:b/>
          <w:bCs/>
          <w:color w:val="auto"/>
          <w:kern w:val="0"/>
          <w:sz w:val="24"/>
          <w:szCs w:val="24"/>
        </w:rPr>
      </w:pPr>
      <w:r>
        <w:rPr>
          <w:rFonts w:hint="eastAsia" w:ascii="宋体" w:hAnsi="宋体" w:cs="宋体"/>
          <w:b/>
          <w:bCs/>
          <w:color w:val="auto"/>
          <w:kern w:val="0"/>
          <w:sz w:val="24"/>
          <w:szCs w:val="24"/>
        </w:rPr>
        <w:t>附：委托代理人的身份证复印件正反面</w:t>
      </w:r>
    </w:p>
    <w:p w14:paraId="23ADB9A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FCF758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EAEF2F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F34FFC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A53D72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18D48C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947C63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4A9B60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1249B66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3E01370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p>
    <w:p w14:paraId="67AB182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委托代理人签字：</w:t>
      </w:r>
      <w:r>
        <w:rPr>
          <w:rFonts w:hint="eastAsia" w:ascii="宋体" w:hAnsi="宋体" w:cs="宋体"/>
          <w:color w:val="auto"/>
          <w:kern w:val="0"/>
          <w:sz w:val="24"/>
          <w:szCs w:val="24"/>
          <w:u w:val="single"/>
        </w:rPr>
        <w:t xml:space="preserve">             </w:t>
      </w:r>
    </w:p>
    <w:p w14:paraId="75583EB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身份证号码：</w:t>
      </w:r>
      <w:r>
        <w:rPr>
          <w:rFonts w:hint="eastAsia" w:ascii="宋体" w:hAnsi="宋体" w:cs="宋体"/>
          <w:color w:val="auto"/>
          <w:kern w:val="0"/>
          <w:sz w:val="24"/>
          <w:szCs w:val="24"/>
          <w:u w:val="single"/>
        </w:rPr>
        <w:t xml:space="preserve">                 </w:t>
      </w:r>
    </w:p>
    <w:p w14:paraId="417FBE5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授权日期：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13375AC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FD6831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AEEEA3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B5E8D4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7F45547">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28550FEE">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hint="eastAsia" w:cs="仿宋" w:asciiTheme="minorEastAsia" w:hAnsiTheme="minorEastAsia"/>
          <w:b/>
          <w:color w:val="auto"/>
          <w:sz w:val="24"/>
          <w:szCs w:val="24"/>
        </w:rPr>
        <w:t>（3）</w:t>
      </w:r>
      <w:r>
        <w:rPr>
          <w:rFonts w:hint="eastAsia" w:ascii="宋体" w:hAnsi="宋体" w:cs="宋体"/>
          <w:b/>
          <w:color w:val="auto"/>
          <w:kern w:val="0"/>
          <w:sz w:val="24"/>
          <w:szCs w:val="24"/>
        </w:rPr>
        <w:t>磋商保证金提交证明</w:t>
      </w:r>
    </w:p>
    <w:p w14:paraId="62CE1E9C">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p w14:paraId="2B664E90">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32BC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jc w:val="center"/>
        </w:trPr>
        <w:tc>
          <w:tcPr>
            <w:tcW w:w="9288" w:type="dxa"/>
            <w:vAlign w:val="center"/>
          </w:tcPr>
          <w:p w14:paraId="1C57C58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bookmarkStart w:id="102" w:name="OLE_LINK1"/>
            <w:bookmarkStart w:id="103" w:name="OLE_LINK2"/>
            <w:r>
              <w:rPr>
                <w:rFonts w:hint="eastAsia" w:ascii="宋体" w:hAnsi="宋体" w:cs="宋体"/>
                <w:color w:val="auto"/>
                <w:kern w:val="0"/>
                <w:sz w:val="24"/>
                <w:szCs w:val="24"/>
              </w:rPr>
              <w:t>磋商保证金缴纳凭证</w:t>
            </w:r>
            <w:bookmarkEnd w:id="102"/>
            <w:bookmarkEnd w:id="103"/>
          </w:p>
        </w:tc>
      </w:tr>
    </w:tbl>
    <w:p w14:paraId="262123F1">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p>
    <w:p w14:paraId="1A8CA0C2">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（供应商须将磋商保证金凭证复印件附在此处。）</w:t>
      </w:r>
    </w:p>
    <w:p w14:paraId="57538278">
      <w:pPr>
        <w:keepLines w:val="0"/>
        <w:pageBreakBefore w:val="0"/>
        <w:kinsoku/>
        <w:wordWrap/>
        <w:overflowPunct/>
        <w:topLinePunct w:val="0"/>
        <w:bidi w:val="0"/>
        <w:spacing w:line="360" w:lineRule="auto"/>
        <w:jc w:val="center"/>
        <w:rPr>
          <w:rFonts w:ascii="宋体" w:hAnsi="宋体" w:cs="宋体"/>
          <w:b/>
          <w:color w:val="auto"/>
          <w:kern w:val="0"/>
          <w:sz w:val="24"/>
          <w:szCs w:val="24"/>
        </w:rPr>
      </w:pPr>
    </w:p>
    <w:p w14:paraId="329991B8">
      <w:pPr>
        <w:keepLines w:val="0"/>
        <w:pageBreakBefore w:val="0"/>
        <w:kinsoku/>
        <w:wordWrap/>
        <w:overflowPunct/>
        <w:topLinePunct w:val="0"/>
        <w:bidi w:val="0"/>
        <w:spacing w:line="360" w:lineRule="auto"/>
        <w:jc w:val="center"/>
        <w:rPr>
          <w:rFonts w:ascii="宋体" w:hAnsi="宋体" w:cs="宋体"/>
          <w:b/>
          <w:color w:val="auto"/>
          <w:kern w:val="0"/>
          <w:sz w:val="24"/>
          <w:szCs w:val="24"/>
        </w:rPr>
      </w:pPr>
    </w:p>
    <w:p w14:paraId="2E1499BD">
      <w:pPr>
        <w:keepLines w:val="0"/>
        <w:pageBreakBefore w:val="0"/>
        <w:kinsoku/>
        <w:wordWrap/>
        <w:overflowPunct/>
        <w:topLinePunct w:val="0"/>
        <w:bidi w:val="0"/>
        <w:spacing w:line="360" w:lineRule="auto"/>
        <w:jc w:val="center"/>
        <w:rPr>
          <w:rFonts w:ascii="宋体" w:hAnsi="宋体" w:cs="宋体"/>
          <w:b/>
          <w:color w:val="auto"/>
          <w:kern w:val="0"/>
          <w:sz w:val="24"/>
          <w:szCs w:val="24"/>
        </w:rPr>
      </w:pPr>
    </w:p>
    <w:p w14:paraId="0C8EC814">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3494F1FC">
      <w:pPr>
        <w:keepLines w:val="0"/>
        <w:pageBreakBefore w:val="0"/>
        <w:kinsoku/>
        <w:wordWrap/>
        <w:overflowPunct/>
        <w:topLinePunct w:val="0"/>
        <w:autoSpaceDE w:val="0"/>
        <w:autoSpaceDN w:val="0"/>
        <w:bidi w:val="0"/>
        <w:adjustRightInd w:val="0"/>
        <w:spacing w:line="360" w:lineRule="auto"/>
        <w:jc w:val="center"/>
        <w:rPr>
          <w:rFonts w:hint="eastAsia" w:ascii="宋体" w:hAnsi="宋体" w:cs="宋体" w:eastAsiaTheme="minorEastAsia"/>
          <w:b/>
          <w:color w:val="auto"/>
          <w:kern w:val="0"/>
          <w:sz w:val="24"/>
          <w:szCs w:val="24"/>
          <w:lang w:eastAsia="zh-CN"/>
        </w:rPr>
      </w:pPr>
      <w:r>
        <w:rPr>
          <w:rFonts w:hint="eastAsia" w:ascii="宋体" w:hAnsi="宋体" w:cs="宋体"/>
          <w:b/>
          <w:color w:val="auto"/>
          <w:kern w:val="0"/>
          <w:sz w:val="24"/>
          <w:szCs w:val="24"/>
        </w:rPr>
        <w:t>（</w:t>
      </w:r>
      <w:r>
        <w:rPr>
          <w:rFonts w:hint="eastAsia" w:ascii="宋体" w:hAnsi="宋体" w:cs="宋体"/>
          <w:b/>
          <w:color w:val="auto"/>
          <w:kern w:val="0"/>
          <w:sz w:val="24"/>
          <w:szCs w:val="24"/>
          <w:lang w:val="en-US" w:eastAsia="zh-CN"/>
        </w:rPr>
        <w:t>4</w:t>
      </w:r>
      <w:r>
        <w:rPr>
          <w:rFonts w:hint="eastAsia" w:ascii="宋体" w:hAnsi="宋体" w:cs="宋体"/>
          <w:b/>
          <w:color w:val="auto"/>
          <w:kern w:val="0"/>
          <w:sz w:val="24"/>
          <w:szCs w:val="24"/>
        </w:rPr>
        <w:t>）中小微企业证明文件；</w:t>
      </w:r>
      <w:r>
        <w:rPr>
          <w:rFonts w:hint="eastAsia" w:ascii="宋体" w:hAnsi="宋体" w:cs="宋体"/>
          <w:b/>
          <w:color w:val="auto"/>
          <w:kern w:val="0"/>
          <w:sz w:val="24"/>
          <w:szCs w:val="24"/>
          <w:lang w:eastAsia="zh-CN"/>
        </w:rPr>
        <w:t>（如有）</w:t>
      </w:r>
    </w:p>
    <w:p w14:paraId="225DB872">
      <w:pPr>
        <w:keepLines w:val="0"/>
        <w:pageBreakBefore w:val="0"/>
        <w:kinsoku/>
        <w:wordWrap/>
        <w:overflowPunct/>
        <w:topLinePunct w:val="0"/>
        <w:autoSpaceDE w:val="0"/>
        <w:autoSpaceDN w:val="0"/>
        <w:bidi w:val="0"/>
        <w:adjustRightInd w:val="0"/>
        <w:spacing w:line="360" w:lineRule="auto"/>
        <w:jc w:val="center"/>
        <w:outlineLvl w:val="2"/>
        <w:rPr>
          <w:rFonts w:asciiTheme="minorEastAsia" w:hAnsiTheme="minorEastAsia"/>
          <w:color w:val="auto"/>
          <w:kern w:val="0"/>
          <w:sz w:val="24"/>
          <w:szCs w:val="24"/>
        </w:rPr>
      </w:pPr>
      <w:bookmarkStart w:id="104" w:name="_Toc6608"/>
      <w:bookmarkStart w:id="105" w:name="_Toc32444"/>
      <w:r>
        <w:rPr>
          <w:rFonts w:hint="eastAsia" w:ascii="宋体" w:hAnsi="宋体" w:cs="宋体"/>
          <w:color w:val="auto"/>
          <w:kern w:val="0"/>
          <w:sz w:val="24"/>
          <w:szCs w:val="24"/>
          <w:lang w:val="en-US" w:eastAsia="zh-CN"/>
        </w:rPr>
        <w:t>4</w:t>
      </w:r>
      <w:r>
        <w:rPr>
          <w:rFonts w:ascii="宋体" w:hAnsi="宋体" w:cs="宋体"/>
          <w:color w:val="auto"/>
          <w:kern w:val="0"/>
          <w:sz w:val="24"/>
          <w:szCs w:val="24"/>
        </w:rPr>
        <w:t xml:space="preserve">-1 </w:t>
      </w:r>
      <w:r>
        <w:rPr>
          <w:rFonts w:hint="eastAsia" w:asciiTheme="minorEastAsia" w:hAnsiTheme="minorEastAsia"/>
          <w:color w:val="auto"/>
          <w:kern w:val="0"/>
          <w:sz w:val="24"/>
          <w:szCs w:val="24"/>
        </w:rPr>
        <w:t>中小企业声明函</w:t>
      </w:r>
      <w:r>
        <w:rPr>
          <w:rFonts w:asciiTheme="minorEastAsia" w:hAnsiTheme="minorEastAsia"/>
          <w:color w:val="auto"/>
          <w:kern w:val="0"/>
          <w:sz w:val="24"/>
          <w:szCs w:val="24"/>
        </w:rPr>
        <w:t>（服务）</w:t>
      </w:r>
      <w:bookmarkEnd w:id="104"/>
      <w:bookmarkEnd w:id="105"/>
    </w:p>
    <w:p w14:paraId="79010002">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 xml:space="preserve">    </w:t>
      </w:r>
      <w:r>
        <w:rPr>
          <w:rFonts w:asciiTheme="minorEastAsia" w:hAnsiTheme="minorEastAsia"/>
          <w:color w:val="auto"/>
          <w:kern w:val="0"/>
          <w:sz w:val="24"/>
          <w:szCs w:val="24"/>
        </w:rPr>
        <w:t>本公司</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郑重声明，根据《政府采购促进中小企业发展管理办法》（财库</w:t>
      </w:r>
      <w:r>
        <w:rPr>
          <w:rFonts w:hint="eastAsia" w:asciiTheme="minorEastAsia" w:hAnsiTheme="minorEastAsia"/>
          <w:color w:val="auto"/>
          <w:kern w:val="0"/>
          <w:sz w:val="24"/>
          <w:szCs w:val="24"/>
        </w:rPr>
        <w:t>﹝</w:t>
      </w:r>
      <w:r>
        <w:rPr>
          <w:rFonts w:asciiTheme="minorEastAsia" w:hAnsiTheme="minorEastAsia"/>
          <w:color w:val="auto"/>
          <w:kern w:val="0"/>
          <w:sz w:val="24"/>
          <w:szCs w:val="24"/>
        </w:rPr>
        <w:t>2020</w:t>
      </w:r>
      <w:r>
        <w:rPr>
          <w:rFonts w:hint="eastAsia" w:asciiTheme="minorEastAsia" w:hAnsiTheme="minorEastAsia"/>
          <w:color w:val="auto"/>
          <w:kern w:val="0"/>
          <w:sz w:val="24"/>
          <w:szCs w:val="24"/>
        </w:rPr>
        <w:t>﹞</w:t>
      </w:r>
      <w:r>
        <w:rPr>
          <w:rFonts w:asciiTheme="minorEastAsia" w:hAnsiTheme="minorEastAsia"/>
          <w:color w:val="auto"/>
          <w:kern w:val="0"/>
          <w:sz w:val="24"/>
          <w:szCs w:val="24"/>
        </w:rPr>
        <w:t>46 号）的规定，本公司</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参加</w:t>
      </w:r>
      <w:r>
        <w:rPr>
          <w:rFonts w:asciiTheme="minorEastAsia" w:hAnsiTheme="minorEastAsia"/>
          <w:color w:val="auto"/>
          <w:kern w:val="0"/>
          <w:sz w:val="24"/>
          <w:szCs w:val="24"/>
          <w:u w:val="single"/>
        </w:rPr>
        <w:t>（单位名称）</w:t>
      </w:r>
      <w:r>
        <w:rPr>
          <w:rFonts w:asciiTheme="minorEastAsia" w:hAnsiTheme="minorEastAsia"/>
          <w:color w:val="auto"/>
          <w:kern w:val="0"/>
          <w:sz w:val="24"/>
          <w:szCs w:val="24"/>
        </w:rPr>
        <w:t>的</w:t>
      </w:r>
      <w:r>
        <w:rPr>
          <w:rFonts w:asciiTheme="minorEastAsia" w:hAnsiTheme="minorEastAsia"/>
          <w:color w:val="auto"/>
          <w:kern w:val="0"/>
          <w:sz w:val="24"/>
          <w:szCs w:val="24"/>
          <w:u w:val="single"/>
        </w:rPr>
        <w:t>（</w:t>
      </w:r>
      <w:r>
        <w:rPr>
          <w:rFonts w:hint="eastAsia" w:ascii="宋体" w:hAnsi="宋体" w:cs="宋体"/>
          <w:color w:val="auto"/>
          <w:kern w:val="0"/>
          <w:sz w:val="24"/>
          <w:szCs w:val="24"/>
          <w:u w:val="single"/>
          <w:lang w:eastAsia="zh-CN"/>
        </w:rPr>
        <w:t>项目</w:t>
      </w:r>
      <w:r>
        <w:rPr>
          <w:rFonts w:asciiTheme="minorEastAsia" w:hAnsiTheme="minorEastAsia"/>
          <w:color w:val="auto"/>
          <w:kern w:val="0"/>
          <w:sz w:val="24"/>
          <w:szCs w:val="24"/>
          <w:u w:val="single"/>
        </w:rPr>
        <w:t>名称）</w:t>
      </w:r>
      <w:r>
        <w:rPr>
          <w:rFonts w:asciiTheme="minorEastAsia" w:hAnsiTheme="minorEastAsia"/>
          <w:color w:val="auto"/>
          <w:kern w:val="0"/>
          <w:sz w:val="24"/>
          <w:szCs w:val="24"/>
        </w:rPr>
        <w:t>采购活动，服务全部由符合政策要求的中小企业承接。相关企业（含联合体中的中小企业、签订分包意向协议的中小企业）的具体情况如下：</w:t>
      </w:r>
    </w:p>
    <w:p w14:paraId="660D687B">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1、</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hint="eastAsia" w:asciiTheme="minorEastAsia" w:hAnsiTheme="minorEastAsia"/>
          <w:color w:val="auto"/>
          <w:kern w:val="0"/>
          <w:sz w:val="24"/>
          <w:szCs w:val="24"/>
          <w:u w:val="single"/>
        </w:rPr>
        <w:t xml:space="preserve"> 其他未列明行业 </w:t>
      </w:r>
      <w:r>
        <w:rPr>
          <w:rFonts w:asciiTheme="minorEastAsia" w:hAnsiTheme="minorEastAsia"/>
          <w:color w:val="auto"/>
          <w:kern w:val="0"/>
          <w:sz w:val="24"/>
          <w:szCs w:val="24"/>
        </w:rPr>
        <w:t>；承接企业为</w:t>
      </w:r>
      <w:r>
        <w:rPr>
          <w:rFonts w:asciiTheme="minorEastAsia" w:hAnsiTheme="minorEastAsia"/>
          <w:color w:val="auto"/>
          <w:kern w:val="0"/>
          <w:sz w:val="24"/>
          <w:szCs w:val="24"/>
          <w:u w:val="single"/>
        </w:rPr>
        <w:t>（企业名称）</w:t>
      </w:r>
      <w:r>
        <w:rPr>
          <w:rFonts w:asciiTheme="minorEastAsia" w:hAnsiTheme="minorEastAsia"/>
          <w:color w:val="auto"/>
          <w:kern w:val="0"/>
          <w:sz w:val="24"/>
          <w:szCs w:val="24"/>
        </w:rPr>
        <w:t>，从业人员</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人，营业收入为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万元，资产总额为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万元，属于</w:t>
      </w:r>
      <w:r>
        <w:rPr>
          <w:rFonts w:asciiTheme="minorEastAsia" w:hAnsiTheme="minorEastAsia"/>
          <w:color w:val="auto"/>
          <w:kern w:val="0"/>
          <w:sz w:val="24"/>
          <w:szCs w:val="24"/>
          <w:u w:val="single"/>
        </w:rPr>
        <w:t>（中型企业、小型企业、微型企业）</w:t>
      </w:r>
      <w:r>
        <w:rPr>
          <w:rFonts w:asciiTheme="minorEastAsia" w:hAnsiTheme="minorEastAsia"/>
          <w:color w:val="auto"/>
          <w:kern w:val="0"/>
          <w:sz w:val="24"/>
          <w:szCs w:val="24"/>
        </w:rPr>
        <w:t>；</w:t>
      </w:r>
    </w:p>
    <w:p w14:paraId="572E03E1">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2、</w:t>
      </w:r>
      <w:r>
        <w:rPr>
          <w:rFonts w:asciiTheme="minorEastAsia" w:hAnsiTheme="minorEastAsia"/>
          <w:color w:val="auto"/>
          <w:kern w:val="0"/>
          <w:sz w:val="24"/>
          <w:szCs w:val="24"/>
          <w:u w:val="single"/>
        </w:rPr>
        <w:t>（标的名称）</w:t>
      </w:r>
      <w:r>
        <w:rPr>
          <w:rFonts w:asciiTheme="minorEastAsia" w:hAnsiTheme="minorEastAsia"/>
          <w:color w:val="auto"/>
          <w:kern w:val="0"/>
          <w:sz w:val="24"/>
          <w:szCs w:val="24"/>
        </w:rPr>
        <w:t>，属于</w:t>
      </w:r>
      <w:r>
        <w:rPr>
          <w:rFonts w:hint="eastAsia" w:asciiTheme="minorEastAsia" w:hAnsiTheme="minorEastAsia"/>
          <w:color w:val="auto"/>
          <w:kern w:val="0"/>
          <w:sz w:val="24"/>
          <w:szCs w:val="24"/>
          <w:u w:val="single"/>
        </w:rPr>
        <w:t xml:space="preserve"> 其他未列明行业 </w:t>
      </w:r>
      <w:r>
        <w:rPr>
          <w:rFonts w:asciiTheme="minorEastAsia" w:hAnsiTheme="minorEastAsia"/>
          <w:color w:val="auto"/>
          <w:kern w:val="0"/>
          <w:sz w:val="24"/>
          <w:szCs w:val="24"/>
        </w:rPr>
        <w:t>；承接企业为</w:t>
      </w:r>
      <w:r>
        <w:rPr>
          <w:rFonts w:asciiTheme="minorEastAsia" w:hAnsiTheme="minorEastAsia"/>
          <w:color w:val="auto"/>
          <w:kern w:val="0"/>
          <w:sz w:val="24"/>
          <w:szCs w:val="24"/>
          <w:u w:val="single"/>
        </w:rPr>
        <w:t>（企业名称）</w:t>
      </w:r>
      <w:r>
        <w:rPr>
          <w:rFonts w:asciiTheme="minorEastAsia" w:hAnsiTheme="minorEastAsia"/>
          <w:color w:val="auto"/>
          <w:kern w:val="0"/>
          <w:sz w:val="24"/>
          <w:szCs w:val="24"/>
        </w:rPr>
        <w:t>，从业人员</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人，营业收入为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万元，资产总额为</w:t>
      </w:r>
      <w:r>
        <w:rPr>
          <w:rFonts w:hint="eastAsia" w:asciiTheme="minorEastAsia" w:hAnsiTheme="minorEastAsia"/>
          <w:color w:val="auto"/>
          <w:kern w:val="0"/>
          <w:sz w:val="24"/>
          <w:szCs w:val="24"/>
          <w:u w:val="single"/>
        </w:rPr>
        <w:t xml:space="preserve">   </w:t>
      </w:r>
      <w:r>
        <w:rPr>
          <w:rFonts w:asciiTheme="minorEastAsia" w:hAnsiTheme="minorEastAsia"/>
          <w:color w:val="auto"/>
          <w:kern w:val="0"/>
          <w:sz w:val="24"/>
          <w:szCs w:val="24"/>
        </w:rPr>
        <w:t>万元，属于</w:t>
      </w:r>
      <w:r>
        <w:rPr>
          <w:rFonts w:asciiTheme="minorEastAsia" w:hAnsiTheme="minorEastAsia"/>
          <w:color w:val="auto"/>
          <w:kern w:val="0"/>
          <w:sz w:val="24"/>
          <w:szCs w:val="24"/>
          <w:u w:val="single"/>
        </w:rPr>
        <w:t>（中型企业、小型企业、微型企业）</w:t>
      </w:r>
      <w:r>
        <w:rPr>
          <w:rFonts w:asciiTheme="minorEastAsia" w:hAnsiTheme="minorEastAsia"/>
          <w:color w:val="auto"/>
          <w:kern w:val="0"/>
          <w:sz w:val="24"/>
          <w:szCs w:val="24"/>
        </w:rPr>
        <w:t>；……</w:t>
      </w:r>
    </w:p>
    <w:p w14:paraId="53E28301">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 xml:space="preserve">    </w:t>
      </w:r>
      <w:r>
        <w:rPr>
          <w:rFonts w:asciiTheme="minorEastAsia" w:hAnsiTheme="minorEastAsia"/>
          <w:color w:val="auto"/>
          <w:kern w:val="0"/>
          <w:sz w:val="24"/>
          <w:szCs w:val="24"/>
        </w:rPr>
        <w:t>以上企业，不属于大企业的分支机构，不存在控股股东为大企业的情形，也不存在与大企业的负责人为同一人的情形。</w:t>
      </w:r>
    </w:p>
    <w:p w14:paraId="5691435E">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 xml:space="preserve">    </w:t>
      </w:r>
      <w:r>
        <w:rPr>
          <w:rFonts w:asciiTheme="minorEastAsia" w:hAnsiTheme="minorEastAsia"/>
          <w:color w:val="auto"/>
          <w:kern w:val="0"/>
          <w:sz w:val="24"/>
          <w:szCs w:val="24"/>
        </w:rPr>
        <w:t>本企业对上述声明内容的真实性负责。如有虚假，将依法承担相应责任。</w:t>
      </w:r>
    </w:p>
    <w:p w14:paraId="7C5B64B5">
      <w:pPr>
        <w:keepLines w:val="0"/>
        <w:pageBreakBefore w:val="0"/>
        <w:kinsoku/>
        <w:wordWrap/>
        <w:overflowPunct/>
        <w:topLinePunct w:val="0"/>
        <w:bidi w:val="0"/>
        <w:spacing w:line="360" w:lineRule="auto"/>
        <w:rPr>
          <w:rFonts w:asciiTheme="minorEastAsia" w:hAnsiTheme="minorEastAsia"/>
          <w:color w:val="auto"/>
          <w:kern w:val="0"/>
          <w:sz w:val="24"/>
          <w:szCs w:val="24"/>
        </w:rPr>
      </w:pPr>
    </w:p>
    <w:p w14:paraId="4B513576">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hint="eastAsia" w:asciiTheme="minorEastAsia" w:hAnsiTheme="minorEastAsia"/>
          <w:color w:val="auto"/>
          <w:kern w:val="0"/>
          <w:sz w:val="24"/>
          <w:szCs w:val="24"/>
        </w:rPr>
        <w:t>供应商</w:t>
      </w:r>
      <w:r>
        <w:rPr>
          <w:rFonts w:asciiTheme="minorEastAsia" w:hAnsiTheme="minorEastAsia"/>
          <w:color w:val="auto"/>
          <w:kern w:val="0"/>
          <w:sz w:val="24"/>
          <w:szCs w:val="24"/>
        </w:rPr>
        <w:t>（盖章）：</w:t>
      </w:r>
    </w:p>
    <w:p w14:paraId="6D4EEA1A">
      <w:pPr>
        <w:keepLines w:val="0"/>
        <w:pageBreakBefore w:val="0"/>
        <w:kinsoku/>
        <w:wordWrap/>
        <w:overflowPunct/>
        <w:topLinePunct w:val="0"/>
        <w:bidi w:val="0"/>
        <w:spacing w:line="360" w:lineRule="auto"/>
        <w:rPr>
          <w:rFonts w:asciiTheme="minorEastAsia" w:hAnsiTheme="minorEastAsia"/>
          <w:color w:val="auto"/>
          <w:kern w:val="0"/>
          <w:sz w:val="24"/>
          <w:szCs w:val="24"/>
        </w:rPr>
      </w:pPr>
    </w:p>
    <w:p w14:paraId="573D6501">
      <w:pPr>
        <w:keepLines w:val="0"/>
        <w:pageBreakBefore w:val="0"/>
        <w:kinsoku/>
        <w:wordWrap/>
        <w:overflowPunct/>
        <w:topLinePunct w:val="0"/>
        <w:bidi w:val="0"/>
        <w:spacing w:line="360" w:lineRule="auto"/>
        <w:rPr>
          <w:rFonts w:asciiTheme="minorEastAsia" w:hAnsiTheme="minorEastAsia"/>
          <w:color w:val="auto"/>
          <w:kern w:val="0"/>
          <w:sz w:val="24"/>
          <w:szCs w:val="24"/>
        </w:rPr>
      </w:pPr>
      <w:r>
        <w:rPr>
          <w:rFonts w:asciiTheme="minorEastAsia" w:hAnsiTheme="minorEastAsia"/>
          <w:color w:val="auto"/>
          <w:kern w:val="0"/>
          <w:sz w:val="24"/>
          <w:szCs w:val="24"/>
        </w:rPr>
        <w:t>日期：</w:t>
      </w:r>
    </w:p>
    <w:p w14:paraId="55B17AAC">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p>
    <w:p w14:paraId="7EDC280B">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p>
    <w:p w14:paraId="103A45D0">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r>
        <w:rPr>
          <w:rFonts w:hint="eastAsia" w:asciiTheme="minorEastAsia" w:hAnsiTheme="minorEastAsia"/>
          <w:color w:val="auto"/>
          <w:kern w:val="0"/>
          <w:sz w:val="24"/>
          <w:szCs w:val="24"/>
        </w:rPr>
        <w:t>说明：</w:t>
      </w:r>
    </w:p>
    <w:p w14:paraId="150B8AE1">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r>
        <w:rPr>
          <w:rFonts w:asciiTheme="minorEastAsia" w:hAnsiTheme="minorEastAsia"/>
          <w:color w:val="auto"/>
          <w:kern w:val="0"/>
          <w:sz w:val="24"/>
          <w:szCs w:val="24"/>
        </w:rPr>
        <w:t>1</w:t>
      </w:r>
      <w:r>
        <w:rPr>
          <w:rFonts w:hint="eastAsia" w:asciiTheme="minorEastAsia" w:hAnsiTheme="minorEastAsia"/>
          <w:color w:val="auto"/>
          <w:kern w:val="0"/>
          <w:sz w:val="24"/>
          <w:szCs w:val="24"/>
        </w:rPr>
        <w:t>、填写前请认真阅读《工业和信息化部、国家统计局、国家发展和改革委员会、财政部关于印发中小企业划型标准规定的通知》（工信部联企业</w:t>
      </w:r>
      <w:r>
        <w:rPr>
          <w:rFonts w:asciiTheme="minorEastAsia" w:hAnsiTheme="minorEastAsia"/>
          <w:color w:val="auto"/>
          <w:kern w:val="0"/>
          <w:sz w:val="24"/>
          <w:szCs w:val="24"/>
        </w:rPr>
        <w:t xml:space="preserve">[2011]300 </w:t>
      </w:r>
      <w:r>
        <w:rPr>
          <w:rFonts w:hint="eastAsia" w:asciiTheme="minorEastAsia" w:hAnsiTheme="minorEastAsia"/>
          <w:color w:val="auto"/>
          <w:kern w:val="0"/>
          <w:sz w:val="24"/>
          <w:szCs w:val="24"/>
        </w:rPr>
        <w:t>号）和《财政部工业和信息化部关于印发</w:t>
      </w:r>
      <w:r>
        <w:rPr>
          <w:rFonts w:asciiTheme="minorEastAsia" w:hAnsiTheme="minorEastAsia"/>
          <w:color w:val="auto"/>
          <w:kern w:val="0"/>
          <w:sz w:val="24"/>
          <w:szCs w:val="24"/>
        </w:rPr>
        <w:t>《政府采购促进中小企业发展管理办法》(</w:t>
      </w:r>
      <w:r>
        <w:rPr>
          <w:rFonts w:hint="eastAsia" w:asciiTheme="minorEastAsia" w:hAnsiTheme="minorEastAsia"/>
          <w:color w:val="auto"/>
          <w:kern w:val="0"/>
          <w:sz w:val="24"/>
          <w:szCs w:val="24"/>
        </w:rPr>
        <w:t>财库</w:t>
      </w:r>
      <w:r>
        <w:rPr>
          <w:rFonts w:asciiTheme="minorEastAsia" w:hAnsiTheme="minorEastAsia"/>
          <w:color w:val="auto"/>
          <w:kern w:val="0"/>
          <w:sz w:val="24"/>
          <w:szCs w:val="24"/>
        </w:rPr>
        <w:t>[20</w:t>
      </w:r>
      <w:r>
        <w:rPr>
          <w:rFonts w:hint="eastAsia" w:asciiTheme="minorEastAsia" w:hAnsiTheme="minorEastAsia"/>
          <w:color w:val="auto"/>
          <w:kern w:val="0"/>
          <w:sz w:val="24"/>
          <w:szCs w:val="24"/>
        </w:rPr>
        <w:t>20</w:t>
      </w:r>
      <w:r>
        <w:rPr>
          <w:rFonts w:asciiTheme="minorEastAsia" w:hAnsiTheme="minorEastAsia"/>
          <w:color w:val="auto"/>
          <w:kern w:val="0"/>
          <w:sz w:val="24"/>
          <w:szCs w:val="24"/>
        </w:rPr>
        <w:t>]</w:t>
      </w:r>
      <w:r>
        <w:rPr>
          <w:rFonts w:hint="eastAsia" w:asciiTheme="minorEastAsia" w:hAnsiTheme="minorEastAsia"/>
          <w:color w:val="auto"/>
          <w:kern w:val="0"/>
          <w:sz w:val="24"/>
          <w:szCs w:val="24"/>
        </w:rPr>
        <w:t>46号</w:t>
      </w:r>
      <w:r>
        <w:rPr>
          <w:rFonts w:asciiTheme="minorEastAsia" w:hAnsiTheme="minorEastAsia"/>
          <w:color w:val="auto"/>
          <w:kern w:val="0"/>
          <w:sz w:val="24"/>
          <w:szCs w:val="24"/>
        </w:rPr>
        <w:t>)</w:t>
      </w:r>
      <w:r>
        <w:rPr>
          <w:rFonts w:hint="eastAsia" w:asciiTheme="minorEastAsia" w:hAnsiTheme="minorEastAsia"/>
          <w:color w:val="auto"/>
          <w:kern w:val="0"/>
          <w:sz w:val="24"/>
          <w:szCs w:val="24"/>
        </w:rPr>
        <w:t>相关规定。</w:t>
      </w:r>
    </w:p>
    <w:p w14:paraId="74AC93F5">
      <w:pPr>
        <w:keepLines w:val="0"/>
        <w:pageBreakBefore w:val="0"/>
        <w:kinsoku/>
        <w:wordWrap/>
        <w:overflowPunct/>
        <w:topLinePunct w:val="0"/>
        <w:autoSpaceDE w:val="0"/>
        <w:autoSpaceDN w:val="0"/>
        <w:bidi w:val="0"/>
        <w:adjustRightInd w:val="0"/>
        <w:spacing w:line="360" w:lineRule="auto"/>
        <w:jc w:val="left"/>
        <w:rPr>
          <w:rFonts w:asciiTheme="minorEastAsia" w:hAnsiTheme="minorEastAsia"/>
          <w:color w:val="auto"/>
          <w:kern w:val="0"/>
          <w:sz w:val="24"/>
          <w:szCs w:val="24"/>
        </w:rPr>
      </w:pPr>
      <w:r>
        <w:rPr>
          <w:rFonts w:asciiTheme="minorEastAsia" w:hAnsiTheme="minorEastAsia"/>
          <w:color w:val="auto"/>
          <w:kern w:val="0"/>
          <w:sz w:val="24"/>
          <w:szCs w:val="24"/>
        </w:rPr>
        <w:t>2</w:t>
      </w:r>
      <w:r>
        <w:rPr>
          <w:rFonts w:hint="eastAsia" w:asciiTheme="minorEastAsia" w:hAnsiTheme="minorEastAsia"/>
          <w:color w:val="auto"/>
          <w:kern w:val="0"/>
          <w:sz w:val="24"/>
          <w:szCs w:val="24"/>
        </w:rPr>
        <w:t>、从业人员、营业收入、资产总额填报上一年度数据，无上一年度数据的新成立企业可不填报。</w:t>
      </w:r>
    </w:p>
    <w:p w14:paraId="09F21B0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9ED5D62">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7CF02CD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lang w:val="en-US" w:eastAsia="zh-CN"/>
        </w:rPr>
        <w:t>4</w:t>
      </w:r>
      <w:r>
        <w:rPr>
          <w:rFonts w:ascii="宋体" w:hAnsi="宋体" w:cs="宋体"/>
          <w:color w:val="auto"/>
          <w:kern w:val="0"/>
          <w:sz w:val="24"/>
          <w:szCs w:val="24"/>
        </w:rPr>
        <w:t xml:space="preserve">-2 </w:t>
      </w:r>
      <w:r>
        <w:rPr>
          <w:rFonts w:hint="eastAsia" w:ascii="宋体" w:hAnsi="宋体" w:cs="宋体"/>
          <w:color w:val="auto"/>
          <w:kern w:val="0"/>
          <w:sz w:val="24"/>
          <w:szCs w:val="24"/>
        </w:rPr>
        <w:t>残疾人福利性单位声明函</w:t>
      </w:r>
    </w:p>
    <w:p w14:paraId="7D64D6E4">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本单位郑重声明，根据《财政部民政部中国残疾人联合会关于促进残疾人就业政府采购政策的通知》（财库〔</w:t>
      </w:r>
      <w:r>
        <w:rPr>
          <w:rFonts w:ascii="宋体" w:hAnsi="宋体" w:cs="宋体"/>
          <w:color w:val="auto"/>
          <w:kern w:val="0"/>
          <w:sz w:val="24"/>
          <w:szCs w:val="24"/>
        </w:rPr>
        <w:t>2017</w:t>
      </w:r>
      <w:r>
        <w:rPr>
          <w:rFonts w:hint="eastAsia" w:ascii="宋体" w:hAnsi="宋体" w:cs="宋体"/>
          <w:color w:val="auto"/>
          <w:kern w:val="0"/>
          <w:sz w:val="24"/>
          <w:szCs w:val="24"/>
        </w:rPr>
        <w:t>〕</w:t>
      </w:r>
      <w:r>
        <w:rPr>
          <w:rFonts w:ascii="宋体" w:hAnsi="宋体" w:cs="宋体"/>
          <w:color w:val="auto"/>
          <w:kern w:val="0"/>
          <w:sz w:val="24"/>
          <w:szCs w:val="24"/>
        </w:rPr>
        <w:t>141</w:t>
      </w:r>
      <w:r>
        <w:rPr>
          <w:rFonts w:hint="eastAsia" w:ascii="宋体" w:hAnsi="宋体" w:cs="宋体"/>
          <w:color w:val="auto"/>
          <w:kern w:val="0"/>
          <w:sz w:val="24"/>
          <w:szCs w:val="24"/>
        </w:rPr>
        <w:t>号）的规定，本单位为符合条件的残疾人福利性单位，且本单位参加</w:t>
      </w:r>
      <w:r>
        <w:rPr>
          <w:rFonts w:ascii="宋体" w:hAnsi="宋体" w:cs="宋体"/>
          <w:color w:val="auto"/>
          <w:kern w:val="0"/>
          <w:sz w:val="24"/>
          <w:szCs w:val="24"/>
          <w:u w:val="single"/>
        </w:rPr>
        <w:t>______</w:t>
      </w:r>
      <w:r>
        <w:rPr>
          <w:rFonts w:hint="eastAsia" w:ascii="宋体" w:hAnsi="宋体" w:cs="宋体"/>
          <w:color w:val="auto"/>
          <w:kern w:val="0"/>
          <w:sz w:val="24"/>
          <w:szCs w:val="24"/>
        </w:rPr>
        <w:t>单位的</w:t>
      </w:r>
      <w:r>
        <w:rPr>
          <w:rFonts w:ascii="宋体" w:hAnsi="宋体" w:cs="宋体"/>
          <w:color w:val="auto"/>
          <w:kern w:val="0"/>
          <w:sz w:val="24"/>
          <w:szCs w:val="24"/>
          <w:u w:val="single"/>
        </w:rPr>
        <w:t>__</w:t>
      </w:r>
      <w:r>
        <w:rPr>
          <w:rFonts w:asciiTheme="minorEastAsia" w:hAnsiTheme="minorEastAsia"/>
          <w:color w:val="auto"/>
          <w:kern w:val="0"/>
          <w:sz w:val="24"/>
          <w:szCs w:val="24"/>
          <w:u w:val="single"/>
        </w:rPr>
        <w:t>（</w:t>
      </w:r>
      <w:r>
        <w:rPr>
          <w:rFonts w:hint="eastAsia" w:ascii="宋体" w:hAnsi="宋体" w:cs="宋体"/>
          <w:color w:val="auto"/>
          <w:kern w:val="0"/>
          <w:sz w:val="24"/>
          <w:szCs w:val="24"/>
          <w:u w:val="single"/>
          <w:lang w:eastAsia="zh-CN"/>
        </w:rPr>
        <w:t>项目</w:t>
      </w:r>
      <w:r>
        <w:rPr>
          <w:rFonts w:asciiTheme="minorEastAsia" w:hAnsiTheme="minorEastAsia"/>
          <w:color w:val="auto"/>
          <w:kern w:val="0"/>
          <w:sz w:val="24"/>
          <w:szCs w:val="24"/>
          <w:u w:val="single"/>
        </w:rPr>
        <w:t>名称）</w:t>
      </w:r>
      <w:r>
        <w:rPr>
          <w:rFonts w:ascii="宋体" w:hAnsi="宋体" w:cs="宋体"/>
          <w:color w:val="auto"/>
          <w:kern w:val="0"/>
          <w:sz w:val="24"/>
          <w:szCs w:val="24"/>
          <w:u w:val="single"/>
        </w:rPr>
        <w:t>__</w:t>
      </w:r>
      <w:r>
        <w:rPr>
          <w:rFonts w:hint="eastAsia" w:ascii="宋体" w:hAnsi="宋体" w:cs="宋体"/>
          <w:color w:val="auto"/>
          <w:kern w:val="0"/>
          <w:sz w:val="24"/>
          <w:szCs w:val="24"/>
        </w:rPr>
        <w:t>项目采购活动提供本单位制造的货物（由本单位承担工程</w:t>
      </w:r>
      <w:r>
        <w:rPr>
          <w:rFonts w:ascii="宋体" w:hAnsi="宋体" w:cs="宋体"/>
          <w:color w:val="auto"/>
          <w:kern w:val="0"/>
          <w:sz w:val="24"/>
          <w:szCs w:val="24"/>
        </w:rPr>
        <w:t>/</w:t>
      </w:r>
      <w:r>
        <w:rPr>
          <w:rFonts w:hint="eastAsia" w:ascii="宋体" w:hAnsi="宋体" w:cs="宋体"/>
          <w:color w:val="auto"/>
          <w:kern w:val="0"/>
          <w:sz w:val="24"/>
          <w:szCs w:val="24"/>
        </w:rPr>
        <w:t>提供服务），或者提供其他残疾人福利性单位制造的货物（不包括使用非残疾人福利性单位注册商标的货物）。</w:t>
      </w:r>
    </w:p>
    <w:p w14:paraId="01966801">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本单位对上述声明的真实性负责。如有虚假，将依法承担相应责任。</w:t>
      </w:r>
    </w:p>
    <w:p w14:paraId="5AE2EC6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C8E2C9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0E5ED4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80CE5B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302DF5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CA139D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E24703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供应商名称：</w:t>
      </w:r>
      <w:r>
        <w:rPr>
          <w:rFonts w:hint="eastAsia" w:ascii="宋体" w:hAnsi="宋体" w:cs="宋体"/>
          <w:color w:val="auto"/>
          <w:kern w:val="0"/>
          <w:sz w:val="24"/>
          <w:szCs w:val="24"/>
          <w:u w:val="single"/>
        </w:rPr>
        <w:t>（盖单位章）</w:t>
      </w:r>
    </w:p>
    <w:p w14:paraId="7B701CB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1FE2E33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F3C744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2F5FE7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964BB38">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4D25422A">
      <w:pPr>
        <w:keepLines w:val="0"/>
        <w:pageBreakBefore w:val="0"/>
        <w:kinsoku/>
        <w:wordWrap/>
        <w:overflowPunct/>
        <w:topLinePunct w:val="0"/>
        <w:bidi w:val="0"/>
        <w:spacing w:line="360" w:lineRule="auto"/>
        <w:ind w:firstLine="480" w:firstLineChars="200"/>
        <w:jc w:val="center"/>
        <w:rPr>
          <w:rFonts w:ascii="宋体" w:hAnsi="宋体"/>
          <w:color w:val="auto"/>
          <w:kern w:val="0"/>
          <w:sz w:val="24"/>
          <w:szCs w:val="24"/>
        </w:rPr>
      </w:pPr>
      <w:r>
        <w:rPr>
          <w:rFonts w:hint="eastAsia" w:ascii="宋体" w:hAnsi="宋体" w:cs="宋体"/>
          <w:color w:val="auto"/>
          <w:kern w:val="0"/>
          <w:sz w:val="24"/>
          <w:szCs w:val="24"/>
          <w:lang w:val="en-US" w:eastAsia="zh-CN"/>
        </w:rPr>
        <w:t>4</w:t>
      </w:r>
      <w:r>
        <w:rPr>
          <w:rFonts w:ascii="宋体" w:hAnsi="宋体" w:cs="宋体"/>
          <w:color w:val="auto"/>
          <w:kern w:val="0"/>
          <w:sz w:val="24"/>
          <w:szCs w:val="24"/>
        </w:rPr>
        <w:t>-</w:t>
      </w:r>
      <w:r>
        <w:rPr>
          <w:rFonts w:hint="eastAsia" w:ascii="宋体" w:hAnsi="宋体" w:cs="宋体"/>
          <w:color w:val="auto"/>
          <w:kern w:val="0"/>
          <w:sz w:val="24"/>
          <w:szCs w:val="24"/>
        </w:rPr>
        <w:t>3</w:t>
      </w:r>
      <w:r>
        <w:rPr>
          <w:rFonts w:hint="eastAsia" w:ascii="宋体" w:hAnsi="宋体"/>
          <w:color w:val="auto"/>
          <w:kern w:val="0"/>
          <w:sz w:val="24"/>
          <w:szCs w:val="24"/>
        </w:rPr>
        <w:t>监狱企业声明函</w:t>
      </w:r>
    </w:p>
    <w:p w14:paraId="42C0C748">
      <w:pPr>
        <w:keepLines w:val="0"/>
        <w:pageBreakBefore w:val="0"/>
        <w:kinsoku/>
        <w:wordWrap/>
        <w:overflowPunct/>
        <w:topLinePunct w:val="0"/>
        <w:bidi w:val="0"/>
        <w:spacing w:line="360" w:lineRule="auto"/>
        <w:jc w:val="center"/>
        <w:rPr>
          <w:rFonts w:ascii="宋体" w:hAnsi="宋体"/>
          <w:color w:val="auto"/>
          <w:kern w:val="0"/>
          <w:sz w:val="24"/>
          <w:szCs w:val="24"/>
        </w:rPr>
      </w:pPr>
      <w:r>
        <w:rPr>
          <w:rFonts w:hint="eastAsia" w:ascii="宋体" w:hAnsi="宋体"/>
          <w:color w:val="auto"/>
          <w:kern w:val="0"/>
          <w:sz w:val="24"/>
          <w:szCs w:val="24"/>
        </w:rPr>
        <w:t>（监狱企业适用）</w:t>
      </w:r>
    </w:p>
    <w:p w14:paraId="7C16374B">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本公司郑重声明，根据《关于政府采购支持监狱企业发展有关问题的通知》（财库[2014]68号）的规定，本公司为监狱企业。</w:t>
      </w:r>
    </w:p>
    <w:p w14:paraId="00BA6ABA">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本公司参加______单位的__</w:t>
      </w:r>
      <w:r>
        <w:rPr>
          <w:rFonts w:asciiTheme="minorEastAsia" w:hAnsiTheme="minorEastAsia"/>
          <w:color w:val="auto"/>
          <w:kern w:val="0"/>
          <w:sz w:val="24"/>
          <w:szCs w:val="24"/>
          <w:u w:val="single"/>
        </w:rPr>
        <w:t>（</w:t>
      </w:r>
      <w:r>
        <w:rPr>
          <w:rFonts w:hint="eastAsia" w:ascii="宋体" w:hAnsi="宋体" w:cs="宋体"/>
          <w:color w:val="auto"/>
          <w:kern w:val="0"/>
          <w:sz w:val="24"/>
          <w:szCs w:val="24"/>
          <w:u w:val="single"/>
          <w:lang w:eastAsia="zh-CN"/>
        </w:rPr>
        <w:t>项目</w:t>
      </w:r>
      <w:r>
        <w:rPr>
          <w:rFonts w:asciiTheme="minorEastAsia" w:hAnsiTheme="minorEastAsia"/>
          <w:color w:val="auto"/>
          <w:kern w:val="0"/>
          <w:sz w:val="24"/>
          <w:szCs w:val="24"/>
          <w:u w:val="single"/>
        </w:rPr>
        <w:t>名称）</w:t>
      </w:r>
      <w:r>
        <w:rPr>
          <w:rFonts w:hint="eastAsia" w:ascii="宋体" w:hAnsi="宋体"/>
          <w:color w:val="auto"/>
          <w:kern w:val="0"/>
          <w:sz w:val="24"/>
          <w:szCs w:val="24"/>
        </w:rPr>
        <w:t>__项目采购活动，采购活动提供本企业（填写制造的货物，由本企业承担工程、提供服务）。</w:t>
      </w:r>
    </w:p>
    <w:p w14:paraId="55646CCF">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本条所称货物不包括使用大型企业注册商标的货物和服务。</w:t>
      </w:r>
    </w:p>
    <w:p w14:paraId="61492638">
      <w:pPr>
        <w:keepLines w:val="0"/>
        <w:pageBreakBefore w:val="0"/>
        <w:kinsoku/>
        <w:wordWrap/>
        <w:overflowPunct/>
        <w:topLinePunct w:val="0"/>
        <w:bidi w:val="0"/>
        <w:spacing w:line="360" w:lineRule="auto"/>
        <w:ind w:firstLine="540" w:firstLineChars="225"/>
        <w:rPr>
          <w:rFonts w:ascii="宋体" w:hAnsi="宋体"/>
          <w:color w:val="auto"/>
          <w:kern w:val="0"/>
          <w:sz w:val="24"/>
          <w:szCs w:val="24"/>
        </w:rPr>
      </w:pPr>
      <w:r>
        <w:rPr>
          <w:rFonts w:hint="eastAsia" w:ascii="宋体" w:hAnsi="宋体"/>
          <w:color w:val="auto"/>
          <w:kern w:val="0"/>
          <w:sz w:val="24"/>
          <w:szCs w:val="24"/>
        </w:rPr>
        <w:t>本公司对上述声明的真实性负责。如有虚假，将依法承担相应责任。</w:t>
      </w:r>
    </w:p>
    <w:p w14:paraId="4CC43725">
      <w:pPr>
        <w:keepLines w:val="0"/>
        <w:pageBreakBefore w:val="0"/>
        <w:kinsoku/>
        <w:wordWrap/>
        <w:overflowPunct/>
        <w:topLinePunct w:val="0"/>
        <w:bidi w:val="0"/>
        <w:spacing w:line="360" w:lineRule="auto"/>
        <w:rPr>
          <w:rFonts w:ascii="宋体" w:hAnsi="宋体" w:cs="宋体"/>
          <w:color w:val="auto"/>
          <w:kern w:val="0"/>
          <w:sz w:val="24"/>
          <w:szCs w:val="24"/>
        </w:rPr>
      </w:pPr>
    </w:p>
    <w:p w14:paraId="2BA0A7AF">
      <w:pPr>
        <w:keepLines w:val="0"/>
        <w:pageBreakBefore w:val="0"/>
        <w:kinsoku/>
        <w:wordWrap/>
        <w:overflowPunct/>
        <w:topLinePunct w:val="0"/>
        <w:bidi w:val="0"/>
        <w:spacing w:line="360" w:lineRule="auto"/>
        <w:rPr>
          <w:rFonts w:ascii="宋体" w:hAnsi="宋体" w:cs="宋体"/>
          <w:color w:val="auto"/>
          <w:kern w:val="0"/>
          <w:sz w:val="24"/>
          <w:szCs w:val="24"/>
        </w:rPr>
      </w:pPr>
    </w:p>
    <w:p w14:paraId="7038A36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u w:val="single"/>
        </w:rPr>
      </w:pPr>
      <w:r>
        <w:rPr>
          <w:rFonts w:hint="eastAsia" w:ascii="宋体" w:hAnsi="宋体" w:cs="宋体"/>
          <w:color w:val="auto"/>
          <w:kern w:val="0"/>
          <w:sz w:val="24"/>
          <w:szCs w:val="24"/>
        </w:rPr>
        <w:t>供应商名称：</w:t>
      </w:r>
      <w:r>
        <w:rPr>
          <w:rFonts w:hint="eastAsia" w:ascii="宋体" w:hAnsi="宋体" w:cs="宋体"/>
          <w:color w:val="auto"/>
          <w:kern w:val="0"/>
          <w:sz w:val="24"/>
          <w:szCs w:val="24"/>
          <w:u w:val="single"/>
        </w:rPr>
        <w:t>（盖单位章）</w:t>
      </w:r>
    </w:p>
    <w:p w14:paraId="48F95BB4">
      <w:pPr>
        <w:keepLines w:val="0"/>
        <w:pageBreakBefore w:val="0"/>
        <w:kinsoku/>
        <w:wordWrap/>
        <w:overflowPunct/>
        <w:topLinePunct w:val="0"/>
        <w:autoSpaceDE w:val="0"/>
        <w:autoSpaceDN w:val="0"/>
        <w:bidi w:val="0"/>
        <w:adjustRightInd w:val="0"/>
        <w:spacing w:line="360" w:lineRule="auto"/>
        <w:jc w:val="left"/>
        <w:rPr>
          <w:rFonts w:ascii="宋体" w:hAnsi="宋体"/>
          <w:color w:val="auto"/>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54637933">
      <w:pPr>
        <w:keepLines w:val="0"/>
        <w:pageBreakBefore w:val="0"/>
        <w:widowControl/>
        <w:kinsoku/>
        <w:wordWrap/>
        <w:overflowPunct/>
        <w:topLinePunct w:val="0"/>
        <w:bidi w:val="0"/>
        <w:spacing w:line="360" w:lineRule="auto"/>
        <w:jc w:val="left"/>
        <w:rPr>
          <w:rFonts w:ascii="宋体" w:hAnsi="宋体"/>
          <w:color w:val="auto"/>
          <w:sz w:val="24"/>
          <w:szCs w:val="24"/>
        </w:rPr>
      </w:pPr>
      <w:r>
        <w:rPr>
          <w:rFonts w:ascii="宋体" w:hAnsi="宋体"/>
          <w:color w:val="auto"/>
          <w:sz w:val="24"/>
          <w:szCs w:val="24"/>
        </w:rPr>
        <w:br w:type="page"/>
      </w:r>
      <w:r>
        <w:rPr>
          <w:rFonts w:hint="eastAsia"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）供应商满足</w:t>
      </w:r>
      <w:r>
        <w:rPr>
          <w:rFonts w:ascii="宋体" w:hAnsi="宋体" w:cs="宋体"/>
          <w:b/>
          <w:color w:val="auto"/>
          <w:kern w:val="0"/>
          <w:sz w:val="24"/>
          <w:szCs w:val="24"/>
        </w:rPr>
        <w:t>《中华人民共和国政府采购法》第二十二条规定</w:t>
      </w:r>
      <w:r>
        <w:rPr>
          <w:rFonts w:hint="eastAsia" w:ascii="宋体" w:hAnsi="宋体" w:cs="宋体"/>
          <w:b/>
          <w:color w:val="auto"/>
          <w:kern w:val="0"/>
          <w:sz w:val="24"/>
          <w:szCs w:val="24"/>
        </w:rPr>
        <w:t>所具备证明材料</w:t>
      </w:r>
      <w:r>
        <w:rPr>
          <w:rFonts w:ascii="宋体" w:hAnsi="宋体" w:cs="宋体"/>
          <w:b/>
          <w:color w:val="auto"/>
          <w:kern w:val="0"/>
          <w:sz w:val="24"/>
          <w:szCs w:val="24"/>
        </w:rPr>
        <w:t>；</w:t>
      </w:r>
    </w:p>
    <w:p w14:paraId="2541FCA3">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.1</w:t>
      </w:r>
      <w:r>
        <w:rPr>
          <w:rFonts w:ascii="宋体" w:hAnsi="宋体" w:cs="宋体"/>
          <w:b/>
          <w:color w:val="auto"/>
          <w:kern w:val="0"/>
          <w:sz w:val="24"/>
          <w:szCs w:val="24"/>
        </w:rPr>
        <w:t>)</w:t>
      </w:r>
      <w:r>
        <w:rPr>
          <w:rFonts w:hint="eastAsia" w:ascii="宋体" w:hAnsi="宋体" w:cs="宋体"/>
          <w:b/>
          <w:color w:val="auto"/>
          <w:kern w:val="0"/>
          <w:sz w:val="24"/>
          <w:szCs w:val="24"/>
        </w:rPr>
        <w:t>具有独立承担民事责任的能力证明材料；</w:t>
      </w:r>
    </w:p>
    <w:p w14:paraId="6B501E22">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bookmarkStart w:id="106" w:name="OLE_LINK62"/>
      <w:bookmarkStart w:id="107" w:name="OLE_LINK61"/>
      <w:r>
        <w:rPr>
          <w:rFonts w:hint="eastAsia" w:cs="宋体" w:asciiTheme="minorEastAsia" w:hAnsiTheme="minorEastAsia"/>
          <w:color w:val="auto"/>
          <w:kern w:val="0"/>
          <w:sz w:val="24"/>
          <w:szCs w:val="24"/>
        </w:rPr>
        <w:t xml:space="preserve">供应商是企业（包括合伙企业）的，应提供其在工商部门注册的有效“企业法人营业执照”或“营业执照”的复印件； </w:t>
      </w:r>
    </w:p>
    <w:p w14:paraId="2DA05993">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供应商是事业单位的，应提供其有效的“事业单位法人证书”复印件； </w:t>
      </w:r>
    </w:p>
    <w:p w14:paraId="3098F58B">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供应商是非企业专业服务机构的，应提供其有效的执业许可证复印件； </w:t>
      </w:r>
    </w:p>
    <w:p w14:paraId="60CC4937">
      <w:pPr>
        <w:keepLines w:val="0"/>
        <w:pageBreakBefore w:val="0"/>
        <w:widowControl/>
        <w:kinsoku/>
        <w:wordWrap/>
        <w:overflowPunct/>
        <w:topLinePunct w:val="0"/>
        <w:bidi w:val="0"/>
        <w:spacing w:line="360" w:lineRule="auto"/>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供应商是个体工商户的，应提供其有效的“个体工商户营业执照”复印件； </w:t>
      </w:r>
    </w:p>
    <w:p w14:paraId="6948D68B">
      <w:pPr>
        <w:keepLines w:val="0"/>
        <w:pageBreakBefore w:val="0"/>
        <w:kinsoku/>
        <w:wordWrap/>
        <w:overflowPunct/>
        <w:topLinePunct w:val="0"/>
        <w:bidi w:val="0"/>
        <w:spacing w:line="360" w:lineRule="auto"/>
        <w:rPr>
          <w:rFonts w:ascii="宋体" w:hAnsi="宋体" w:cs="宋体"/>
          <w:color w:val="auto"/>
          <w:kern w:val="0"/>
          <w:sz w:val="32"/>
          <w:szCs w:val="24"/>
        </w:rPr>
      </w:pPr>
      <w:r>
        <w:rPr>
          <w:rFonts w:hint="eastAsia" w:cs="宋体" w:asciiTheme="minorEastAsia" w:hAnsiTheme="minorEastAsia"/>
          <w:color w:val="auto"/>
          <w:kern w:val="0"/>
          <w:sz w:val="24"/>
          <w:szCs w:val="24"/>
        </w:rPr>
        <w:t>供应商是自然人的，应提供其有效的自然人身份证明；</w:t>
      </w:r>
      <w:bookmarkEnd w:id="106"/>
      <w:bookmarkEnd w:id="107"/>
    </w:p>
    <w:p w14:paraId="06CE2BCB">
      <w:pPr>
        <w:keepLines w:val="0"/>
        <w:pageBreakBefore w:val="0"/>
        <w:kinsoku/>
        <w:wordWrap/>
        <w:overflowPunct/>
        <w:topLinePunct w:val="0"/>
        <w:bidi w:val="0"/>
        <w:spacing w:line="360" w:lineRule="auto"/>
        <w:ind w:firstLine="480" w:firstLineChars="200"/>
        <w:rPr>
          <w:rFonts w:ascii="宋体" w:hAnsi="宋体" w:cs="宋体"/>
          <w:color w:val="auto"/>
          <w:kern w:val="0"/>
          <w:sz w:val="24"/>
          <w:szCs w:val="24"/>
        </w:rPr>
      </w:pPr>
    </w:p>
    <w:p w14:paraId="5466B0A2">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31692662">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.2</w:t>
      </w:r>
      <w:r>
        <w:rPr>
          <w:rFonts w:ascii="宋体" w:hAnsi="宋体" w:cs="宋体"/>
          <w:b/>
          <w:color w:val="auto"/>
          <w:kern w:val="0"/>
          <w:sz w:val="24"/>
          <w:szCs w:val="24"/>
        </w:rPr>
        <w:t>)</w:t>
      </w:r>
      <w:r>
        <w:rPr>
          <w:rFonts w:hint="eastAsia" w:ascii="宋体" w:hAnsi="宋体" w:cs="宋体"/>
          <w:b/>
          <w:color w:val="auto"/>
          <w:kern w:val="0"/>
          <w:sz w:val="24"/>
          <w:szCs w:val="24"/>
        </w:rPr>
        <w:t>具有良好的商业信誉和健全的财务会计制度证明材料；</w:t>
      </w:r>
    </w:p>
    <w:p w14:paraId="6316010A">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cs="宋体" w:asciiTheme="minorEastAsia" w:hAnsiTheme="minorEastAsia"/>
          <w:color w:val="auto"/>
          <w:kern w:val="0"/>
          <w:sz w:val="24"/>
          <w:szCs w:val="24"/>
        </w:rPr>
        <w:t>①</w:t>
      </w:r>
      <w:bookmarkStart w:id="108" w:name="OLE_LINK64"/>
      <w:bookmarkStart w:id="109" w:name="OLE_LINK65"/>
      <w:r>
        <w:rPr>
          <w:rFonts w:hint="eastAsia" w:cs="宋体" w:asciiTheme="minorEastAsia" w:hAnsiTheme="minorEastAsia"/>
          <w:color w:val="auto"/>
          <w:kern w:val="0"/>
          <w:sz w:val="24"/>
          <w:szCs w:val="24"/>
        </w:rPr>
        <w:t xml:space="preserve">供应商可提供本单位 “信用中国”网站（www.creditchina.gov.cn）及“中国政府采购网”（www.ccgp.gov.cn）已公布的信用记录查询截图。 </w:t>
      </w:r>
    </w:p>
    <w:p w14:paraId="2A694739">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截图含 1）重大税收违法失信主体的供应商；2）被列入失信被执行人；3）列入政府采购严重违法失信行为记录名单。供应商提供的截图与采购人或采购代理机构查询截图不一致的或未提供的，以采购人或采购代理机构查询结果为准。</w:t>
      </w:r>
      <w:bookmarkEnd w:id="108"/>
      <w:bookmarkEnd w:id="109"/>
    </w:p>
    <w:p w14:paraId="67057323">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32"/>
          <w:szCs w:val="32"/>
        </w:rPr>
      </w:pPr>
      <w:r>
        <w:rPr>
          <w:rFonts w:hint="eastAsia" w:cs="宋体" w:asciiTheme="minorEastAsia" w:hAnsiTheme="minorEastAsia"/>
          <w:color w:val="auto"/>
          <w:kern w:val="0"/>
          <w:sz w:val="24"/>
          <w:szCs w:val="24"/>
        </w:rPr>
        <w:t>②提供近一年内任意一个月财务报表或会计师事务所出具的2023年度</w:t>
      </w:r>
      <w:r>
        <w:rPr>
          <w:rFonts w:hint="eastAsia" w:cs="宋体" w:asciiTheme="minorEastAsia" w:hAnsiTheme="minorEastAsia"/>
          <w:color w:val="auto"/>
          <w:kern w:val="0"/>
          <w:sz w:val="24"/>
          <w:szCs w:val="24"/>
          <w:lang w:val="en-US" w:eastAsia="zh-CN"/>
        </w:rPr>
        <w:t>或2024年度</w:t>
      </w:r>
      <w:r>
        <w:rPr>
          <w:rFonts w:hint="eastAsia" w:cs="宋体" w:asciiTheme="minorEastAsia" w:hAnsiTheme="minorEastAsia"/>
          <w:color w:val="auto"/>
          <w:kern w:val="0"/>
          <w:sz w:val="24"/>
          <w:szCs w:val="24"/>
        </w:rPr>
        <w:t>财务审计报告（报告中须包括资产负债表、利润表、现金流量表及财务报表附注）；</w:t>
      </w:r>
      <w:r>
        <w:rPr>
          <w:rFonts w:hint="eastAsia" w:cs="宋体" w:asciiTheme="minorEastAsia" w:hAnsiTheme="minorEastAsia"/>
          <w:color w:val="auto"/>
          <w:kern w:val="0"/>
          <w:sz w:val="24"/>
          <w:szCs w:val="24"/>
          <w:lang w:eastAsia="zh-CN"/>
        </w:rPr>
        <w:t>如投标人为事业单位，</w:t>
      </w:r>
      <w:r>
        <w:rPr>
          <w:rFonts w:hint="eastAsia"/>
          <w:color w:val="auto"/>
          <w:sz w:val="24"/>
          <w:szCs w:val="28"/>
          <w:lang w:val="en-US" w:eastAsia="zh-CN"/>
        </w:rPr>
        <w:t>提供呈送税务部门的资产负债表、收入费用表</w:t>
      </w:r>
      <w:r>
        <w:rPr>
          <w:rFonts w:hint="eastAsia" w:cs="宋体" w:asciiTheme="minorEastAsia" w:hAnsiTheme="minorEastAsia"/>
          <w:color w:val="auto"/>
          <w:kern w:val="0"/>
          <w:sz w:val="24"/>
          <w:szCs w:val="24"/>
          <w:lang w:eastAsia="zh-CN"/>
        </w:rPr>
        <w:t>。</w:t>
      </w:r>
      <w:r>
        <w:rPr>
          <w:rFonts w:hint="eastAsia" w:cs="宋体" w:asciiTheme="minorEastAsia" w:hAnsiTheme="minorEastAsia"/>
          <w:color w:val="auto"/>
          <w:kern w:val="0"/>
          <w:sz w:val="32"/>
          <w:szCs w:val="32"/>
        </w:rPr>
        <w:t xml:space="preserve"> </w:t>
      </w:r>
    </w:p>
    <w:p w14:paraId="048A8015">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 xml:space="preserve">如果投标人为新成立单位，无法提供审计报告，则需提供新企业验资报告复印件并加盖提供报告单位的公章； </w:t>
      </w:r>
    </w:p>
    <w:p w14:paraId="5BCDE6A2">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如投标人无法提供2023年度</w:t>
      </w:r>
      <w:r>
        <w:rPr>
          <w:rFonts w:hint="eastAsia" w:cs="宋体" w:asciiTheme="minorEastAsia" w:hAnsiTheme="minorEastAsia"/>
          <w:color w:val="auto"/>
          <w:kern w:val="0"/>
          <w:sz w:val="24"/>
          <w:szCs w:val="24"/>
          <w:lang w:val="en-US" w:eastAsia="zh-CN"/>
        </w:rPr>
        <w:t>或2024年度</w:t>
      </w:r>
      <w:r>
        <w:rPr>
          <w:rFonts w:hint="eastAsia" w:cs="宋体" w:asciiTheme="minorEastAsia" w:hAnsiTheme="minorEastAsia"/>
          <w:color w:val="auto"/>
          <w:kern w:val="0"/>
          <w:sz w:val="24"/>
          <w:szCs w:val="24"/>
        </w:rPr>
        <w:t xml:space="preserve">审计报告或新企业验资报告，则需提供开户银行出具的资信证明；银行资信证明可提供原件的扫描件，也可提供银行在开标日前十二个月内开具资信证明的复印件，对于资信证明文件中写明“复印无效”的应提供原件的扫描件。银行资信证明的抬头可以与采购人或采购代理机构名称不同。 </w:t>
      </w:r>
    </w:p>
    <w:p w14:paraId="20A52B78">
      <w:pPr>
        <w:keepLines w:val="0"/>
        <w:pageBreakBefore w:val="0"/>
        <w:widowControl/>
        <w:kinsoku/>
        <w:wordWrap/>
        <w:overflowPunct/>
        <w:topLinePunct w:val="0"/>
        <w:bidi w:val="0"/>
        <w:spacing w:line="360" w:lineRule="auto"/>
        <w:ind w:firstLine="480" w:firstLineChars="200"/>
        <w:jc w:val="left"/>
        <w:rPr>
          <w:rFonts w:hint="eastAsia" w:cs="宋体" w:asciiTheme="minorEastAsia" w:hAnsiTheme="minorEastAsia"/>
          <w:color w:val="auto"/>
          <w:kern w:val="0"/>
          <w:sz w:val="24"/>
          <w:szCs w:val="24"/>
        </w:rPr>
      </w:pPr>
      <w:r>
        <w:rPr>
          <w:rFonts w:hint="eastAsia" w:cs="宋体" w:asciiTheme="minorEastAsia" w:hAnsiTheme="minorEastAsia"/>
          <w:color w:val="auto"/>
          <w:kern w:val="0"/>
          <w:sz w:val="24"/>
          <w:szCs w:val="24"/>
        </w:rPr>
        <w:t>银行资信证明应能说明该供应商与银行之间业务往来正常，无不良记录，企业信誉良好等。银行出具的存款证明不能作为银行资信证明。</w:t>
      </w:r>
    </w:p>
    <w:p w14:paraId="39C621EF">
      <w:pPr>
        <w:keepLines w:val="0"/>
        <w:pageBreakBefore w:val="0"/>
        <w:kinsoku/>
        <w:wordWrap/>
        <w:overflowPunct/>
        <w:topLinePunct w:val="0"/>
        <w:bidi w:val="0"/>
        <w:spacing w:line="360" w:lineRule="auto"/>
        <w:ind w:firstLine="602" w:firstLineChars="250"/>
        <w:rPr>
          <w:rFonts w:ascii="宋体" w:hAnsi="宋体" w:cs="宋体"/>
          <w:b/>
          <w:color w:val="auto"/>
          <w:kern w:val="0"/>
          <w:sz w:val="24"/>
          <w:szCs w:val="24"/>
        </w:rPr>
      </w:pPr>
    </w:p>
    <w:p w14:paraId="4801FBB3">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023E62BC">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.3</w:t>
      </w:r>
      <w:r>
        <w:rPr>
          <w:rFonts w:ascii="宋体" w:hAnsi="宋体" w:cs="宋体"/>
          <w:b/>
          <w:color w:val="auto"/>
          <w:kern w:val="0"/>
          <w:sz w:val="24"/>
          <w:szCs w:val="24"/>
        </w:rPr>
        <w:t>)</w:t>
      </w:r>
      <w:r>
        <w:rPr>
          <w:rFonts w:hint="eastAsia" w:ascii="宋体" w:hAnsi="宋体" w:cs="宋体"/>
          <w:b/>
          <w:color w:val="auto"/>
          <w:kern w:val="0"/>
          <w:sz w:val="24"/>
          <w:szCs w:val="24"/>
        </w:rPr>
        <w:t>具有履行合同所必需的设备和专业技术能力证明材料；</w:t>
      </w:r>
    </w:p>
    <w:p w14:paraId="74B90DD7">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（提供具有履行合同所必需的设备和专业技术能力相关证明材料或承诺书；）</w:t>
      </w:r>
    </w:p>
    <w:p w14:paraId="395D84C8">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05F209ED">
      <w:pPr>
        <w:keepLines w:val="0"/>
        <w:pageBreakBefore w:val="0"/>
        <w:widowControl/>
        <w:kinsoku/>
        <w:wordWrap/>
        <w:overflowPunct/>
        <w:topLinePunct w:val="0"/>
        <w:bidi w:val="0"/>
        <w:spacing w:line="360" w:lineRule="auto"/>
        <w:jc w:val="center"/>
        <w:rPr>
          <w:rFonts w:ascii="宋体" w:hAnsi="宋体" w:cs="宋体"/>
          <w:color w:val="auto"/>
          <w:kern w:val="0"/>
          <w:sz w:val="24"/>
          <w:szCs w:val="24"/>
        </w:rPr>
      </w:pPr>
      <w:r>
        <w:rPr>
          <w:rFonts w:hint="eastAsia" w:ascii="宋体" w:hAnsi="宋体" w:cs="宋体"/>
          <w:b/>
          <w:bCs/>
          <w:color w:val="auto"/>
          <w:kern w:val="0"/>
          <w:sz w:val="24"/>
          <w:szCs w:val="24"/>
        </w:rPr>
        <w:t>具有履行合同所必需的设备和专业技术能力的承诺书</w:t>
      </w:r>
    </w:p>
    <w:p w14:paraId="56F6FC2C">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本供应商郑重声明：本公司（或单位）具备本项目履行合同所必需的设备和专业技术能力，特此承诺。</w:t>
      </w:r>
    </w:p>
    <w:p w14:paraId="0E5CD271">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p>
    <w:p w14:paraId="0FF42937">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5DB03EE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2BBD2315">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r>
        <w:rPr>
          <w:rFonts w:hint="eastAsia" w:ascii="宋体" w:hAnsi="宋体" w:cs="宋体"/>
          <w:color w:val="auto"/>
          <w:kern w:val="0"/>
          <w:sz w:val="24"/>
          <w:szCs w:val="24"/>
        </w:rPr>
        <w:t xml:space="preserve"> </w:t>
      </w:r>
    </w:p>
    <w:p w14:paraId="3F0D9CE4">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p>
    <w:p w14:paraId="028DCA95">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p>
    <w:p w14:paraId="54A550A1">
      <w:pPr>
        <w:keepLines w:val="0"/>
        <w:pageBreakBefore w:val="0"/>
        <w:kinsoku/>
        <w:wordWrap/>
        <w:overflowPunct/>
        <w:topLinePunct w:val="0"/>
        <w:bidi w:val="0"/>
        <w:spacing w:line="360" w:lineRule="auto"/>
        <w:ind w:firstLine="600" w:firstLineChars="250"/>
        <w:jc w:val="right"/>
        <w:rPr>
          <w:rFonts w:ascii="宋体" w:hAnsi="宋体" w:cs="宋体"/>
          <w:color w:val="auto"/>
          <w:kern w:val="0"/>
          <w:sz w:val="24"/>
          <w:szCs w:val="24"/>
        </w:rPr>
      </w:pPr>
      <w:r>
        <w:rPr>
          <w:rFonts w:hint="eastAsia" w:ascii="宋体" w:hAnsi="宋体" w:cs="宋体"/>
          <w:color w:val="auto"/>
          <w:kern w:val="0"/>
          <w:sz w:val="24"/>
          <w:szCs w:val="24"/>
        </w:rPr>
        <w:t>日期：年 月 日</w:t>
      </w:r>
    </w:p>
    <w:p w14:paraId="59D1DD5C">
      <w:pPr>
        <w:keepLines w:val="0"/>
        <w:pageBreakBefore w:val="0"/>
        <w:kinsoku/>
        <w:wordWrap/>
        <w:overflowPunct/>
        <w:topLinePunct w:val="0"/>
        <w:bidi w:val="0"/>
        <w:spacing w:line="360" w:lineRule="auto"/>
        <w:ind w:firstLine="600" w:firstLineChars="250"/>
        <w:rPr>
          <w:rFonts w:ascii="宋体" w:hAnsi="宋体" w:cs="宋体"/>
          <w:color w:val="auto"/>
          <w:kern w:val="0"/>
          <w:sz w:val="24"/>
          <w:szCs w:val="24"/>
        </w:rPr>
      </w:pPr>
    </w:p>
    <w:p w14:paraId="7D089FF9">
      <w:pPr>
        <w:keepLines w:val="0"/>
        <w:pageBreakBefore w:val="0"/>
        <w:kinsoku/>
        <w:wordWrap/>
        <w:overflowPunct/>
        <w:topLinePunct w:val="0"/>
        <w:bidi w:val="0"/>
        <w:spacing w:line="360" w:lineRule="auto"/>
        <w:ind w:firstLine="602" w:firstLineChars="250"/>
        <w:rPr>
          <w:rFonts w:ascii="宋体" w:hAnsi="宋体" w:cs="宋体"/>
          <w:b/>
          <w:color w:val="auto"/>
          <w:kern w:val="0"/>
          <w:sz w:val="24"/>
          <w:szCs w:val="24"/>
        </w:rPr>
      </w:pPr>
    </w:p>
    <w:p w14:paraId="21ACC8E6">
      <w:pPr>
        <w:keepLines w:val="0"/>
        <w:pageBreakBefore w:val="0"/>
        <w:kinsoku/>
        <w:wordWrap/>
        <w:overflowPunct/>
        <w:topLinePunct w:val="0"/>
        <w:bidi w:val="0"/>
        <w:spacing w:line="360" w:lineRule="auto"/>
        <w:ind w:firstLine="602" w:firstLineChars="250"/>
        <w:rPr>
          <w:rFonts w:ascii="宋体" w:hAnsi="宋体" w:cs="宋体"/>
          <w:b/>
          <w:color w:val="auto"/>
          <w:kern w:val="0"/>
          <w:sz w:val="24"/>
          <w:szCs w:val="24"/>
        </w:rPr>
      </w:pPr>
    </w:p>
    <w:p w14:paraId="52149E4A">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7672FFD2">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.4</w:t>
      </w:r>
      <w:r>
        <w:rPr>
          <w:rFonts w:ascii="宋体" w:hAnsi="宋体" w:cs="宋体"/>
          <w:b/>
          <w:color w:val="auto"/>
          <w:kern w:val="0"/>
          <w:sz w:val="24"/>
          <w:szCs w:val="24"/>
        </w:rPr>
        <w:t>)</w:t>
      </w:r>
      <w:r>
        <w:rPr>
          <w:rFonts w:hint="eastAsia" w:ascii="宋体" w:hAnsi="宋体" w:cs="宋体"/>
          <w:b/>
          <w:color w:val="auto"/>
          <w:kern w:val="0"/>
          <w:sz w:val="24"/>
          <w:szCs w:val="24"/>
        </w:rPr>
        <w:t>有依法缴纳税收和社会保障资金的良好记录证明材料；</w:t>
      </w:r>
    </w:p>
    <w:p w14:paraId="1BA49A2A">
      <w:pPr>
        <w:keepLines w:val="0"/>
        <w:pageBreakBefore w:val="0"/>
        <w:widowControl/>
        <w:kinsoku/>
        <w:wordWrap/>
        <w:overflowPunct/>
        <w:topLinePunct w:val="0"/>
        <w:bidi w:val="0"/>
        <w:spacing w:line="360" w:lineRule="auto"/>
        <w:ind w:firstLine="480" w:firstLineChars="200"/>
        <w:jc w:val="left"/>
        <w:rPr>
          <w:rFonts w:cs="宋体" w:asciiTheme="minorEastAsia" w:hAnsiTheme="minorEastAsia"/>
          <w:color w:val="auto"/>
          <w:kern w:val="0"/>
          <w:sz w:val="24"/>
          <w:szCs w:val="24"/>
        </w:rPr>
      </w:pPr>
      <w:r>
        <w:rPr>
          <w:rFonts w:hint="eastAsia" w:asciiTheme="minorEastAsia" w:hAnsiTheme="minorEastAsia"/>
          <w:color w:val="auto"/>
          <w:sz w:val="24"/>
          <w:szCs w:val="24"/>
        </w:rPr>
        <w:t>①</w:t>
      </w:r>
      <w:r>
        <w:rPr>
          <w:rFonts w:hint="eastAsia" w:cs="宋体" w:asciiTheme="minorEastAsia" w:hAnsiTheme="minorEastAsia"/>
          <w:color w:val="auto"/>
          <w:kern w:val="0"/>
          <w:sz w:val="24"/>
          <w:szCs w:val="24"/>
        </w:rPr>
        <w:t xml:space="preserve">纳税收资料：供应商提供税务机构出具的递交投标文件截止时间近一年内任意一个月的依法缴纳税收等证明材料（刚成立不满一个月的企业，应提供依法缴纳税收承诺书；如依法免税的企业，应提供相应文件证明其依法免税）。 </w:t>
      </w:r>
    </w:p>
    <w:p w14:paraId="2FBBAEFB">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cs="宋体" w:asciiTheme="minorEastAsia" w:hAnsiTheme="minorEastAsia"/>
          <w:color w:val="auto"/>
          <w:kern w:val="0"/>
          <w:sz w:val="24"/>
          <w:szCs w:val="24"/>
        </w:rPr>
        <w:t>②缴纳社会保障资金资料：供应商提供递交投标文件截止时间近一年内任意一个月的社保缴纳证明（专用收据或社会保险缴纳清单），社保机构或税务机构出具的收据或清单均可，银行出具的回执单不予认可。（a.如为社会机构代缴代扣的，需提供和社会机构代缴代扣的协议。其他组织和自然人也需要提供缴纳社会保险的证明。b.刚成立不满一个月的企业，应提供依法缴纳社会保障资金承诺函；如依法不需要缴纳社会保障资金的，应提供相应文件证明其依法不需要缴纳社会保障资金）。</w:t>
      </w:r>
    </w:p>
    <w:p w14:paraId="4EEDFF0D">
      <w:pPr>
        <w:keepLines w:val="0"/>
        <w:pageBreakBefore w:val="0"/>
        <w:kinsoku/>
        <w:wordWrap/>
        <w:overflowPunct/>
        <w:topLinePunct w:val="0"/>
        <w:bidi w:val="0"/>
        <w:spacing w:line="360" w:lineRule="auto"/>
        <w:ind w:firstLine="600" w:firstLineChars="250"/>
        <w:rPr>
          <w:rFonts w:ascii="宋体" w:hAnsi="宋体" w:cs="宋体"/>
          <w:color w:val="auto"/>
          <w:kern w:val="0"/>
          <w:sz w:val="24"/>
          <w:szCs w:val="24"/>
        </w:rPr>
      </w:pPr>
    </w:p>
    <w:p w14:paraId="1B2F6174">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1CE9954E">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.5</w:t>
      </w:r>
      <w:r>
        <w:rPr>
          <w:rFonts w:ascii="宋体" w:hAnsi="宋体" w:cs="宋体"/>
          <w:b/>
          <w:color w:val="auto"/>
          <w:kern w:val="0"/>
          <w:sz w:val="24"/>
          <w:szCs w:val="24"/>
        </w:rPr>
        <w:t>)</w:t>
      </w:r>
      <w:r>
        <w:rPr>
          <w:rFonts w:hint="eastAsia" w:ascii="宋体" w:hAnsi="宋体" w:cs="宋体"/>
          <w:b/>
          <w:color w:val="auto"/>
          <w:kern w:val="0"/>
          <w:sz w:val="24"/>
          <w:szCs w:val="24"/>
        </w:rPr>
        <w:t>参加政府采购活动前三年内，在经营活动中没有重大违法记录证明材料；</w:t>
      </w:r>
    </w:p>
    <w:p w14:paraId="29658D16">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w:t>
      </w:r>
      <w:r>
        <w:rPr>
          <w:rFonts w:hint="eastAsia" w:asciiTheme="minorEastAsia" w:hAnsiTheme="minorEastAsia"/>
          <w:color w:val="auto"/>
          <w:sz w:val="24"/>
          <w:szCs w:val="24"/>
        </w:rPr>
        <w:t>提供参加政府采购活动前三年内在经营活动中没有重大违法记录的书面声明；</w:t>
      </w:r>
      <w:r>
        <w:rPr>
          <w:rFonts w:hint="eastAsia" w:ascii="宋体" w:hAnsi="宋体" w:cs="宋体"/>
          <w:color w:val="auto"/>
          <w:kern w:val="0"/>
          <w:sz w:val="24"/>
          <w:szCs w:val="24"/>
        </w:rPr>
        <w:t xml:space="preserve">） </w:t>
      </w:r>
    </w:p>
    <w:p w14:paraId="721A18B0">
      <w:pPr>
        <w:keepLines w:val="0"/>
        <w:pageBreakBefore w:val="0"/>
        <w:widowControl/>
        <w:kinsoku/>
        <w:wordWrap/>
        <w:overflowPunct/>
        <w:topLinePunct w:val="0"/>
        <w:bidi w:val="0"/>
        <w:spacing w:line="360" w:lineRule="auto"/>
        <w:jc w:val="center"/>
        <w:rPr>
          <w:rFonts w:ascii="宋体" w:hAnsi="宋体" w:cs="宋体"/>
          <w:color w:val="auto"/>
          <w:kern w:val="0"/>
          <w:sz w:val="24"/>
          <w:szCs w:val="24"/>
        </w:rPr>
      </w:pPr>
      <w:r>
        <w:rPr>
          <w:rFonts w:hint="eastAsia" w:ascii="宋体" w:hAnsi="宋体" w:cs="宋体"/>
          <w:b/>
          <w:bCs/>
          <w:color w:val="auto"/>
          <w:kern w:val="0"/>
          <w:sz w:val="28"/>
          <w:szCs w:val="28"/>
        </w:rPr>
        <w:t>无重大违法记录声明书</w:t>
      </w:r>
    </w:p>
    <w:p w14:paraId="60A80663">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（采购人）： </w:t>
      </w:r>
    </w:p>
    <w:p w14:paraId="1F289112">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我公司参与</w:t>
      </w:r>
      <w:r>
        <w:rPr>
          <w:rFonts w:hint="eastAsia" w:ascii="宋体" w:hAnsi="宋体" w:cs="宋体"/>
          <w:color w:val="auto"/>
          <w:kern w:val="0"/>
          <w:sz w:val="24"/>
          <w:szCs w:val="24"/>
          <w:u w:val="single"/>
        </w:rPr>
        <w:t xml:space="preserve"> （</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 xml:space="preserve">公开招标，本公司郑重声明，我方参加本项目政府采购活动前三年内无重大违法记录，符合《政府采购法》规定的供应商条件。若贵方在本项目采购过程中发现我方政府采购活动前三年内有重大违法记录，我公司将无条件退出本项目的招标采购，并承担因此引起的一切后果。我方对此声明负全部法律责任。 </w:t>
      </w:r>
    </w:p>
    <w:p w14:paraId="51BCB7E1">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特此声明 </w:t>
      </w:r>
    </w:p>
    <w:p w14:paraId="1E686D3A">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p>
    <w:p w14:paraId="1F137DFD">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486E48C8">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64BC61BF">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3E9604CC">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日期：年 月 日</w:t>
      </w:r>
    </w:p>
    <w:p w14:paraId="2893AA71">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 xml:space="preserve"> </w:t>
      </w:r>
    </w:p>
    <w:p w14:paraId="2C712C67">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注：近三年：成立三年以上的，为提交响应文件截止时间前三年内；成立不足三年的为实际时间。</w:t>
      </w:r>
    </w:p>
    <w:p w14:paraId="09A035B0">
      <w:pPr>
        <w:keepLines w:val="0"/>
        <w:pageBreakBefore w:val="0"/>
        <w:kinsoku/>
        <w:wordWrap/>
        <w:overflowPunct/>
        <w:topLinePunct w:val="0"/>
        <w:bidi w:val="0"/>
        <w:spacing w:line="360" w:lineRule="auto"/>
        <w:ind w:firstLine="600" w:firstLineChars="250"/>
        <w:rPr>
          <w:rFonts w:ascii="宋体" w:hAnsi="宋体" w:cs="宋体"/>
          <w:color w:val="auto"/>
          <w:kern w:val="0"/>
          <w:sz w:val="24"/>
          <w:szCs w:val="24"/>
        </w:rPr>
      </w:pPr>
    </w:p>
    <w:p w14:paraId="02CC04F0">
      <w:pPr>
        <w:keepLines w:val="0"/>
        <w:pageBreakBefore w:val="0"/>
        <w:widowControl/>
        <w:kinsoku/>
        <w:wordWrap/>
        <w:overflowPunct/>
        <w:topLinePunct w:val="0"/>
        <w:bidi w:val="0"/>
        <w:spacing w:line="360" w:lineRule="auto"/>
        <w:jc w:val="left"/>
        <w:rPr>
          <w:rFonts w:ascii="宋体" w:hAnsi="宋体" w:cs="宋体"/>
          <w:b/>
          <w:color w:val="auto"/>
          <w:kern w:val="0"/>
          <w:sz w:val="24"/>
          <w:szCs w:val="24"/>
        </w:rPr>
      </w:pPr>
      <w:r>
        <w:rPr>
          <w:rFonts w:ascii="宋体" w:hAnsi="宋体" w:cs="宋体"/>
          <w:b/>
          <w:color w:val="auto"/>
          <w:kern w:val="0"/>
          <w:sz w:val="24"/>
          <w:szCs w:val="24"/>
        </w:rPr>
        <w:br w:type="page"/>
      </w:r>
    </w:p>
    <w:p w14:paraId="489698FF">
      <w:pPr>
        <w:keepLines w:val="0"/>
        <w:pageBreakBefore w:val="0"/>
        <w:kinsoku/>
        <w:wordWrap/>
        <w:overflowPunct/>
        <w:topLinePunct w:val="0"/>
        <w:bidi w:val="0"/>
        <w:spacing w:line="360" w:lineRule="auto"/>
        <w:jc w:val="center"/>
        <w:rPr>
          <w:rFonts w:ascii="宋体" w:hAnsi="宋体" w:cs="宋体"/>
          <w:b/>
          <w:color w:val="auto"/>
          <w:kern w:val="0"/>
          <w:sz w:val="24"/>
          <w:szCs w:val="24"/>
        </w:rPr>
      </w:pPr>
      <w:r>
        <w:rPr>
          <w:rFonts w:ascii="宋体" w:hAnsi="宋体" w:cs="宋体"/>
          <w:b/>
          <w:color w:val="auto"/>
          <w:kern w:val="0"/>
          <w:sz w:val="24"/>
          <w:szCs w:val="24"/>
        </w:rPr>
        <w:t>(</w:t>
      </w:r>
      <w:r>
        <w:rPr>
          <w:rFonts w:hint="eastAsia" w:ascii="宋体" w:hAnsi="宋体" w:cs="宋体"/>
          <w:b/>
          <w:color w:val="auto"/>
          <w:kern w:val="0"/>
          <w:sz w:val="24"/>
          <w:szCs w:val="24"/>
          <w:lang w:val="en-US" w:eastAsia="zh-CN"/>
        </w:rPr>
        <w:t>5</w:t>
      </w:r>
      <w:r>
        <w:rPr>
          <w:rFonts w:hint="eastAsia" w:ascii="宋体" w:hAnsi="宋体" w:cs="宋体"/>
          <w:b/>
          <w:color w:val="auto"/>
          <w:kern w:val="0"/>
          <w:sz w:val="24"/>
          <w:szCs w:val="24"/>
        </w:rPr>
        <w:t>.6</w:t>
      </w:r>
      <w:r>
        <w:rPr>
          <w:rFonts w:ascii="宋体" w:hAnsi="宋体" w:cs="宋体"/>
          <w:b/>
          <w:color w:val="auto"/>
          <w:kern w:val="0"/>
          <w:sz w:val="24"/>
          <w:szCs w:val="24"/>
        </w:rPr>
        <w:t>)</w:t>
      </w:r>
      <w:r>
        <w:rPr>
          <w:rFonts w:hint="eastAsia" w:ascii="宋体" w:hAnsi="宋体" w:cs="宋体"/>
          <w:b/>
          <w:color w:val="auto"/>
          <w:kern w:val="0"/>
          <w:sz w:val="24"/>
          <w:szCs w:val="24"/>
        </w:rPr>
        <w:t>法律、行政法规规定的其他条件证明材料。</w:t>
      </w:r>
    </w:p>
    <w:p w14:paraId="3F51E831">
      <w:pPr>
        <w:keepLines w:val="0"/>
        <w:pageBreakBefore w:val="0"/>
        <w:kinsoku/>
        <w:wordWrap/>
        <w:overflowPunct/>
        <w:topLinePunct w:val="0"/>
        <w:bidi w:val="0"/>
        <w:spacing w:line="360" w:lineRule="auto"/>
        <w:ind w:firstLine="480"/>
        <w:jc w:val="center"/>
        <w:rPr>
          <w:rFonts w:ascii="宋体" w:hAnsi="宋体" w:cs="宋体"/>
          <w:color w:val="auto"/>
          <w:kern w:val="0"/>
          <w:sz w:val="24"/>
          <w:szCs w:val="24"/>
        </w:rPr>
      </w:pPr>
      <w:r>
        <w:rPr>
          <w:rFonts w:hint="eastAsia" w:ascii="宋体" w:hAnsi="宋体" w:cs="宋体"/>
          <w:color w:val="auto"/>
          <w:kern w:val="0"/>
          <w:sz w:val="24"/>
          <w:szCs w:val="24"/>
        </w:rPr>
        <w:t>供应商无关联关系书面承诺函</w:t>
      </w:r>
    </w:p>
    <w:p w14:paraId="6C809B2E">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bookmarkStart w:id="110" w:name="OLE_LINK3"/>
      <w:bookmarkStart w:id="111" w:name="OLE_LINK4"/>
      <w:r>
        <w:rPr>
          <w:rFonts w:hint="eastAsia" w:ascii="宋体" w:hAnsi="宋体" w:cs="宋体"/>
          <w:color w:val="auto"/>
          <w:kern w:val="0"/>
          <w:sz w:val="24"/>
          <w:szCs w:val="24"/>
        </w:rPr>
        <w:t>我公司</w:t>
      </w:r>
      <w:bookmarkEnd w:id="110"/>
      <w:bookmarkEnd w:id="111"/>
      <w:r>
        <w:rPr>
          <w:rFonts w:hint="eastAsia" w:ascii="宋体" w:hAnsi="宋体" w:cs="宋体"/>
          <w:color w:val="auto"/>
          <w:kern w:val="0"/>
          <w:sz w:val="24"/>
          <w:szCs w:val="24"/>
        </w:rPr>
        <w:t>承诺在参加</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 xml:space="preserve">的采购活动中，我公司不存在以下情况： </w:t>
      </w:r>
    </w:p>
    <w:p w14:paraId="38B328B9">
      <w:pPr>
        <w:keepLines w:val="0"/>
        <w:pageBreakBefore w:val="0"/>
        <w:widowControl/>
        <w:kinsoku/>
        <w:wordWrap/>
        <w:overflowPunct/>
        <w:topLinePunct w:val="0"/>
        <w:bidi w:val="0"/>
        <w:spacing w:line="360" w:lineRule="auto"/>
        <w:ind w:firstLine="480" w:firstLineChars="200"/>
        <w:jc w:val="left"/>
        <w:rPr>
          <w:rFonts w:ascii="仿宋" w:hAnsi="仿宋"/>
          <w:color w:val="auto"/>
          <w:sz w:val="24"/>
          <w:szCs w:val="24"/>
        </w:rPr>
      </w:pPr>
      <w:r>
        <w:rPr>
          <w:rFonts w:hint="eastAsia" w:ascii="宋体" w:hAnsi="宋体" w:cs="宋体"/>
          <w:color w:val="auto"/>
          <w:sz w:val="24"/>
          <w:szCs w:val="24"/>
        </w:rPr>
        <w:t>①</w:t>
      </w:r>
      <w:r>
        <w:rPr>
          <w:rFonts w:ascii="仿宋" w:hAnsi="仿宋"/>
          <w:color w:val="auto"/>
          <w:sz w:val="24"/>
          <w:szCs w:val="24"/>
        </w:rPr>
        <w:t>与采购人存在利害关系</w:t>
      </w:r>
      <w:r>
        <w:rPr>
          <w:rFonts w:hint="eastAsia" w:ascii="仿宋" w:hAnsi="仿宋"/>
          <w:color w:val="auto"/>
          <w:sz w:val="24"/>
          <w:szCs w:val="24"/>
        </w:rPr>
        <w:t>，</w:t>
      </w:r>
      <w:r>
        <w:rPr>
          <w:rFonts w:asciiTheme="minorEastAsia" w:hAnsiTheme="minorEastAsia"/>
          <w:color w:val="auto"/>
          <w:sz w:val="24"/>
          <w:szCs w:val="24"/>
        </w:rPr>
        <w:t>影响招标公正性</w:t>
      </w:r>
      <w:r>
        <w:rPr>
          <w:rFonts w:ascii="仿宋" w:hAnsi="仿宋"/>
          <w:color w:val="auto"/>
          <w:sz w:val="24"/>
          <w:szCs w:val="24"/>
        </w:rPr>
        <w:t>。</w:t>
      </w:r>
    </w:p>
    <w:p w14:paraId="00426ADC">
      <w:pPr>
        <w:keepLines w:val="0"/>
        <w:pageBreakBefore w:val="0"/>
        <w:widowControl/>
        <w:kinsoku/>
        <w:wordWrap/>
        <w:overflowPunct/>
        <w:topLinePunct w:val="0"/>
        <w:bidi w:val="0"/>
        <w:spacing w:line="360" w:lineRule="auto"/>
        <w:ind w:firstLine="480" w:firstLineChars="200"/>
        <w:jc w:val="left"/>
        <w:rPr>
          <w:rFonts w:ascii="仿宋" w:hAnsi="仿宋"/>
          <w:color w:val="auto"/>
          <w:sz w:val="24"/>
          <w:szCs w:val="24"/>
        </w:rPr>
      </w:pPr>
      <w:r>
        <w:rPr>
          <w:rFonts w:hint="eastAsia" w:ascii="宋体" w:hAnsi="宋体" w:cs="宋体"/>
          <w:color w:val="auto"/>
          <w:sz w:val="24"/>
          <w:szCs w:val="24"/>
        </w:rPr>
        <w:t>②</w:t>
      </w:r>
      <w:r>
        <w:rPr>
          <w:rFonts w:ascii="仿宋" w:hAnsi="仿宋"/>
          <w:color w:val="auto"/>
          <w:sz w:val="24"/>
          <w:szCs w:val="24"/>
        </w:rPr>
        <w:t>单位负责人为同一人或者存在控股、管理关系的不同</w:t>
      </w:r>
      <w:r>
        <w:rPr>
          <w:rFonts w:hint="eastAsia" w:ascii="仿宋" w:hAnsi="仿宋"/>
          <w:color w:val="auto"/>
          <w:sz w:val="24"/>
          <w:szCs w:val="24"/>
        </w:rPr>
        <w:t>供应商，</w:t>
      </w:r>
      <w:r>
        <w:rPr>
          <w:rFonts w:ascii="仿宋" w:hAnsi="仿宋"/>
          <w:color w:val="auto"/>
          <w:sz w:val="24"/>
          <w:szCs w:val="24"/>
        </w:rPr>
        <w:t>参加同一合同项下的政府采购活动。</w:t>
      </w:r>
    </w:p>
    <w:p w14:paraId="78A6BAA5">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本公司对上述承诺的真实性负责，如有虚假，将依法承担相应责任。</w:t>
      </w:r>
    </w:p>
    <w:p w14:paraId="46D2C892">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7A0B179D">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0397747E">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64EEBE33">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0914108A">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276180C3">
      <w:pPr>
        <w:keepLines w:val="0"/>
        <w:pageBreakBefore w:val="0"/>
        <w:widowControl/>
        <w:kinsoku/>
        <w:wordWrap/>
        <w:overflowPunct/>
        <w:topLinePunct w:val="0"/>
        <w:bidi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112E9964">
      <w:pPr>
        <w:keepLines w:val="0"/>
        <w:pageBreakBefore w:val="0"/>
        <w:widowControl/>
        <w:kinsoku/>
        <w:wordWrap/>
        <w:overflowPunct/>
        <w:topLinePunct w:val="0"/>
        <w:bidi w:val="0"/>
        <w:spacing w:line="360" w:lineRule="auto"/>
        <w:ind w:firstLine="480" w:firstLineChars="200"/>
        <w:jc w:val="left"/>
        <w:rPr>
          <w:rFonts w:ascii="宋体" w:hAnsi="宋体" w:cs="宋体"/>
          <w:b/>
          <w:color w:val="auto"/>
          <w:kern w:val="0"/>
          <w:sz w:val="40"/>
          <w:szCs w:val="24"/>
        </w:rPr>
      </w:pPr>
      <w:r>
        <w:rPr>
          <w:rFonts w:hint="eastAsia" w:ascii="宋体" w:hAnsi="宋体" w:cs="宋体"/>
          <w:color w:val="auto"/>
          <w:kern w:val="0"/>
          <w:sz w:val="24"/>
          <w:szCs w:val="24"/>
        </w:rPr>
        <w:t xml:space="preserve">日期：    </w:t>
      </w:r>
      <w:r>
        <w:rPr>
          <w:rFonts w:ascii="宋体" w:hAnsi="宋体" w:cs="宋体"/>
          <w:color w:val="auto"/>
          <w:kern w:val="0"/>
          <w:sz w:val="24"/>
          <w:szCs w:val="24"/>
        </w:rPr>
        <w:t>年</w:t>
      </w:r>
      <w:r>
        <w:rPr>
          <w:rFonts w:hint="eastAsia" w:ascii="宋体" w:hAnsi="宋体" w:cs="宋体"/>
          <w:color w:val="auto"/>
          <w:kern w:val="0"/>
          <w:sz w:val="24"/>
          <w:szCs w:val="24"/>
        </w:rPr>
        <w:t xml:space="preserve">    </w:t>
      </w:r>
      <w:r>
        <w:rPr>
          <w:rFonts w:ascii="宋体" w:hAnsi="宋体" w:cs="宋体"/>
          <w:color w:val="auto"/>
          <w:kern w:val="0"/>
          <w:sz w:val="24"/>
          <w:szCs w:val="24"/>
        </w:rPr>
        <w:t>月</w:t>
      </w:r>
      <w:r>
        <w:rPr>
          <w:rFonts w:hint="eastAsia" w:ascii="宋体" w:hAnsi="宋体" w:cs="宋体"/>
          <w:color w:val="auto"/>
          <w:kern w:val="0"/>
          <w:sz w:val="24"/>
          <w:szCs w:val="24"/>
        </w:rPr>
        <w:t xml:space="preserve">    </w:t>
      </w:r>
      <w:r>
        <w:rPr>
          <w:rFonts w:ascii="宋体" w:hAnsi="宋体" w:cs="宋体"/>
          <w:color w:val="auto"/>
          <w:kern w:val="0"/>
          <w:sz w:val="24"/>
          <w:szCs w:val="24"/>
        </w:rPr>
        <w:t>日</w:t>
      </w:r>
      <w:r>
        <w:rPr>
          <w:rFonts w:ascii="宋体" w:hAnsi="宋体" w:cs="宋体"/>
          <w:b/>
          <w:color w:val="auto"/>
          <w:kern w:val="0"/>
          <w:sz w:val="40"/>
          <w:szCs w:val="24"/>
        </w:rPr>
        <w:br w:type="page"/>
      </w:r>
    </w:p>
    <w:p w14:paraId="3E33EA67">
      <w:pPr>
        <w:keepLines w:val="0"/>
        <w:pageBreakBefore w:val="0"/>
        <w:kinsoku/>
        <w:wordWrap/>
        <w:overflowPunct/>
        <w:topLinePunct w:val="0"/>
        <w:autoSpaceDE w:val="0"/>
        <w:autoSpaceDN w:val="0"/>
        <w:bidi w:val="0"/>
        <w:spacing w:line="360" w:lineRule="auto"/>
        <w:ind w:firstLine="562" w:firstLineChars="200"/>
        <w:jc w:val="center"/>
        <w:rPr>
          <w:rFonts w:hint="eastAsia" w:ascii="宋体" w:hAnsi="宋体" w:cs="宋体"/>
          <w:b/>
          <w:color w:val="auto"/>
          <w:kern w:val="0"/>
          <w:sz w:val="28"/>
          <w:szCs w:val="24"/>
        </w:rPr>
      </w:pPr>
      <w:r>
        <w:rPr>
          <w:rFonts w:hint="eastAsia" w:ascii="宋体" w:hAnsi="宋体" w:cs="宋体"/>
          <w:b/>
          <w:color w:val="auto"/>
          <w:kern w:val="0"/>
          <w:sz w:val="28"/>
          <w:szCs w:val="24"/>
        </w:rPr>
        <w:t>（第二部分）报价要求响应文件</w:t>
      </w:r>
    </w:p>
    <w:p w14:paraId="3F6F0093">
      <w:pPr>
        <w:keepLines w:val="0"/>
        <w:pageBreakBefore w:val="0"/>
        <w:kinsoku/>
        <w:wordWrap/>
        <w:overflowPunct/>
        <w:topLinePunct w:val="0"/>
        <w:autoSpaceDE w:val="0"/>
        <w:autoSpaceDN w:val="0"/>
        <w:bidi w:val="0"/>
        <w:spacing w:line="360" w:lineRule="auto"/>
        <w:ind w:firstLine="562" w:firstLineChars="200"/>
        <w:jc w:val="center"/>
        <w:rPr>
          <w:rFonts w:hint="eastAsia" w:ascii="宋体" w:hAnsi="宋体" w:cs="宋体" w:eastAsiaTheme="minorEastAsia"/>
          <w:b/>
          <w:color w:val="auto"/>
          <w:kern w:val="0"/>
          <w:sz w:val="28"/>
          <w:szCs w:val="24"/>
          <w:lang w:eastAsia="zh-CN"/>
        </w:rPr>
      </w:pPr>
      <w:r>
        <w:rPr>
          <w:rFonts w:hint="eastAsia" w:ascii="宋体" w:hAnsi="宋体" w:cs="宋体"/>
          <w:b/>
          <w:color w:val="auto"/>
          <w:kern w:val="0"/>
          <w:sz w:val="28"/>
          <w:szCs w:val="24"/>
          <w:lang w:eastAsia="zh-CN"/>
        </w:rPr>
        <w:t>开标一览表</w:t>
      </w:r>
    </w:p>
    <w:p w14:paraId="5ACF65D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项目名称：</w:t>
      </w:r>
    </w:p>
    <w:tbl>
      <w:tblPr>
        <w:tblStyle w:val="43"/>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2205"/>
        <w:gridCol w:w="5880"/>
      </w:tblGrid>
      <w:tr w14:paraId="598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14:paraId="6183EE0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序号</w:t>
            </w:r>
          </w:p>
        </w:tc>
        <w:tc>
          <w:tcPr>
            <w:tcW w:w="2205" w:type="dxa"/>
            <w:vAlign w:val="center"/>
          </w:tcPr>
          <w:p w14:paraId="1D508B5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项目</w:t>
            </w:r>
          </w:p>
        </w:tc>
        <w:tc>
          <w:tcPr>
            <w:tcW w:w="5880" w:type="dxa"/>
            <w:vAlign w:val="center"/>
          </w:tcPr>
          <w:p w14:paraId="35FD8269">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金额（元）</w:t>
            </w:r>
          </w:p>
        </w:tc>
      </w:tr>
      <w:tr w14:paraId="1284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3" w:type="dxa"/>
            <w:vAlign w:val="center"/>
          </w:tcPr>
          <w:p w14:paraId="3BE33D4D">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ascii="宋体" w:hAnsi="宋体" w:cs="宋体"/>
                <w:color w:val="auto"/>
                <w:kern w:val="0"/>
                <w:sz w:val="24"/>
                <w:szCs w:val="24"/>
              </w:rPr>
              <w:t>1</w:t>
            </w:r>
          </w:p>
        </w:tc>
        <w:tc>
          <w:tcPr>
            <w:tcW w:w="2205" w:type="dxa"/>
            <w:vAlign w:val="center"/>
          </w:tcPr>
          <w:p w14:paraId="17B3798F">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bookmarkStart w:id="112" w:name="OLE_LINK27"/>
            <w:r>
              <w:rPr>
                <w:rFonts w:hint="eastAsia" w:ascii="宋体" w:hAnsi="宋体" w:cs="宋体"/>
                <w:color w:val="auto"/>
                <w:kern w:val="0"/>
                <w:sz w:val="24"/>
                <w:szCs w:val="24"/>
              </w:rPr>
              <w:t>投标总报价</w:t>
            </w:r>
            <w:bookmarkEnd w:id="112"/>
            <w:r>
              <w:rPr>
                <w:rFonts w:hint="eastAsia" w:ascii="宋体" w:hAnsi="宋体" w:cs="宋体"/>
                <w:color w:val="auto"/>
                <w:kern w:val="0"/>
                <w:sz w:val="24"/>
                <w:szCs w:val="24"/>
              </w:rPr>
              <w:t>（元）</w:t>
            </w:r>
          </w:p>
        </w:tc>
        <w:tc>
          <w:tcPr>
            <w:tcW w:w="5880" w:type="dxa"/>
            <w:vAlign w:val="center"/>
          </w:tcPr>
          <w:p w14:paraId="5B4B1A7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小写：</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w:t>
            </w:r>
          </w:p>
          <w:p w14:paraId="6B435E49">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大写：</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w:t>
            </w:r>
          </w:p>
        </w:tc>
      </w:tr>
      <w:tr w14:paraId="00B7C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38" w:type="dxa"/>
            <w:gridSpan w:val="3"/>
            <w:vAlign w:val="center"/>
          </w:tcPr>
          <w:p w14:paraId="1219BEC2">
            <w:pPr>
              <w:keepLines w:val="0"/>
              <w:pageBreakBefore w:val="0"/>
              <w:kinsoku/>
              <w:wordWrap/>
              <w:overflowPunct/>
              <w:topLinePunct w:val="0"/>
              <w:autoSpaceDE w:val="0"/>
              <w:autoSpaceDN w:val="0"/>
              <w:bidi w:val="0"/>
              <w:adjustRightInd w:val="0"/>
              <w:spacing w:line="360" w:lineRule="auto"/>
              <w:rPr>
                <w:rFonts w:ascii="宋体" w:cs="宋体"/>
                <w:color w:val="auto"/>
                <w:kern w:val="0"/>
                <w:sz w:val="24"/>
                <w:szCs w:val="24"/>
              </w:rPr>
            </w:pPr>
            <w:bookmarkStart w:id="113" w:name="OLE_LINK28"/>
            <w:bookmarkStart w:id="114" w:name="OLE_LINK29"/>
            <w:r>
              <w:rPr>
                <w:rFonts w:hint="eastAsia" w:ascii="宋体" w:hAnsi="宋体" w:cs="宋体"/>
                <w:color w:val="auto"/>
                <w:kern w:val="0"/>
                <w:sz w:val="24"/>
                <w:szCs w:val="24"/>
              </w:rPr>
              <w:t>服务周期</w:t>
            </w:r>
            <w:bookmarkEnd w:id="113"/>
            <w:bookmarkEnd w:id="114"/>
            <w:r>
              <w:rPr>
                <w:rFonts w:hint="eastAsia" w:ascii="宋体" w:hAnsi="宋体" w:cs="宋体"/>
                <w:color w:val="auto"/>
                <w:kern w:val="0"/>
                <w:sz w:val="24"/>
                <w:szCs w:val="24"/>
              </w:rPr>
              <w:t>：</w:t>
            </w:r>
            <w:r>
              <w:rPr>
                <w:rFonts w:hint="eastAsia" w:asciiTheme="minorEastAsia" w:hAnsiTheme="minorEastAsia"/>
                <w:color w:val="auto"/>
                <w:sz w:val="24"/>
                <w:szCs w:val="24"/>
                <w:u w:val="single"/>
              </w:rPr>
              <w:t xml:space="preserve">                        </w:t>
            </w:r>
            <w:r>
              <w:rPr>
                <w:rFonts w:ascii="宋体" w:cs="宋体"/>
                <w:color w:val="auto"/>
                <w:kern w:val="0"/>
                <w:sz w:val="24"/>
                <w:szCs w:val="24"/>
              </w:rPr>
              <w:t xml:space="preserve"> </w:t>
            </w:r>
          </w:p>
        </w:tc>
      </w:tr>
      <w:tr w14:paraId="14AE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9138" w:type="dxa"/>
            <w:gridSpan w:val="3"/>
            <w:vAlign w:val="center"/>
          </w:tcPr>
          <w:p w14:paraId="25464AC1">
            <w:pPr>
              <w:keepLines w:val="0"/>
              <w:pageBreakBefore w:val="0"/>
              <w:kinsoku/>
              <w:wordWrap/>
              <w:overflowPunct/>
              <w:topLinePunct w:val="0"/>
              <w:autoSpaceDE w:val="0"/>
              <w:autoSpaceDN w:val="0"/>
              <w:bidi w:val="0"/>
              <w:adjustRightInd w:val="0"/>
              <w:spacing w:line="360" w:lineRule="auto"/>
              <w:rPr>
                <w:rFonts w:ascii="宋体" w:hAnsi="宋体" w:cs="宋体"/>
                <w:color w:val="auto"/>
                <w:kern w:val="0"/>
                <w:sz w:val="24"/>
                <w:szCs w:val="24"/>
              </w:rPr>
            </w:pPr>
            <w:bookmarkStart w:id="115" w:name="OLE_LINK30"/>
            <w:r>
              <w:rPr>
                <w:rFonts w:hint="eastAsia" w:ascii="宋体" w:hAnsi="宋体" w:cs="宋体"/>
                <w:color w:val="auto"/>
                <w:kern w:val="0"/>
                <w:sz w:val="24"/>
                <w:szCs w:val="24"/>
              </w:rPr>
              <w:t>拟派项目负责人</w:t>
            </w:r>
            <w:bookmarkEnd w:id="115"/>
            <w:r>
              <w:rPr>
                <w:rFonts w:hint="eastAsia" w:ascii="宋体" w:hAnsi="宋体" w:cs="宋体"/>
                <w:color w:val="auto"/>
                <w:kern w:val="0"/>
                <w:sz w:val="24"/>
                <w:szCs w:val="24"/>
              </w:rPr>
              <w:t>：</w:t>
            </w:r>
            <w:r>
              <w:rPr>
                <w:rFonts w:hint="eastAsia" w:ascii="宋体" w:hAnsi="宋体" w:cs="宋体"/>
                <w:color w:val="auto"/>
                <w:kern w:val="0"/>
                <w:sz w:val="24"/>
                <w:szCs w:val="24"/>
                <w:u w:val="single"/>
              </w:rPr>
              <w:t xml:space="preserve">   （ 姓名）   </w:t>
            </w:r>
          </w:p>
        </w:tc>
      </w:tr>
      <w:tr w14:paraId="1FCC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138" w:type="dxa"/>
            <w:gridSpan w:val="3"/>
            <w:vAlign w:val="center"/>
          </w:tcPr>
          <w:p w14:paraId="0A740412">
            <w:pPr>
              <w:keepLines w:val="0"/>
              <w:pageBreakBefore w:val="0"/>
              <w:kinsoku/>
              <w:wordWrap/>
              <w:overflowPunct/>
              <w:topLinePunct w:val="0"/>
              <w:autoSpaceDE w:val="0"/>
              <w:autoSpaceDN w:val="0"/>
              <w:bidi w:val="0"/>
              <w:adjustRightInd w:val="0"/>
              <w:spacing w:line="360" w:lineRule="auto"/>
              <w:rPr>
                <w:rFonts w:ascii="宋体" w:cs="宋体"/>
                <w:color w:val="auto"/>
                <w:kern w:val="0"/>
                <w:sz w:val="24"/>
                <w:szCs w:val="24"/>
              </w:rPr>
            </w:pPr>
            <w:r>
              <w:rPr>
                <w:rFonts w:hint="eastAsia" w:ascii="宋体" w:hAnsi="宋体" w:cs="宋体"/>
                <w:color w:val="auto"/>
                <w:kern w:val="0"/>
                <w:sz w:val="24"/>
                <w:szCs w:val="24"/>
              </w:rPr>
              <w:t>备注：</w:t>
            </w:r>
          </w:p>
        </w:tc>
      </w:tr>
    </w:tbl>
    <w:p w14:paraId="0F325FF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1A977EE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注：</w:t>
      </w:r>
      <w:r>
        <w:rPr>
          <w:rFonts w:ascii="宋体" w:hAnsi="宋体" w:cs="宋体"/>
          <w:color w:val="auto"/>
          <w:kern w:val="0"/>
          <w:sz w:val="24"/>
          <w:szCs w:val="24"/>
        </w:rPr>
        <w:t>1.</w:t>
      </w:r>
      <w:r>
        <w:rPr>
          <w:rFonts w:hint="eastAsia" w:ascii="宋体" w:hAnsi="宋体" w:cs="宋体"/>
          <w:color w:val="auto"/>
          <w:kern w:val="0"/>
          <w:sz w:val="24"/>
          <w:szCs w:val="24"/>
        </w:rPr>
        <w:t>表中大小写不一致时，以大写为准。</w:t>
      </w:r>
    </w:p>
    <w:p w14:paraId="40ED082D">
      <w:pPr>
        <w:keepLines w:val="0"/>
        <w:pageBreakBefore w:val="0"/>
        <w:kinsoku/>
        <w:wordWrap/>
        <w:overflowPunct/>
        <w:topLinePunct w:val="0"/>
        <w:bidi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有关本项目实施所涉及的一切费用均计入报价。报价中必须包含前期调研、技术咨询、资料收集、报告编制、协调服务、交通差旅费、文档和图档的打印、装订及寄送费用、成果初审、专家咨询（含专家咨询费、交通费、餐费、场地费、住宿费等）等所产生的费用、全额含税发票、雇员费用、合同实施过程中的应预见和不可预见费用等完成合同规定责任和义务、达到合同目的的一切费用及企业利润。供应商必须自行考虑本项目在实施期间的一切可能产生的费用。在合同执行过程中，采购人将不再另行支付与本项目相关的任何费用。</w:t>
      </w:r>
    </w:p>
    <w:p w14:paraId="605F7FC6">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3</w:t>
      </w:r>
      <w:r>
        <w:rPr>
          <w:rFonts w:ascii="宋体" w:hAnsi="宋体" w:cs="宋体"/>
          <w:color w:val="auto"/>
          <w:kern w:val="0"/>
          <w:sz w:val="24"/>
          <w:szCs w:val="24"/>
        </w:rPr>
        <w:t>.</w:t>
      </w:r>
      <w:r>
        <w:rPr>
          <w:rFonts w:hint="eastAsia" w:ascii="宋体" w:hAnsi="宋体" w:cs="宋体"/>
          <w:color w:val="auto"/>
          <w:kern w:val="0"/>
          <w:sz w:val="24"/>
          <w:szCs w:val="24"/>
        </w:rPr>
        <w:t>本表中“投标总报价”必须与《投标函》中的“投标总报价”均保持一致，如不一致，以《开标一览表》为准。</w:t>
      </w:r>
    </w:p>
    <w:p w14:paraId="4AB5B3C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37BEEC3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32794E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72C47D4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（全称）（盖章）</w:t>
      </w:r>
    </w:p>
    <w:p w14:paraId="770605C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3D184AC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w:t>
      </w:r>
    </w:p>
    <w:p w14:paraId="531B3AB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03F6C8CD">
      <w:pPr>
        <w:keepLines w:val="0"/>
        <w:pageBreakBefore w:val="0"/>
        <w:kinsoku/>
        <w:wordWrap/>
        <w:overflowPunct/>
        <w:topLinePunct w:val="0"/>
        <w:autoSpaceDE w:val="0"/>
        <w:autoSpaceDN w:val="0"/>
        <w:bidi w:val="0"/>
        <w:spacing w:line="360" w:lineRule="auto"/>
        <w:jc w:val="center"/>
        <w:rPr>
          <w:rFonts w:ascii="宋体" w:hAnsi="宋体" w:cs="宋体"/>
          <w:b/>
          <w:color w:val="auto"/>
          <w:kern w:val="0"/>
          <w:sz w:val="30"/>
          <w:szCs w:val="30"/>
        </w:rPr>
      </w:pPr>
      <w:r>
        <w:rPr>
          <w:rFonts w:hint="eastAsia" w:ascii="宋体" w:hAnsi="宋体" w:cs="宋体"/>
          <w:b/>
          <w:color w:val="auto"/>
          <w:kern w:val="0"/>
          <w:sz w:val="30"/>
          <w:szCs w:val="30"/>
        </w:rPr>
        <w:t>（第三部分）商务技术响应文件</w:t>
      </w:r>
    </w:p>
    <w:p w14:paraId="57C8966F">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（1）投标函；</w:t>
      </w:r>
    </w:p>
    <w:p w14:paraId="5F223189">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（2）偏离表；</w:t>
      </w:r>
    </w:p>
    <w:p w14:paraId="4BA42AD3">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（3）近三年内已完成的类似项目业绩；</w:t>
      </w:r>
    </w:p>
    <w:p w14:paraId="46753C81">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 xml:space="preserve">（4）项目整体服务方案； </w:t>
      </w:r>
    </w:p>
    <w:p w14:paraId="087AA3A5">
      <w:pPr>
        <w:keepLines w:val="0"/>
        <w:pageBreakBefore w:val="0"/>
        <w:kinsoku/>
        <w:wordWrap/>
        <w:overflowPunct/>
        <w:topLinePunct w:val="0"/>
        <w:autoSpaceDE w:val="0"/>
        <w:autoSpaceDN w:val="0"/>
        <w:bidi w:val="0"/>
        <w:adjustRightInd w:val="0"/>
        <w:spacing w:line="360" w:lineRule="auto"/>
        <w:ind w:firstLine="600" w:firstLineChars="250"/>
        <w:jc w:val="left"/>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4.1</w:t>
      </w:r>
      <w:r>
        <w:rPr>
          <w:rFonts w:ascii="宋体" w:hAnsi="宋体" w:cs="宋体"/>
          <w:color w:val="auto"/>
          <w:kern w:val="0"/>
          <w:sz w:val="24"/>
          <w:szCs w:val="24"/>
        </w:rPr>
        <w:t>)</w:t>
      </w:r>
      <w:r>
        <w:rPr>
          <w:rFonts w:hint="eastAsia" w:ascii="宋体" w:hAnsi="宋体" w:cs="宋体"/>
          <w:color w:val="auto"/>
          <w:kern w:val="0"/>
          <w:sz w:val="24"/>
          <w:szCs w:val="24"/>
        </w:rPr>
        <w:t>拟投入本项目主要人员汇总表</w:t>
      </w:r>
    </w:p>
    <w:p w14:paraId="51CD60CB">
      <w:pPr>
        <w:keepLines w:val="0"/>
        <w:pageBreakBefore w:val="0"/>
        <w:kinsoku/>
        <w:wordWrap/>
        <w:overflowPunct/>
        <w:topLinePunct w:val="0"/>
        <w:autoSpaceDE w:val="0"/>
        <w:autoSpaceDN w:val="0"/>
        <w:bidi w:val="0"/>
        <w:adjustRightInd w:val="0"/>
        <w:spacing w:line="360" w:lineRule="auto"/>
        <w:ind w:firstLine="600" w:firstLineChars="250"/>
        <w:jc w:val="left"/>
        <w:rPr>
          <w:rFonts w:ascii="宋体" w:hAnsi="宋体" w:cs="宋体"/>
          <w:color w:val="auto"/>
          <w:kern w:val="0"/>
          <w:sz w:val="24"/>
          <w:szCs w:val="24"/>
        </w:rPr>
      </w:pPr>
      <w:r>
        <w:rPr>
          <w:rFonts w:ascii="宋体" w:hAnsi="宋体" w:cs="宋体"/>
          <w:color w:val="auto"/>
          <w:kern w:val="0"/>
          <w:sz w:val="24"/>
          <w:szCs w:val="24"/>
        </w:rPr>
        <w:t>(</w:t>
      </w:r>
      <w:r>
        <w:rPr>
          <w:rFonts w:hint="eastAsia" w:ascii="宋体" w:hAnsi="宋体" w:cs="宋体"/>
          <w:color w:val="auto"/>
          <w:kern w:val="0"/>
          <w:sz w:val="24"/>
          <w:szCs w:val="24"/>
        </w:rPr>
        <w:t>4.2</w:t>
      </w:r>
      <w:r>
        <w:rPr>
          <w:rFonts w:ascii="宋体" w:hAnsi="宋体" w:cs="宋体"/>
          <w:color w:val="auto"/>
          <w:kern w:val="0"/>
          <w:sz w:val="24"/>
          <w:szCs w:val="24"/>
        </w:rPr>
        <w:t>)</w:t>
      </w:r>
      <w:r>
        <w:rPr>
          <w:rFonts w:hint="eastAsia" w:ascii="宋体" w:hAnsi="宋体" w:cs="宋体"/>
          <w:color w:val="auto"/>
          <w:kern w:val="0"/>
          <w:sz w:val="24"/>
          <w:szCs w:val="24"/>
        </w:rPr>
        <w:t>拟投入本项目的主要人员简历表</w:t>
      </w:r>
    </w:p>
    <w:p w14:paraId="24211FDB">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（5）服务承诺书；</w:t>
      </w:r>
    </w:p>
    <w:p w14:paraId="497E8B4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（6）其他有利资料；</w:t>
      </w:r>
    </w:p>
    <w:p w14:paraId="0B67FC2E">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（7）投标单位反商业贿赂承诺书。</w:t>
      </w:r>
    </w:p>
    <w:p w14:paraId="336161DA">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714992B7">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（1）投标函</w:t>
      </w:r>
    </w:p>
    <w:p w14:paraId="06CCA6B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致：</w:t>
      </w:r>
      <w:r>
        <w:rPr>
          <w:rFonts w:hint="eastAsia" w:ascii="宋体" w:hAnsi="宋体" w:cs="宋体"/>
          <w:color w:val="auto"/>
          <w:kern w:val="0"/>
          <w:sz w:val="24"/>
          <w:szCs w:val="24"/>
          <w:u w:val="single"/>
        </w:rPr>
        <w:t>（采购人名称）</w:t>
      </w:r>
    </w:p>
    <w:p w14:paraId="1CA1E166">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根据贵方为</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ascii="宋体" w:hAnsi="宋体" w:cs="宋体"/>
          <w:color w:val="auto"/>
          <w:kern w:val="0"/>
          <w:sz w:val="24"/>
          <w:szCs w:val="24"/>
        </w:rPr>
        <w:t xml:space="preserve"> </w:t>
      </w:r>
      <w:r>
        <w:rPr>
          <w:rFonts w:hint="eastAsia" w:ascii="宋体" w:hAnsi="宋体" w:cs="宋体"/>
          <w:color w:val="auto"/>
          <w:kern w:val="0"/>
          <w:sz w:val="24"/>
          <w:szCs w:val="24"/>
        </w:rPr>
        <w:t>项目的竞争性磋商文件，签字代表</w:t>
      </w:r>
      <w:r>
        <w:rPr>
          <w:rFonts w:hint="eastAsia" w:ascii="宋体" w:hAnsi="宋体" w:cs="宋体"/>
          <w:color w:val="auto"/>
          <w:kern w:val="0"/>
          <w:sz w:val="24"/>
          <w:szCs w:val="24"/>
          <w:u w:val="single"/>
        </w:rPr>
        <w:t>（姓名、职务）</w:t>
      </w:r>
      <w:r>
        <w:rPr>
          <w:rFonts w:hint="eastAsia" w:ascii="宋体" w:hAnsi="宋体" w:cs="宋体"/>
          <w:color w:val="auto"/>
          <w:kern w:val="0"/>
          <w:sz w:val="24"/>
          <w:szCs w:val="24"/>
        </w:rPr>
        <w:t>经正式授权并代表供应商</w:t>
      </w:r>
      <w:r>
        <w:rPr>
          <w:rFonts w:hint="eastAsia" w:ascii="宋体" w:hAnsi="宋体" w:cs="宋体"/>
          <w:color w:val="auto"/>
          <w:kern w:val="0"/>
          <w:sz w:val="24"/>
          <w:szCs w:val="24"/>
          <w:u w:val="single"/>
        </w:rPr>
        <w:t>（供应商名称、地址）</w:t>
      </w:r>
      <w:r>
        <w:rPr>
          <w:rFonts w:hint="eastAsia" w:ascii="宋体" w:hAnsi="宋体" w:cs="宋体"/>
          <w:color w:val="auto"/>
          <w:kern w:val="0"/>
          <w:sz w:val="24"/>
          <w:szCs w:val="24"/>
        </w:rPr>
        <w:t>提交下述响应文件。</w:t>
      </w:r>
    </w:p>
    <w:p w14:paraId="68F7235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、开标一览表</w:t>
      </w:r>
    </w:p>
    <w:p w14:paraId="0353788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、按竞争性磋商文件供应商须知、技术规格要求及其他要求提供有关文件</w:t>
      </w:r>
    </w:p>
    <w:p w14:paraId="511CB3B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、磋商保证金，形式</w:t>
      </w:r>
      <w:r>
        <w:rPr>
          <w:rFonts w:hint="eastAsia" w:ascii="宋体" w:hAnsi="宋体" w:cs="宋体"/>
          <w:color w:val="auto"/>
          <w:kern w:val="0"/>
          <w:sz w:val="24"/>
          <w:szCs w:val="24"/>
          <w:u w:val="single"/>
        </w:rPr>
        <w:t>（电汇、网银等）</w:t>
      </w:r>
      <w:r>
        <w:rPr>
          <w:rFonts w:hint="eastAsia" w:ascii="宋体" w:hAnsi="宋体" w:cs="宋体"/>
          <w:color w:val="auto"/>
          <w:kern w:val="0"/>
          <w:sz w:val="24"/>
          <w:szCs w:val="24"/>
        </w:rPr>
        <w:t>，金额为</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w:t>
      </w:r>
    </w:p>
    <w:p w14:paraId="0D933C2F">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hint="eastAsia" w:ascii="宋体" w:hAnsi="宋体" w:cs="宋体"/>
          <w:color w:val="auto"/>
          <w:kern w:val="0"/>
          <w:sz w:val="24"/>
          <w:szCs w:val="24"/>
        </w:rPr>
        <w:t>据此函，签字代表宣布并同意如下：</w:t>
      </w:r>
    </w:p>
    <w:p w14:paraId="0C72AED2">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1</w:t>
      </w:r>
      <w:r>
        <w:rPr>
          <w:rFonts w:hint="eastAsia" w:ascii="宋体" w:hAnsi="宋体" w:cs="宋体"/>
          <w:color w:val="auto"/>
          <w:kern w:val="0"/>
          <w:sz w:val="24"/>
          <w:szCs w:val="24"/>
        </w:rPr>
        <w:t>、所附投标报价表中规定的应提交和交付的服务投标总报价为</w:t>
      </w:r>
      <w:r>
        <w:rPr>
          <w:rFonts w:hint="eastAsia" w:ascii="宋体" w:hAnsi="宋体" w:cs="宋体"/>
          <w:color w:val="auto"/>
          <w:kern w:val="0"/>
          <w:sz w:val="24"/>
          <w:szCs w:val="24"/>
          <w:u w:val="single"/>
        </w:rPr>
        <w:t>（注明币种，并用文字和数字表示的投标总价）</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w:t>
      </w:r>
    </w:p>
    <w:p w14:paraId="25389513">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、投标方将按竞争性磋商文件的规定履行合同责任和义务；</w:t>
      </w:r>
    </w:p>
    <w:p w14:paraId="1F006A7B">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、投标方已详细阅读并理解了竞争性磋商文件的全部，包括修改文件（如有的话）。我们完全理解并同意放弃对这方面有不明及误解的权利。</w:t>
      </w:r>
    </w:p>
    <w:p w14:paraId="2353BECB">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4</w:t>
      </w:r>
      <w:r>
        <w:rPr>
          <w:rFonts w:hint="eastAsia" w:ascii="宋体" w:hAnsi="宋体" w:cs="宋体"/>
          <w:color w:val="auto"/>
          <w:kern w:val="0"/>
          <w:sz w:val="24"/>
          <w:szCs w:val="24"/>
        </w:rPr>
        <w:t>、本投标有效期自开标之日起</w:t>
      </w:r>
      <w:r>
        <w:rPr>
          <w:rFonts w:ascii="宋体" w:hAnsi="宋体" w:cs="宋体"/>
          <w:color w:val="auto"/>
          <w:kern w:val="0"/>
          <w:sz w:val="24"/>
          <w:szCs w:val="24"/>
        </w:rPr>
        <w:t xml:space="preserve"> </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90</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个日历日。</w:t>
      </w:r>
    </w:p>
    <w:p w14:paraId="57F70BE8">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5</w:t>
      </w:r>
      <w:r>
        <w:rPr>
          <w:rFonts w:hint="eastAsia" w:ascii="宋体" w:hAnsi="宋体" w:cs="宋体"/>
          <w:color w:val="auto"/>
          <w:kern w:val="0"/>
          <w:sz w:val="24"/>
          <w:szCs w:val="24"/>
        </w:rPr>
        <w:t>、在规定的开标时间后，如果在投标有效期内撤回投标，同意磋商保证金将被贵方没收。</w:t>
      </w:r>
    </w:p>
    <w:p w14:paraId="405C8902">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6</w:t>
      </w:r>
      <w:r>
        <w:rPr>
          <w:rFonts w:hint="eastAsia" w:ascii="宋体" w:hAnsi="宋体" w:cs="宋体"/>
          <w:color w:val="auto"/>
          <w:kern w:val="0"/>
          <w:sz w:val="24"/>
          <w:szCs w:val="24"/>
        </w:rPr>
        <w:t>、供应商同意提供按照贵方可能要求的与其投标有关的一切数据或资料，完全</w:t>
      </w:r>
    </w:p>
    <w:p w14:paraId="16D674E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理解贵方不一定接受最低价的投标或收到的任何投标的约定。</w:t>
      </w:r>
    </w:p>
    <w:p w14:paraId="78708CFC">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ascii="宋体" w:hAnsi="宋体" w:cs="宋体"/>
          <w:color w:val="auto"/>
          <w:kern w:val="0"/>
          <w:sz w:val="24"/>
          <w:szCs w:val="24"/>
        </w:rPr>
        <w:t>7</w:t>
      </w:r>
      <w:r>
        <w:rPr>
          <w:rFonts w:hint="eastAsia" w:ascii="宋体" w:hAnsi="宋体" w:cs="宋体"/>
          <w:color w:val="auto"/>
          <w:kern w:val="0"/>
          <w:sz w:val="24"/>
          <w:szCs w:val="24"/>
        </w:rPr>
        <w:t>、与本投标有关的一切正式往来信函请寄：</w:t>
      </w:r>
    </w:p>
    <w:p w14:paraId="529667D7">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hint="eastAsia" w:ascii="宋体" w:hAnsi="宋体" w:cs="宋体"/>
          <w:color w:val="auto"/>
          <w:kern w:val="0"/>
          <w:sz w:val="24"/>
          <w:szCs w:val="24"/>
        </w:rPr>
        <w:t>地址：</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邮编：</w:t>
      </w:r>
      <w:r>
        <w:rPr>
          <w:rFonts w:ascii="宋体" w:hAnsi="宋体" w:cs="宋体"/>
          <w:color w:val="auto"/>
          <w:kern w:val="0"/>
          <w:sz w:val="24"/>
          <w:szCs w:val="24"/>
          <w:u w:val="single"/>
        </w:rPr>
        <w:t xml:space="preserve">               </w:t>
      </w:r>
    </w:p>
    <w:p w14:paraId="7E708C65">
      <w:pPr>
        <w:keepLines w:val="0"/>
        <w:pageBreakBefore w:val="0"/>
        <w:kinsoku/>
        <w:wordWrap/>
        <w:overflowPunct/>
        <w:topLinePunct w:val="0"/>
        <w:autoSpaceDE w:val="0"/>
        <w:autoSpaceDN w:val="0"/>
        <w:bidi w:val="0"/>
        <w:adjustRightInd w:val="0"/>
        <w:spacing w:line="360" w:lineRule="auto"/>
        <w:ind w:firstLine="360" w:firstLineChars="150"/>
        <w:jc w:val="left"/>
        <w:rPr>
          <w:rFonts w:ascii="宋体" w:cs="宋体"/>
          <w:color w:val="auto"/>
          <w:kern w:val="0"/>
          <w:sz w:val="24"/>
          <w:szCs w:val="24"/>
        </w:rPr>
      </w:pPr>
      <w:r>
        <w:rPr>
          <w:rFonts w:hint="eastAsia" w:ascii="宋体" w:hAnsi="宋体" w:cs="宋体"/>
          <w:color w:val="auto"/>
          <w:kern w:val="0"/>
          <w:sz w:val="24"/>
          <w:szCs w:val="24"/>
        </w:rPr>
        <w:t>电话：</w:t>
      </w:r>
      <w:r>
        <w:rPr>
          <w:rFonts w:ascii="宋体" w:hAnsi="宋体" w:cs="宋体"/>
          <w:color w:val="auto"/>
          <w:kern w:val="0"/>
          <w:sz w:val="24"/>
          <w:szCs w:val="24"/>
          <w:u w:val="single"/>
        </w:rPr>
        <w:t xml:space="preserve">                 </w:t>
      </w:r>
      <w:r>
        <w:rPr>
          <w:rFonts w:ascii="宋体" w:hAnsi="宋体" w:cs="宋体"/>
          <w:color w:val="auto"/>
          <w:kern w:val="0"/>
          <w:sz w:val="24"/>
          <w:szCs w:val="24"/>
        </w:rPr>
        <w:t xml:space="preserve"> </w:t>
      </w:r>
      <w:r>
        <w:rPr>
          <w:rFonts w:hint="eastAsia" w:ascii="宋体" w:hAnsi="宋体" w:cs="宋体"/>
          <w:color w:val="auto"/>
          <w:kern w:val="0"/>
          <w:sz w:val="24"/>
          <w:szCs w:val="24"/>
        </w:rPr>
        <w:t>传真：</w:t>
      </w:r>
      <w:r>
        <w:rPr>
          <w:rFonts w:ascii="宋体" w:hAnsi="宋体" w:cs="宋体"/>
          <w:color w:val="auto"/>
          <w:kern w:val="0"/>
          <w:sz w:val="24"/>
          <w:szCs w:val="24"/>
          <w:u w:val="single"/>
        </w:rPr>
        <w:t xml:space="preserve">               </w:t>
      </w:r>
    </w:p>
    <w:p w14:paraId="76AE7B1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 xml:space="preserve">   供应商：</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rPr>
        <w:t>（全称）（盖章）</w:t>
      </w:r>
    </w:p>
    <w:p w14:paraId="507D72A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 xml:space="preserve">   法定代表人：</w:t>
      </w:r>
      <w:r>
        <w:rPr>
          <w:rFonts w:hint="eastAsia" w:ascii="宋体" w:hAnsi="宋体" w:cs="宋体"/>
          <w:color w:val="auto"/>
          <w:kern w:val="0"/>
          <w:sz w:val="24"/>
          <w:szCs w:val="24"/>
          <w:u w:val="single"/>
        </w:rPr>
        <w:t>（盖章）</w:t>
      </w:r>
    </w:p>
    <w:p w14:paraId="22120FD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 xml:space="preserve">   日期：</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年</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月</w:t>
      </w:r>
      <w:r>
        <w:rPr>
          <w:rFonts w:ascii="宋体" w:hAnsi="宋体" w:cs="宋体"/>
          <w:color w:val="auto"/>
          <w:kern w:val="0"/>
          <w:sz w:val="24"/>
          <w:szCs w:val="24"/>
          <w:u w:val="single"/>
        </w:rPr>
        <w:t xml:space="preserve">        </w:t>
      </w:r>
      <w:r>
        <w:rPr>
          <w:rFonts w:hint="eastAsia" w:ascii="宋体" w:hAnsi="宋体" w:cs="宋体"/>
          <w:color w:val="auto"/>
          <w:kern w:val="0"/>
          <w:sz w:val="24"/>
          <w:szCs w:val="24"/>
        </w:rPr>
        <w:t>日</w:t>
      </w:r>
    </w:p>
    <w:p w14:paraId="28F13B85">
      <w:pPr>
        <w:keepLines w:val="0"/>
        <w:pageBreakBefore w:val="0"/>
        <w:kinsoku/>
        <w:wordWrap/>
        <w:overflowPunct/>
        <w:topLinePunct w:val="0"/>
        <w:bidi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br w:type="page"/>
      </w:r>
    </w:p>
    <w:p w14:paraId="0D7645AA">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（2）偏离表</w:t>
      </w:r>
    </w:p>
    <w:p w14:paraId="35495ACD">
      <w:pPr>
        <w:keepLines w:val="0"/>
        <w:pageBreakBefore w:val="0"/>
        <w:tabs>
          <w:tab w:val="center" w:pos="4832"/>
          <w:tab w:val="left" w:pos="7140"/>
        </w:tabs>
        <w:kinsoku/>
        <w:wordWrap/>
        <w:overflowPunct/>
        <w:topLinePunct w:val="0"/>
        <w:bidi w:val="0"/>
        <w:spacing w:line="360" w:lineRule="auto"/>
        <w:jc w:val="left"/>
        <w:outlineLvl w:val="1"/>
        <w:rPr>
          <w:rFonts w:ascii="宋体" w:hAnsi="宋体" w:eastAsia="宋体" w:cs="宋体"/>
          <w:b/>
          <w:color w:val="auto"/>
          <w:sz w:val="24"/>
          <w:szCs w:val="24"/>
        </w:rPr>
      </w:pPr>
      <w:bookmarkStart w:id="116" w:name="_Toc21056"/>
      <w:bookmarkStart w:id="117" w:name="_Toc6659"/>
      <w:r>
        <w:rPr>
          <w:rFonts w:hint="eastAsia" w:ascii="宋体" w:hAnsi="宋体" w:cs="宋体"/>
          <w:b/>
          <w:color w:val="auto"/>
          <w:sz w:val="24"/>
          <w:szCs w:val="24"/>
        </w:rPr>
        <w:t>2.1、</w:t>
      </w:r>
      <w:r>
        <w:rPr>
          <w:rFonts w:hint="eastAsia" w:ascii="宋体" w:hAnsi="宋体" w:eastAsia="宋体" w:cs="宋体"/>
          <w:b/>
          <w:color w:val="auto"/>
          <w:sz w:val="24"/>
          <w:szCs w:val="24"/>
        </w:rPr>
        <w:t>技术条款偏离表</w:t>
      </w:r>
      <w:bookmarkEnd w:id="116"/>
      <w:bookmarkEnd w:id="117"/>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5"/>
        <w:gridCol w:w="1357"/>
        <w:gridCol w:w="1326"/>
        <w:gridCol w:w="1326"/>
        <w:gridCol w:w="1326"/>
        <w:gridCol w:w="1327"/>
        <w:gridCol w:w="1327"/>
      </w:tblGrid>
      <w:tr w14:paraId="5C62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14:paraId="25FA4D1E">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序号</w:t>
            </w:r>
          </w:p>
        </w:tc>
        <w:tc>
          <w:tcPr>
            <w:tcW w:w="1357" w:type="dxa"/>
            <w:vAlign w:val="center"/>
          </w:tcPr>
          <w:p w14:paraId="0B5512A4">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服务内容</w:t>
            </w:r>
          </w:p>
        </w:tc>
        <w:tc>
          <w:tcPr>
            <w:tcW w:w="1326" w:type="dxa"/>
            <w:vAlign w:val="center"/>
          </w:tcPr>
          <w:p w14:paraId="59340961">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竞争性磋商文件条目号</w:t>
            </w:r>
          </w:p>
        </w:tc>
        <w:tc>
          <w:tcPr>
            <w:tcW w:w="1326" w:type="dxa"/>
            <w:vAlign w:val="center"/>
          </w:tcPr>
          <w:p w14:paraId="115ED45C">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竞争性磋商文件要求规格</w:t>
            </w:r>
          </w:p>
        </w:tc>
        <w:tc>
          <w:tcPr>
            <w:tcW w:w="1326" w:type="dxa"/>
            <w:vAlign w:val="center"/>
          </w:tcPr>
          <w:p w14:paraId="67A203C0">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竞争性响应文件规格</w:t>
            </w:r>
          </w:p>
        </w:tc>
        <w:tc>
          <w:tcPr>
            <w:tcW w:w="1327" w:type="dxa"/>
            <w:vAlign w:val="center"/>
          </w:tcPr>
          <w:p w14:paraId="04446C4B">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偏离</w:t>
            </w:r>
          </w:p>
        </w:tc>
        <w:tc>
          <w:tcPr>
            <w:tcW w:w="1327" w:type="dxa"/>
            <w:vAlign w:val="center"/>
          </w:tcPr>
          <w:p w14:paraId="7DA50C6F">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说明</w:t>
            </w:r>
          </w:p>
        </w:tc>
      </w:tr>
      <w:tr w14:paraId="062D0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6E6B1BE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050642F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22E36E0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1DEDA52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5D9D55D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0FAB993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3D1B8B0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2429C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7B0BD92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3E5BA05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041F9CC7">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68FDE9D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7F0C8973">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2E2D1CF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6DC5C5F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1DE4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4593E3D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77EA8AC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12A15F8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3ED10A95">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617539CB">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6D6987B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476E3CB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2330E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1D019588">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59651F1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482BFE85">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420577C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24876C5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2F3F2FE3">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1D0A1E5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7BF1B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14:paraId="20D0CB5D">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57" w:type="dxa"/>
          </w:tcPr>
          <w:p w14:paraId="1DE8892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469FB5C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13E30C2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6" w:type="dxa"/>
          </w:tcPr>
          <w:p w14:paraId="690320C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72344617">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327" w:type="dxa"/>
          </w:tcPr>
          <w:p w14:paraId="15A13051">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bl>
    <w:p w14:paraId="16AAB663">
      <w:pPr>
        <w:keepLines w:val="0"/>
        <w:pageBreakBefore w:val="0"/>
        <w:kinsoku/>
        <w:wordWrap/>
        <w:overflowPunct/>
        <w:topLinePunct w:val="0"/>
        <w:bidi w:val="0"/>
        <w:spacing w:line="360" w:lineRule="auto"/>
        <w:ind w:firstLine="475" w:firstLineChars="198"/>
        <w:jc w:val="left"/>
        <w:rPr>
          <w:rFonts w:ascii="宋体" w:hAnsi="Calibri" w:eastAsia="宋体" w:cs="Times New Roman"/>
          <w:color w:val="auto"/>
          <w:sz w:val="24"/>
          <w:szCs w:val="24"/>
        </w:rPr>
      </w:pPr>
      <w:r>
        <w:rPr>
          <w:rFonts w:hint="eastAsia" w:ascii="宋体" w:hAnsi="宋体" w:eastAsia="宋体" w:cs="Times New Roman"/>
          <w:color w:val="auto"/>
          <w:sz w:val="24"/>
          <w:szCs w:val="24"/>
        </w:rPr>
        <w:t xml:space="preserve">备注：供应商应根据其提供的服务，对照竞争性磋商文件第四章“服务标准和要求”中的要求，有差异的，则在此表中列明实际响应的内容提要并加以说明，以便查对。本表包括所有的技术响应及差异。无差异说明表示完全响应。 </w:t>
      </w:r>
    </w:p>
    <w:p w14:paraId="5651887E">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07B85EBA">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4C13EB4C">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供应商：（盖章）</w:t>
      </w:r>
    </w:p>
    <w:p w14:paraId="0F7BF8C9">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000E1414">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法定代表人：（盖章）</w:t>
      </w:r>
    </w:p>
    <w:p w14:paraId="06915569">
      <w:pPr>
        <w:keepLines w:val="0"/>
        <w:pageBreakBefore w:val="0"/>
        <w:widowControl/>
        <w:shd w:val="clear" w:color="auto" w:fill="FFFFFF"/>
        <w:kinsoku/>
        <w:wordWrap/>
        <w:overflowPunct/>
        <w:topLinePunct w:val="0"/>
        <w:bidi w:val="0"/>
        <w:snapToGrid w:val="0"/>
        <w:spacing w:line="360" w:lineRule="auto"/>
        <w:ind w:firstLine="420"/>
        <w:jc w:val="center"/>
        <w:rPr>
          <w:rFonts w:ascii="宋体" w:hAnsi="宋体" w:cs="Arial"/>
          <w:color w:val="auto"/>
          <w:kern w:val="0"/>
          <w:sz w:val="24"/>
          <w:szCs w:val="24"/>
        </w:rPr>
      </w:pPr>
      <w:r>
        <w:rPr>
          <w:rFonts w:hint="eastAsia" w:ascii="宋体" w:hAnsi="宋体" w:eastAsia="宋体" w:cs="Arial"/>
          <w:color w:val="auto"/>
          <w:kern w:val="0"/>
          <w:sz w:val="24"/>
          <w:szCs w:val="24"/>
        </w:rPr>
        <w:t xml:space="preserve">                                               日期： 年  月  日</w:t>
      </w:r>
    </w:p>
    <w:p w14:paraId="414456A9">
      <w:pPr>
        <w:keepLines w:val="0"/>
        <w:pageBreakBefore w:val="0"/>
        <w:tabs>
          <w:tab w:val="center" w:pos="4832"/>
          <w:tab w:val="left" w:pos="7140"/>
        </w:tabs>
        <w:kinsoku/>
        <w:wordWrap/>
        <w:overflowPunct/>
        <w:topLinePunct w:val="0"/>
        <w:bidi w:val="0"/>
        <w:spacing w:line="360" w:lineRule="auto"/>
        <w:jc w:val="left"/>
        <w:outlineLvl w:val="1"/>
        <w:rPr>
          <w:rFonts w:ascii="宋体" w:hAnsi="宋体" w:eastAsia="宋体" w:cs="宋体"/>
          <w:b/>
          <w:color w:val="auto"/>
          <w:sz w:val="24"/>
          <w:szCs w:val="24"/>
        </w:rPr>
      </w:pPr>
      <w:r>
        <w:rPr>
          <w:rFonts w:ascii="宋体" w:hAnsi="宋体" w:cs="Arial"/>
          <w:b/>
          <w:bCs/>
          <w:color w:val="auto"/>
          <w:kern w:val="36"/>
          <w:sz w:val="24"/>
          <w:szCs w:val="24"/>
        </w:rPr>
        <w:br w:type="page"/>
      </w:r>
      <w:bookmarkStart w:id="118" w:name="_Toc37592791"/>
      <w:bookmarkStart w:id="119" w:name="_Toc28821"/>
      <w:bookmarkStart w:id="120" w:name="_Toc6265"/>
      <w:r>
        <w:rPr>
          <w:rFonts w:hint="eastAsia" w:ascii="宋体" w:hAnsi="宋体" w:cs="宋体"/>
          <w:b/>
          <w:color w:val="auto"/>
          <w:sz w:val="24"/>
          <w:szCs w:val="24"/>
        </w:rPr>
        <w:t>2.2、</w:t>
      </w:r>
      <w:bookmarkEnd w:id="118"/>
      <w:r>
        <w:rPr>
          <w:rFonts w:hint="eastAsia" w:ascii="宋体" w:hAnsi="宋体" w:eastAsia="宋体" w:cs="宋体"/>
          <w:b/>
          <w:color w:val="auto"/>
          <w:sz w:val="24"/>
          <w:szCs w:val="24"/>
        </w:rPr>
        <w:t>商务条款偏离表</w:t>
      </w:r>
      <w:bookmarkEnd w:id="119"/>
      <w:bookmarkEnd w:id="120"/>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06"/>
        <w:gridCol w:w="2070"/>
        <w:gridCol w:w="2052"/>
        <w:gridCol w:w="2126"/>
        <w:gridCol w:w="1985"/>
      </w:tblGrid>
      <w:tr w14:paraId="199EA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3" w:hRule="atLeast"/>
          <w:jc w:val="center"/>
        </w:trPr>
        <w:tc>
          <w:tcPr>
            <w:tcW w:w="806" w:type="dxa"/>
            <w:vAlign w:val="center"/>
          </w:tcPr>
          <w:p w14:paraId="6DB73C42">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序号</w:t>
            </w:r>
          </w:p>
        </w:tc>
        <w:tc>
          <w:tcPr>
            <w:tcW w:w="2070" w:type="dxa"/>
            <w:vAlign w:val="center"/>
          </w:tcPr>
          <w:p w14:paraId="2A93DEF9">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竞争性磋商文件条目号</w:t>
            </w:r>
          </w:p>
        </w:tc>
        <w:tc>
          <w:tcPr>
            <w:tcW w:w="2052" w:type="dxa"/>
            <w:vAlign w:val="center"/>
          </w:tcPr>
          <w:p w14:paraId="09CD3207">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竞争性磋商文件的商务条款</w:t>
            </w:r>
          </w:p>
        </w:tc>
        <w:tc>
          <w:tcPr>
            <w:tcW w:w="2126" w:type="dxa"/>
            <w:vAlign w:val="center"/>
          </w:tcPr>
          <w:p w14:paraId="139215F2">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竞争性磋商响应文件的商务条款</w:t>
            </w:r>
          </w:p>
        </w:tc>
        <w:tc>
          <w:tcPr>
            <w:tcW w:w="1985" w:type="dxa"/>
            <w:vAlign w:val="center"/>
          </w:tcPr>
          <w:p w14:paraId="3E3B3609">
            <w:pPr>
              <w:keepLines w:val="0"/>
              <w:pageBreakBefore w:val="0"/>
              <w:kinsoku/>
              <w:wordWrap/>
              <w:overflowPunct/>
              <w:topLinePunct w:val="0"/>
              <w:bidi w:val="0"/>
              <w:spacing w:line="360" w:lineRule="auto"/>
              <w:jc w:val="center"/>
              <w:rPr>
                <w:rFonts w:ascii="宋体" w:hAnsi="Calibri" w:eastAsia="宋体" w:cs="宋体"/>
                <w:bCs/>
                <w:color w:val="auto"/>
                <w:sz w:val="24"/>
                <w:szCs w:val="24"/>
              </w:rPr>
            </w:pPr>
            <w:r>
              <w:rPr>
                <w:rFonts w:hint="eastAsia" w:ascii="宋体" w:hAnsi="宋体" w:eastAsia="宋体" w:cs="宋体"/>
                <w:bCs/>
                <w:color w:val="auto"/>
                <w:sz w:val="24"/>
                <w:szCs w:val="24"/>
              </w:rPr>
              <w:t>说明</w:t>
            </w:r>
          </w:p>
        </w:tc>
      </w:tr>
      <w:tr w14:paraId="63037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74FD19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3907586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7D98980F">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6C4E2BC6">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382582ED">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2329C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4893B3F5">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7ED8AE68">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5404EA4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35EEB967">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7E29A0A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3BE2B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37D05649">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58505FC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4D7CBA3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48A5211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33ECC68A">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11E54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6BD38BC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139B4EDE">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4A7612C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727C5A6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4A6D6B9C">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r w14:paraId="32DD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jc w:val="center"/>
        </w:trPr>
        <w:tc>
          <w:tcPr>
            <w:tcW w:w="806" w:type="dxa"/>
          </w:tcPr>
          <w:p w14:paraId="1E9F1872">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70" w:type="dxa"/>
          </w:tcPr>
          <w:p w14:paraId="1E9B48A0">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052" w:type="dxa"/>
          </w:tcPr>
          <w:p w14:paraId="50F6CB9F">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2126" w:type="dxa"/>
          </w:tcPr>
          <w:p w14:paraId="751A6294">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c>
          <w:tcPr>
            <w:tcW w:w="1985" w:type="dxa"/>
          </w:tcPr>
          <w:p w14:paraId="0F3AF798">
            <w:pPr>
              <w:keepLines w:val="0"/>
              <w:pageBreakBefore w:val="0"/>
              <w:kinsoku/>
              <w:wordWrap/>
              <w:overflowPunct/>
              <w:topLinePunct w:val="0"/>
              <w:bidi w:val="0"/>
              <w:spacing w:line="360" w:lineRule="auto"/>
              <w:jc w:val="center"/>
              <w:rPr>
                <w:rFonts w:ascii="宋体" w:hAnsi="Calibri" w:eastAsia="宋体" w:cs="宋体"/>
                <w:b/>
                <w:bCs/>
                <w:color w:val="auto"/>
                <w:sz w:val="24"/>
                <w:szCs w:val="24"/>
              </w:rPr>
            </w:pPr>
          </w:p>
        </w:tc>
      </w:tr>
    </w:tbl>
    <w:p w14:paraId="7962228D">
      <w:pPr>
        <w:keepLines w:val="0"/>
        <w:pageBreakBefore w:val="0"/>
        <w:kinsoku/>
        <w:wordWrap/>
        <w:overflowPunct/>
        <w:topLinePunct w:val="0"/>
        <w:bidi w:val="0"/>
        <w:spacing w:line="360" w:lineRule="auto"/>
        <w:ind w:firstLine="480" w:firstLineChars="200"/>
        <w:jc w:val="left"/>
        <w:rPr>
          <w:rFonts w:ascii="宋体" w:hAnsi="Calibri" w:eastAsia="宋体" w:cs="Times New Roman"/>
          <w:color w:val="auto"/>
          <w:sz w:val="24"/>
          <w:szCs w:val="24"/>
        </w:rPr>
      </w:pPr>
      <w:r>
        <w:rPr>
          <w:rFonts w:hint="eastAsia" w:ascii="宋体" w:hAnsi="宋体" w:eastAsia="宋体" w:cs="Times New Roman"/>
          <w:color w:val="auto"/>
          <w:sz w:val="24"/>
          <w:szCs w:val="24"/>
        </w:rPr>
        <w:t>备注：供应商商务条款有差异的，则在此表中列明实际响应的内容提要并加以说明，以便查对。无差异说明表示完全响应。</w:t>
      </w:r>
    </w:p>
    <w:p w14:paraId="6C7497C6">
      <w:pPr>
        <w:keepLines w:val="0"/>
        <w:pageBreakBefore w:val="0"/>
        <w:kinsoku/>
        <w:wordWrap/>
        <w:overflowPunct/>
        <w:topLinePunct w:val="0"/>
        <w:bidi w:val="0"/>
        <w:spacing w:line="360" w:lineRule="auto"/>
        <w:jc w:val="left"/>
        <w:rPr>
          <w:rFonts w:ascii="宋体" w:hAnsi="Calibri" w:eastAsia="宋体" w:cs="Times New Roman"/>
          <w:color w:val="auto"/>
          <w:sz w:val="24"/>
          <w:szCs w:val="24"/>
        </w:rPr>
      </w:pPr>
    </w:p>
    <w:p w14:paraId="20D66964">
      <w:pPr>
        <w:keepLines w:val="0"/>
        <w:pageBreakBefore w:val="0"/>
        <w:kinsoku/>
        <w:wordWrap/>
        <w:overflowPunct/>
        <w:topLinePunct w:val="0"/>
        <w:bidi w:val="0"/>
        <w:spacing w:line="360" w:lineRule="auto"/>
        <w:jc w:val="left"/>
        <w:rPr>
          <w:rFonts w:ascii="宋体" w:hAnsi="Calibri" w:eastAsia="宋体" w:cs="Times New Roman"/>
          <w:color w:val="auto"/>
          <w:sz w:val="24"/>
          <w:szCs w:val="24"/>
        </w:rPr>
      </w:pPr>
    </w:p>
    <w:p w14:paraId="74D05F9C">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供应商：（盖章）</w:t>
      </w:r>
    </w:p>
    <w:p w14:paraId="7A68CAC1">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7965D3B5">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法定代表人：（盖章）</w:t>
      </w:r>
    </w:p>
    <w:p w14:paraId="691D8E1F">
      <w:pPr>
        <w:keepLines w:val="0"/>
        <w:pageBreakBefore w:val="0"/>
        <w:widowControl/>
        <w:shd w:val="clear" w:color="auto" w:fill="FFFFFF"/>
        <w:kinsoku/>
        <w:wordWrap/>
        <w:overflowPunct/>
        <w:topLinePunct w:val="0"/>
        <w:bidi w:val="0"/>
        <w:snapToGrid w:val="0"/>
        <w:spacing w:line="360" w:lineRule="auto"/>
        <w:ind w:firstLine="420"/>
        <w:jc w:val="center"/>
        <w:rPr>
          <w:rFonts w:ascii="宋体" w:hAnsi="Calibri" w:eastAsia="宋体" w:cs="Arial"/>
          <w:color w:val="auto"/>
          <w:kern w:val="0"/>
          <w:sz w:val="24"/>
          <w:szCs w:val="24"/>
        </w:rPr>
      </w:pPr>
      <w:r>
        <w:rPr>
          <w:rFonts w:hint="eastAsia" w:ascii="宋体" w:hAnsi="宋体" w:eastAsia="宋体" w:cs="Arial"/>
          <w:color w:val="auto"/>
          <w:kern w:val="0"/>
          <w:sz w:val="24"/>
          <w:szCs w:val="24"/>
        </w:rPr>
        <w:t xml:space="preserve">                                               日期： 年  月  日</w:t>
      </w:r>
    </w:p>
    <w:p w14:paraId="05081899">
      <w:pPr>
        <w:keepLines w:val="0"/>
        <w:pageBreakBefore w:val="0"/>
        <w:widowControl/>
        <w:shd w:val="clear" w:color="auto" w:fill="FFFFFF"/>
        <w:kinsoku/>
        <w:wordWrap/>
        <w:overflowPunct/>
        <w:topLinePunct w:val="0"/>
        <w:bidi w:val="0"/>
        <w:snapToGrid w:val="0"/>
        <w:spacing w:line="360" w:lineRule="auto"/>
        <w:ind w:firstLine="420"/>
        <w:jc w:val="center"/>
        <w:rPr>
          <w:rFonts w:ascii="宋体" w:hAnsi="宋体" w:cs="Arial"/>
          <w:color w:val="auto"/>
          <w:kern w:val="0"/>
          <w:sz w:val="24"/>
          <w:szCs w:val="24"/>
        </w:rPr>
      </w:pPr>
    </w:p>
    <w:p w14:paraId="775721C6">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61817F1A">
      <w:pPr>
        <w:keepLines w:val="0"/>
        <w:pageBreakBefore w:val="0"/>
        <w:kinsoku/>
        <w:wordWrap/>
        <w:overflowPunct/>
        <w:topLinePunct w:val="0"/>
        <w:autoSpaceDE w:val="0"/>
        <w:autoSpaceDN w:val="0"/>
        <w:bidi w:val="0"/>
        <w:adjustRightInd w:val="0"/>
        <w:spacing w:line="360" w:lineRule="auto"/>
        <w:ind w:firstLine="120" w:firstLineChars="50"/>
        <w:jc w:val="center"/>
        <w:rPr>
          <w:rFonts w:ascii="宋体" w:hAnsi="宋体" w:cs="宋体"/>
          <w:b/>
          <w:color w:val="auto"/>
          <w:kern w:val="0"/>
          <w:sz w:val="24"/>
          <w:szCs w:val="24"/>
        </w:rPr>
      </w:pPr>
      <w:r>
        <w:rPr>
          <w:rFonts w:hint="eastAsia" w:ascii="宋体" w:hAnsi="宋体" w:cs="宋体"/>
          <w:b/>
          <w:color w:val="auto"/>
          <w:kern w:val="0"/>
          <w:sz w:val="24"/>
          <w:szCs w:val="24"/>
        </w:rPr>
        <w:t>（3）、近三年内已完成的类似项目业绩</w:t>
      </w:r>
    </w:p>
    <w:p w14:paraId="28D13CF4">
      <w:pPr>
        <w:keepLines w:val="0"/>
        <w:pageBreakBefore w:val="0"/>
        <w:kinsoku/>
        <w:wordWrap/>
        <w:overflowPunct/>
        <w:topLinePunct w:val="0"/>
        <w:autoSpaceDE w:val="0"/>
        <w:autoSpaceDN w:val="0"/>
        <w:bidi w:val="0"/>
        <w:adjustRightInd w:val="0"/>
        <w:spacing w:line="360" w:lineRule="auto"/>
        <w:ind w:firstLine="120" w:firstLineChars="50"/>
        <w:jc w:val="center"/>
        <w:rPr>
          <w:rFonts w:ascii="宋体" w:hAnsi="宋体" w:cs="宋体"/>
          <w:color w:val="auto"/>
          <w:kern w:val="0"/>
          <w:sz w:val="24"/>
          <w:szCs w:val="24"/>
        </w:rPr>
      </w:pPr>
    </w:p>
    <w:tbl>
      <w:tblPr>
        <w:tblStyle w:val="43"/>
        <w:tblW w:w="91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3032"/>
        <w:gridCol w:w="6148"/>
      </w:tblGrid>
      <w:tr w14:paraId="561EFC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0AC514C">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项目名称</w:t>
            </w:r>
          </w:p>
        </w:tc>
        <w:tc>
          <w:tcPr>
            <w:tcW w:w="6148" w:type="dxa"/>
            <w:vAlign w:val="center"/>
          </w:tcPr>
          <w:p w14:paraId="0DB79014">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6B9299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7DDBAEA6">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采购人名称</w:t>
            </w:r>
          </w:p>
        </w:tc>
        <w:tc>
          <w:tcPr>
            <w:tcW w:w="6148" w:type="dxa"/>
            <w:vAlign w:val="center"/>
          </w:tcPr>
          <w:p w14:paraId="6FC82078">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04D62A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721F3679">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采购人地址</w:t>
            </w:r>
          </w:p>
        </w:tc>
        <w:tc>
          <w:tcPr>
            <w:tcW w:w="6148" w:type="dxa"/>
            <w:vAlign w:val="center"/>
          </w:tcPr>
          <w:p w14:paraId="3279C70E">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28C465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27329FE1">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采购人联系人及电话</w:t>
            </w:r>
          </w:p>
        </w:tc>
        <w:tc>
          <w:tcPr>
            <w:tcW w:w="6148" w:type="dxa"/>
            <w:vAlign w:val="center"/>
          </w:tcPr>
          <w:p w14:paraId="5C2C40F2">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2A707C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116FD9BA">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签约日期</w:t>
            </w:r>
          </w:p>
        </w:tc>
        <w:tc>
          <w:tcPr>
            <w:tcW w:w="6148" w:type="dxa"/>
            <w:vAlign w:val="center"/>
          </w:tcPr>
          <w:p w14:paraId="0B006D5F">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43A1CF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38727889">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合同价格</w:t>
            </w:r>
          </w:p>
        </w:tc>
        <w:tc>
          <w:tcPr>
            <w:tcW w:w="6148" w:type="dxa"/>
            <w:vAlign w:val="center"/>
          </w:tcPr>
          <w:p w14:paraId="1A86E23C">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r w14:paraId="246D5F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3032" w:type="dxa"/>
            <w:vAlign w:val="center"/>
          </w:tcPr>
          <w:p w14:paraId="31A9A679">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r>
              <w:rPr>
                <w:rFonts w:hint="eastAsia" w:ascii="宋体" w:hAnsi="宋体" w:eastAsia="宋体" w:cs="Times New Roman"/>
                <w:color w:val="auto"/>
                <w:sz w:val="24"/>
                <w:szCs w:val="24"/>
              </w:rPr>
              <w:t>备注</w:t>
            </w:r>
          </w:p>
        </w:tc>
        <w:tc>
          <w:tcPr>
            <w:tcW w:w="6148" w:type="dxa"/>
            <w:vAlign w:val="center"/>
          </w:tcPr>
          <w:p w14:paraId="54643C62">
            <w:pPr>
              <w:keepLines w:val="0"/>
              <w:pageBreakBefore w:val="0"/>
              <w:kinsoku/>
              <w:wordWrap/>
              <w:overflowPunct/>
              <w:topLinePunct w:val="0"/>
              <w:bidi w:val="0"/>
              <w:spacing w:line="360" w:lineRule="auto"/>
              <w:jc w:val="center"/>
              <w:rPr>
                <w:rFonts w:ascii="宋体" w:hAnsi="Calibri" w:eastAsia="宋体" w:cs="Times New Roman"/>
                <w:color w:val="auto"/>
                <w:sz w:val="24"/>
                <w:szCs w:val="24"/>
              </w:rPr>
            </w:pPr>
          </w:p>
        </w:tc>
      </w:tr>
    </w:tbl>
    <w:p w14:paraId="063F2740">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我单位承诺以上填报内容真实。如不真实，将按照有关规定接受处理。</w:t>
      </w:r>
    </w:p>
    <w:p w14:paraId="72D1532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注：</w:t>
      </w:r>
      <w:r>
        <w:rPr>
          <w:rFonts w:ascii="宋体" w:hAnsi="宋体" w:cs="宋体"/>
          <w:color w:val="auto"/>
          <w:kern w:val="0"/>
          <w:sz w:val="24"/>
          <w:szCs w:val="24"/>
        </w:rPr>
        <w:t>1.</w:t>
      </w:r>
      <w:r>
        <w:rPr>
          <w:rFonts w:hint="eastAsia" w:ascii="宋体" w:hAnsi="宋体" w:cs="宋体"/>
          <w:color w:val="auto"/>
          <w:kern w:val="0"/>
          <w:sz w:val="24"/>
          <w:szCs w:val="24"/>
        </w:rPr>
        <w:t>按采购人要求的内容及范围提供相关类型的业绩。</w:t>
      </w:r>
    </w:p>
    <w:p w14:paraId="484CAD48">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ascii="宋体" w:hAnsi="宋体" w:cs="宋体"/>
          <w:color w:val="auto"/>
          <w:kern w:val="0"/>
          <w:sz w:val="24"/>
          <w:szCs w:val="24"/>
        </w:rPr>
        <w:t>2.</w:t>
      </w:r>
      <w:r>
        <w:rPr>
          <w:rFonts w:hint="eastAsia" w:ascii="宋体" w:hAnsi="宋体" w:cs="宋体"/>
          <w:color w:val="auto"/>
          <w:kern w:val="0"/>
          <w:sz w:val="24"/>
          <w:szCs w:val="24"/>
        </w:rPr>
        <w:t>本表后须附清晰可辨的、真实的合同相关的证明材料。如未附证明材料或工作内容模糊不清的，其业绩将不予认定。</w:t>
      </w:r>
    </w:p>
    <w:p w14:paraId="7D977FAB">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ascii="宋体" w:hAnsi="宋体" w:cs="宋体"/>
          <w:color w:val="auto"/>
          <w:kern w:val="0"/>
          <w:sz w:val="24"/>
          <w:szCs w:val="24"/>
        </w:rPr>
        <w:t>3.</w:t>
      </w:r>
      <w:r>
        <w:rPr>
          <w:rFonts w:hint="eastAsia" w:ascii="宋体" w:hAnsi="宋体" w:cs="宋体"/>
          <w:color w:val="auto"/>
          <w:kern w:val="0"/>
          <w:sz w:val="24"/>
          <w:szCs w:val="24"/>
        </w:rPr>
        <w:t>如近年来，供应商法人机构发生合法变更或重组或法人名称变更时，应提供相关部门的合法批件或其他相关证明材料来证明其所附业绩的继承性。</w:t>
      </w:r>
    </w:p>
    <w:p w14:paraId="1A2C96A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1F81EFA">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r>
        <w:rPr>
          <w:rFonts w:hint="eastAsia" w:ascii="宋体" w:hAnsi="宋体" w:eastAsia="宋体" w:cs="Arial"/>
          <w:color w:val="auto"/>
          <w:kern w:val="0"/>
          <w:sz w:val="24"/>
          <w:szCs w:val="24"/>
        </w:rPr>
        <w:t>供应商：（盖章）</w:t>
      </w:r>
    </w:p>
    <w:p w14:paraId="56C96052">
      <w:pPr>
        <w:keepLines w:val="0"/>
        <w:pageBreakBefore w:val="0"/>
        <w:widowControl/>
        <w:shd w:val="clear" w:color="auto" w:fill="FFFFFF"/>
        <w:kinsoku/>
        <w:wordWrap/>
        <w:overflowPunct/>
        <w:topLinePunct w:val="0"/>
        <w:bidi w:val="0"/>
        <w:snapToGrid w:val="0"/>
        <w:spacing w:line="360" w:lineRule="auto"/>
        <w:jc w:val="left"/>
        <w:rPr>
          <w:rFonts w:ascii="宋体" w:hAnsi="Calibri" w:eastAsia="宋体" w:cs="Arial"/>
          <w:color w:val="auto"/>
          <w:kern w:val="0"/>
          <w:sz w:val="24"/>
          <w:szCs w:val="24"/>
        </w:rPr>
      </w:pPr>
    </w:p>
    <w:p w14:paraId="06CE3F63">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hint="eastAsia" w:ascii="宋体" w:hAnsi="宋体" w:eastAsia="宋体" w:cs="Arial"/>
          <w:color w:val="auto"/>
          <w:kern w:val="0"/>
          <w:sz w:val="24"/>
          <w:szCs w:val="24"/>
        </w:rPr>
        <w:t>日期：年月日</w:t>
      </w:r>
      <w:r>
        <w:rPr>
          <w:rFonts w:ascii="宋体" w:hAnsi="宋体" w:cs="宋体"/>
          <w:color w:val="auto"/>
          <w:kern w:val="0"/>
          <w:sz w:val="24"/>
          <w:szCs w:val="24"/>
        </w:rPr>
        <w:br w:type="page"/>
      </w:r>
    </w:p>
    <w:p w14:paraId="717408F5">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（4）项目整体服务方案</w:t>
      </w:r>
    </w:p>
    <w:p w14:paraId="631EA9A9">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供应商提供的项目实施方案等（自拟），内容详见评审标准。</w:t>
      </w:r>
    </w:p>
    <w:p w14:paraId="49D8D75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71C39F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F3F8CC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F375A7A">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113E75F1">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CB5081E">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附表4.1</w:t>
      </w:r>
      <w:r>
        <w:rPr>
          <w:rFonts w:ascii="宋体" w:hAnsi="宋体" w:cs="宋体"/>
          <w:color w:val="auto"/>
          <w:kern w:val="0"/>
          <w:sz w:val="24"/>
          <w:szCs w:val="24"/>
        </w:rPr>
        <w:t xml:space="preserve"> </w:t>
      </w:r>
      <w:r>
        <w:rPr>
          <w:rFonts w:hint="eastAsia" w:ascii="宋体" w:hAnsi="宋体" w:cs="宋体"/>
          <w:color w:val="auto"/>
          <w:kern w:val="0"/>
          <w:sz w:val="24"/>
          <w:szCs w:val="24"/>
        </w:rPr>
        <w:t>拟投入本项目主要人员汇总表</w:t>
      </w:r>
    </w:p>
    <w:p w14:paraId="05A46C1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供应商名称：</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942"/>
        <w:gridCol w:w="1050"/>
        <w:gridCol w:w="735"/>
        <w:gridCol w:w="1161"/>
        <w:gridCol w:w="1161"/>
        <w:gridCol w:w="1161"/>
        <w:gridCol w:w="1872"/>
      </w:tblGrid>
      <w:tr w14:paraId="4FC4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0FD358F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序号</w:t>
            </w:r>
          </w:p>
        </w:tc>
        <w:tc>
          <w:tcPr>
            <w:tcW w:w="942" w:type="dxa"/>
            <w:vAlign w:val="center"/>
          </w:tcPr>
          <w:p w14:paraId="3A09C95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姓名</w:t>
            </w:r>
          </w:p>
        </w:tc>
        <w:tc>
          <w:tcPr>
            <w:tcW w:w="1050" w:type="dxa"/>
            <w:vAlign w:val="center"/>
          </w:tcPr>
          <w:p w14:paraId="247CCF04">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年龄</w:t>
            </w:r>
          </w:p>
        </w:tc>
        <w:tc>
          <w:tcPr>
            <w:tcW w:w="735" w:type="dxa"/>
            <w:vAlign w:val="center"/>
          </w:tcPr>
          <w:p w14:paraId="631E94D5">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性别</w:t>
            </w:r>
          </w:p>
        </w:tc>
        <w:tc>
          <w:tcPr>
            <w:tcW w:w="1161" w:type="dxa"/>
            <w:vAlign w:val="center"/>
          </w:tcPr>
          <w:p w14:paraId="27409B0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学历</w:t>
            </w:r>
          </w:p>
        </w:tc>
        <w:tc>
          <w:tcPr>
            <w:tcW w:w="1161" w:type="dxa"/>
            <w:vAlign w:val="center"/>
          </w:tcPr>
          <w:p w14:paraId="74891C3C">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专业</w:t>
            </w:r>
          </w:p>
        </w:tc>
        <w:tc>
          <w:tcPr>
            <w:tcW w:w="1161" w:type="dxa"/>
            <w:vAlign w:val="center"/>
          </w:tcPr>
          <w:p w14:paraId="4B0D13D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职称/资格证书 /注册证</w:t>
            </w:r>
          </w:p>
        </w:tc>
        <w:tc>
          <w:tcPr>
            <w:tcW w:w="1872" w:type="dxa"/>
            <w:vAlign w:val="center"/>
          </w:tcPr>
          <w:p w14:paraId="4FBE3A07">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在本项目拟任职务</w:t>
            </w:r>
          </w:p>
        </w:tc>
      </w:tr>
      <w:tr w14:paraId="7E2F8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248BB7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4B4CE3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5FC7521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7CA4376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2EF6E5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668274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4B72FA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2AAD16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32BB3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009A1F4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3AF7C1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6E38D4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154E5C0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A2CA65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DF6743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2D4E10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BC8D5B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6A72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3DDC0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7D3FFFE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1B49CBD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791CC4B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FB2F49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F5D747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F498A2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346493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5A19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2DD496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E5536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7619B1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52BC9C1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8BD684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556A65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839229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2EFD3E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42115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4256F6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B2FAC2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2EEBC63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2620A78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DC743E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083C8C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ABB7E4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5E80B9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D41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2D40DAD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2C18C61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4D746BF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065E0BF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0FDCF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40F753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0108C8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5EC172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672A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5E16E68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2F96779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3A76148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5EFE358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957E4D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BF1F3E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C27A84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870B70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9F7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72090D6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6054623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2049A9F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450AEAA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ED82AA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5E8644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F5B4F4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CFC668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0B4DE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1493C30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3ADABD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38A6888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67D0CE6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08B2F1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6997D5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96B18A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2C9C82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DBE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4641825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5A33164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74EAA29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686C844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61B505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0E6DE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403B79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DA7E9B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03EC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1AB051A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7939FAB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40551AE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1BF5B54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C3963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0B1C4B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ED50E7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E984DC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6417E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388DC4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2477AB6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1DF80BF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4FF0431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4F49EDC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2345FE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E512FD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BA500A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060C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043305C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472623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232DA7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2986625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376F92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63FF4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E92BA78">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E0878B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4718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72B028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80C2B6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55E95FF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751348E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FE03B9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585A743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128EE3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3A46BEF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364C6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7FF8E4A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0A6810D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555BCB6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3D97BF9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19E813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8CEED2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56C950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619F45F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145C7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2C0359C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1798789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4F5638E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39D0E04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D3934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69EEBA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9C2925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08753AC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52AAB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AD9048C">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32904015">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62F73B9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41B536F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600B77C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2FEEE67">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790CA87A">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75A83FF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7B9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79A50A1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4B7FF50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06E9140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36B0E56B">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B5E142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23383E04">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FAFE01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5935AF5F">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r w14:paraId="192D0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tcPr>
          <w:p w14:paraId="38076DF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942" w:type="dxa"/>
          </w:tcPr>
          <w:p w14:paraId="101155F3">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050" w:type="dxa"/>
          </w:tcPr>
          <w:p w14:paraId="041B02E1">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735" w:type="dxa"/>
          </w:tcPr>
          <w:p w14:paraId="1B4A1CAD">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053ACF6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3C33388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161" w:type="dxa"/>
          </w:tcPr>
          <w:p w14:paraId="140C3690">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c>
          <w:tcPr>
            <w:tcW w:w="1872" w:type="dxa"/>
          </w:tcPr>
          <w:p w14:paraId="3395E989">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tc>
      </w:tr>
    </w:tbl>
    <w:p w14:paraId="6EA2C902">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760632AE">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r>
        <w:rPr>
          <w:rFonts w:hint="eastAsia" w:ascii="宋体" w:hAnsi="宋体" w:cs="宋体"/>
          <w:color w:val="auto"/>
          <w:kern w:val="0"/>
          <w:sz w:val="24"/>
          <w:szCs w:val="24"/>
        </w:rPr>
        <w:t>注：我单位承诺以上填报内容真实。如不真实，将按照有关规定接受处理。</w:t>
      </w:r>
    </w:p>
    <w:p w14:paraId="3F89808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特别要求：拟投入本项目的工作人员须满足本项目的工作要求，在合同履行过程中，成交人须根据本项目的实际需求或采购人的进度要求，对人员进行合理的增加，费用均包含在内。</w:t>
      </w:r>
      <w:r>
        <w:rPr>
          <w:rFonts w:hint="eastAsia" w:ascii="宋体" w:hAnsi="宋体" w:cs="宋体"/>
          <w:color w:val="auto"/>
          <w:kern w:val="0"/>
          <w:sz w:val="24"/>
          <w:szCs w:val="24"/>
        </w:rPr>
        <w:br w:type="page"/>
      </w:r>
    </w:p>
    <w:p w14:paraId="26ECD228">
      <w:pPr>
        <w:keepLines w:val="0"/>
        <w:pageBreakBefore w:val="0"/>
        <w:kinsoku/>
        <w:wordWrap/>
        <w:overflowPunct/>
        <w:topLinePunct w:val="0"/>
        <w:autoSpaceDE w:val="0"/>
        <w:autoSpaceDN w:val="0"/>
        <w:bidi w:val="0"/>
        <w:adjustRightInd w:val="0"/>
        <w:spacing w:line="360" w:lineRule="auto"/>
        <w:jc w:val="center"/>
        <w:rPr>
          <w:rFonts w:ascii="宋体" w:hAnsi="宋体" w:cs="宋体"/>
          <w:color w:val="auto"/>
          <w:kern w:val="0"/>
          <w:sz w:val="24"/>
          <w:szCs w:val="24"/>
        </w:rPr>
      </w:pPr>
      <w:r>
        <w:rPr>
          <w:rFonts w:hint="eastAsia" w:ascii="宋体" w:hAnsi="宋体" w:cs="宋体"/>
          <w:color w:val="auto"/>
          <w:kern w:val="0"/>
          <w:sz w:val="24"/>
          <w:szCs w:val="24"/>
        </w:rPr>
        <w:t>4.</w:t>
      </w:r>
      <w:r>
        <w:rPr>
          <w:rFonts w:ascii="宋体" w:hAnsi="宋体" w:cs="宋体"/>
          <w:color w:val="auto"/>
          <w:kern w:val="0"/>
          <w:sz w:val="24"/>
          <w:szCs w:val="24"/>
        </w:rPr>
        <w:t xml:space="preserve">2 </w:t>
      </w:r>
      <w:r>
        <w:rPr>
          <w:rFonts w:hint="eastAsia" w:ascii="宋体" w:hAnsi="宋体" w:cs="宋体"/>
          <w:color w:val="auto"/>
          <w:kern w:val="0"/>
          <w:sz w:val="24"/>
          <w:szCs w:val="24"/>
        </w:rPr>
        <w:t>拟投入本项目的主要人员简历表</w:t>
      </w:r>
    </w:p>
    <w:tbl>
      <w:tblPr>
        <w:tblStyle w:val="4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548"/>
        <w:gridCol w:w="1548"/>
        <w:gridCol w:w="1239"/>
        <w:gridCol w:w="1548"/>
        <w:gridCol w:w="1917"/>
      </w:tblGrid>
      <w:tr w14:paraId="11C0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48" w:type="dxa"/>
            <w:vAlign w:val="center"/>
          </w:tcPr>
          <w:p w14:paraId="34142D6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姓名</w:t>
            </w:r>
          </w:p>
        </w:tc>
        <w:tc>
          <w:tcPr>
            <w:tcW w:w="1548" w:type="dxa"/>
            <w:vAlign w:val="center"/>
          </w:tcPr>
          <w:p w14:paraId="051F994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548" w:type="dxa"/>
            <w:vAlign w:val="center"/>
          </w:tcPr>
          <w:p w14:paraId="2848C543">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性别</w:t>
            </w:r>
          </w:p>
        </w:tc>
        <w:tc>
          <w:tcPr>
            <w:tcW w:w="1239" w:type="dxa"/>
            <w:vAlign w:val="center"/>
          </w:tcPr>
          <w:p w14:paraId="0AC46E37">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548" w:type="dxa"/>
            <w:vAlign w:val="center"/>
          </w:tcPr>
          <w:p w14:paraId="2CC4E369">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出生日期</w:t>
            </w:r>
          </w:p>
        </w:tc>
        <w:tc>
          <w:tcPr>
            <w:tcW w:w="1917" w:type="dxa"/>
            <w:vAlign w:val="center"/>
          </w:tcPr>
          <w:p w14:paraId="18550C29">
            <w:pPr>
              <w:keepLines w:val="0"/>
              <w:pageBreakBefore w:val="0"/>
              <w:kinsoku/>
              <w:wordWrap/>
              <w:overflowPunct/>
              <w:topLinePunct w:val="0"/>
              <w:autoSpaceDE w:val="0"/>
              <w:autoSpaceDN w:val="0"/>
              <w:bidi w:val="0"/>
              <w:adjustRightInd w:val="0"/>
              <w:spacing w:line="360" w:lineRule="auto"/>
              <w:ind w:left="120" w:leftChars="57" w:firstLine="240" w:firstLineChars="100"/>
              <w:jc w:val="center"/>
              <w:rPr>
                <w:rFonts w:ascii="宋体" w:cs="宋体"/>
                <w:color w:val="auto"/>
                <w:kern w:val="0"/>
                <w:sz w:val="24"/>
                <w:szCs w:val="24"/>
              </w:rPr>
            </w:pPr>
          </w:p>
        </w:tc>
      </w:tr>
      <w:tr w14:paraId="6BB5C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1A2F3DF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毕业院校及专业</w:t>
            </w:r>
          </w:p>
        </w:tc>
        <w:tc>
          <w:tcPr>
            <w:tcW w:w="4335" w:type="dxa"/>
            <w:gridSpan w:val="3"/>
            <w:vAlign w:val="center"/>
          </w:tcPr>
          <w:p w14:paraId="2167EA4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548" w:type="dxa"/>
            <w:vAlign w:val="center"/>
          </w:tcPr>
          <w:p w14:paraId="2A940B6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毕业时间</w:t>
            </w:r>
          </w:p>
        </w:tc>
        <w:tc>
          <w:tcPr>
            <w:tcW w:w="1917" w:type="dxa"/>
            <w:vAlign w:val="center"/>
          </w:tcPr>
          <w:p w14:paraId="0C852A56">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293A8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Align w:val="center"/>
          </w:tcPr>
          <w:p w14:paraId="383F93E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从事本专业时间</w:t>
            </w:r>
          </w:p>
        </w:tc>
        <w:tc>
          <w:tcPr>
            <w:tcW w:w="1548" w:type="dxa"/>
            <w:vAlign w:val="center"/>
          </w:tcPr>
          <w:p w14:paraId="7A1AAF34">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2787" w:type="dxa"/>
            <w:gridSpan w:val="2"/>
            <w:vAlign w:val="center"/>
          </w:tcPr>
          <w:p w14:paraId="6CC0625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为申请人服务时间</w:t>
            </w:r>
          </w:p>
        </w:tc>
        <w:tc>
          <w:tcPr>
            <w:tcW w:w="1548" w:type="dxa"/>
            <w:vAlign w:val="center"/>
          </w:tcPr>
          <w:p w14:paraId="2B8A6905">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917" w:type="dxa"/>
            <w:vAlign w:val="center"/>
          </w:tcPr>
          <w:p w14:paraId="77EBB98F">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3B05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548" w:type="dxa"/>
            <w:vAlign w:val="center"/>
          </w:tcPr>
          <w:p w14:paraId="4653265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执业注册</w:t>
            </w:r>
          </w:p>
        </w:tc>
        <w:tc>
          <w:tcPr>
            <w:tcW w:w="1548" w:type="dxa"/>
            <w:vAlign w:val="center"/>
          </w:tcPr>
          <w:p w14:paraId="7EF3A6D5">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2787" w:type="dxa"/>
            <w:gridSpan w:val="2"/>
            <w:vAlign w:val="center"/>
          </w:tcPr>
          <w:p w14:paraId="64542C8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职称</w:t>
            </w:r>
          </w:p>
        </w:tc>
        <w:tc>
          <w:tcPr>
            <w:tcW w:w="1548" w:type="dxa"/>
            <w:vAlign w:val="center"/>
          </w:tcPr>
          <w:p w14:paraId="0C3DB16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1917" w:type="dxa"/>
            <w:vAlign w:val="center"/>
          </w:tcPr>
          <w:p w14:paraId="35CAAAC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308B1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8" w:type="dxa"/>
            <w:gridSpan w:val="6"/>
            <w:vAlign w:val="center"/>
          </w:tcPr>
          <w:p w14:paraId="635C3257">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63040D9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主要经历</w:t>
            </w:r>
          </w:p>
          <w:p w14:paraId="2D8A5FD4">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r w14:paraId="6C88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6" w:type="dxa"/>
            <w:gridSpan w:val="2"/>
            <w:vAlign w:val="center"/>
          </w:tcPr>
          <w:p w14:paraId="63512F3B">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时间</w:t>
            </w:r>
          </w:p>
        </w:tc>
        <w:tc>
          <w:tcPr>
            <w:tcW w:w="2787" w:type="dxa"/>
            <w:gridSpan w:val="2"/>
            <w:vAlign w:val="center"/>
          </w:tcPr>
          <w:p w14:paraId="3C8DD582">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参加过的类似项目名称及主要内容等</w:t>
            </w:r>
          </w:p>
        </w:tc>
        <w:tc>
          <w:tcPr>
            <w:tcW w:w="3465" w:type="dxa"/>
            <w:gridSpan w:val="2"/>
            <w:vAlign w:val="center"/>
          </w:tcPr>
          <w:p w14:paraId="2844A55C">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r>
              <w:rPr>
                <w:rFonts w:hint="eastAsia" w:ascii="宋体" w:hAnsi="宋体" w:cs="宋体"/>
                <w:color w:val="auto"/>
                <w:kern w:val="0"/>
                <w:sz w:val="24"/>
                <w:szCs w:val="24"/>
              </w:rPr>
              <w:t>该项目中任职</w:t>
            </w:r>
          </w:p>
        </w:tc>
      </w:tr>
      <w:tr w14:paraId="76B3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jc w:val="center"/>
        </w:trPr>
        <w:tc>
          <w:tcPr>
            <w:tcW w:w="3096" w:type="dxa"/>
            <w:gridSpan w:val="2"/>
            <w:vAlign w:val="center"/>
          </w:tcPr>
          <w:p w14:paraId="4A8ACF9A">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2787" w:type="dxa"/>
            <w:gridSpan w:val="2"/>
            <w:vAlign w:val="center"/>
          </w:tcPr>
          <w:p w14:paraId="4A4B34DD">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c>
          <w:tcPr>
            <w:tcW w:w="3465" w:type="dxa"/>
            <w:gridSpan w:val="2"/>
            <w:vAlign w:val="center"/>
          </w:tcPr>
          <w:p w14:paraId="4237EE08">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tc>
      </w:tr>
    </w:tbl>
    <w:p w14:paraId="60D0DDDE">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47DC68B0">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6DA8F603">
      <w:pPr>
        <w:keepLines w:val="0"/>
        <w:pageBreakBefore w:val="0"/>
        <w:kinsoku/>
        <w:wordWrap/>
        <w:overflowPunct/>
        <w:topLinePunct w:val="0"/>
        <w:autoSpaceDE w:val="0"/>
        <w:autoSpaceDN w:val="0"/>
        <w:bidi w:val="0"/>
        <w:adjustRightInd w:val="0"/>
        <w:spacing w:line="360" w:lineRule="auto"/>
        <w:jc w:val="center"/>
        <w:rPr>
          <w:rFonts w:ascii="宋体" w:cs="宋体"/>
          <w:color w:val="auto"/>
          <w:kern w:val="0"/>
          <w:sz w:val="24"/>
          <w:szCs w:val="24"/>
        </w:rPr>
      </w:pPr>
    </w:p>
    <w:p w14:paraId="05F2B546">
      <w:pPr>
        <w:keepLines w:val="0"/>
        <w:pageBreakBefore w:val="0"/>
        <w:kinsoku/>
        <w:wordWrap/>
        <w:overflowPunct/>
        <w:topLinePunct w:val="0"/>
        <w:autoSpaceDE w:val="0"/>
        <w:autoSpaceDN w:val="0"/>
        <w:bidi w:val="0"/>
        <w:adjustRightInd w:val="0"/>
        <w:spacing w:line="360" w:lineRule="auto"/>
        <w:jc w:val="left"/>
        <w:rPr>
          <w:rFonts w:ascii="宋体" w:cs="宋体"/>
          <w:color w:val="auto"/>
          <w:kern w:val="0"/>
          <w:sz w:val="24"/>
          <w:szCs w:val="24"/>
        </w:rPr>
      </w:pPr>
    </w:p>
    <w:p w14:paraId="4B20EC5C">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cs="宋体"/>
          <w:color w:val="auto"/>
          <w:kern w:val="0"/>
          <w:sz w:val="24"/>
          <w:szCs w:val="24"/>
        </w:rPr>
      </w:pPr>
      <w:r>
        <w:rPr>
          <w:rFonts w:hint="eastAsia" w:ascii="宋体" w:hAnsi="宋体" w:cs="宋体"/>
          <w:color w:val="auto"/>
          <w:kern w:val="0"/>
          <w:sz w:val="24"/>
          <w:szCs w:val="24"/>
        </w:rPr>
        <w:t>我单位承诺以上填报内容真实。如不真实，将按照有关规定接受处理。</w:t>
      </w:r>
    </w:p>
    <w:p w14:paraId="49186C86">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附项目小组人员相关证件等复印件（证明材料详见评审标准）。</w:t>
      </w:r>
    </w:p>
    <w:p w14:paraId="328AE6D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7EEDACB">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2E335F62">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（5）服务承诺书</w:t>
      </w:r>
    </w:p>
    <w:p w14:paraId="1AED319C">
      <w:pPr>
        <w:keepLines w:val="0"/>
        <w:pageBreakBefore w:val="0"/>
        <w:kinsoku/>
        <w:wordWrap/>
        <w:overflowPunct/>
        <w:topLinePunct w:val="0"/>
        <w:bidi w:val="0"/>
        <w:spacing w:line="360" w:lineRule="auto"/>
        <w:ind w:firstLine="480" w:firstLineChars="200"/>
        <w:rPr>
          <w:rFonts w:hint="eastAsia" w:ascii="宋体" w:hAnsi="宋体" w:eastAsiaTheme="minorEastAsia"/>
          <w:color w:val="auto"/>
          <w:sz w:val="24"/>
          <w:szCs w:val="24"/>
          <w:lang w:eastAsia="zh-CN"/>
        </w:rPr>
      </w:pPr>
      <w:r>
        <w:rPr>
          <w:rFonts w:hint="eastAsia" w:ascii="宋体" w:hAnsi="宋体"/>
          <w:color w:val="auto"/>
          <w:sz w:val="24"/>
          <w:szCs w:val="24"/>
        </w:rPr>
        <w:t>该承诺书格式及内容由供应商按照项目评审因素及采购需求自行拟定</w:t>
      </w:r>
      <w:r>
        <w:rPr>
          <w:rFonts w:hint="eastAsia" w:ascii="宋体" w:hAnsi="宋体"/>
          <w:color w:val="auto"/>
          <w:sz w:val="24"/>
          <w:szCs w:val="24"/>
          <w:lang w:eastAsia="zh-CN"/>
        </w:rPr>
        <w:t>。</w:t>
      </w:r>
    </w:p>
    <w:p w14:paraId="1AAAF97B">
      <w:pPr>
        <w:keepLines w:val="0"/>
        <w:pageBreakBefore w:val="0"/>
        <w:kinsoku/>
        <w:wordWrap/>
        <w:overflowPunct/>
        <w:topLinePunct w:val="0"/>
        <w:bidi w:val="0"/>
        <w:spacing w:line="360" w:lineRule="auto"/>
        <w:ind w:firstLine="480" w:firstLineChars="200"/>
        <w:rPr>
          <w:rFonts w:ascii="宋体" w:hAnsi="宋体"/>
          <w:color w:val="auto"/>
          <w:sz w:val="24"/>
          <w:szCs w:val="24"/>
        </w:rPr>
      </w:pPr>
    </w:p>
    <w:p w14:paraId="1A7B3A4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5DD22AE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61510477">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6965391D">
      <w:pPr>
        <w:keepLines w:val="0"/>
        <w:pageBreakBefore w:val="0"/>
        <w:widowControl/>
        <w:shd w:val="clear" w:color="auto" w:fill="FFFFFF"/>
        <w:kinsoku/>
        <w:wordWrap/>
        <w:overflowPunct/>
        <w:topLinePunct w:val="0"/>
        <w:bidi w:val="0"/>
        <w:snapToGrid w:val="0"/>
        <w:spacing w:line="360" w:lineRule="auto"/>
        <w:jc w:val="left"/>
        <w:rPr>
          <w:rFonts w:ascii="宋体" w:hAnsi="宋体" w:cs="Arial"/>
          <w:color w:val="auto"/>
          <w:kern w:val="0"/>
          <w:sz w:val="24"/>
          <w:szCs w:val="24"/>
        </w:rPr>
      </w:pPr>
    </w:p>
    <w:p w14:paraId="548CDC5E">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702AD349">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9FA807F">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06F4A5A4">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36210EAE">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821636A">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7A1CAD30">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0B8B107D">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462ED2F5">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26DFF862">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79BC4252">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1733BDF0">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8B57539">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527E3BF0">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1A601A41">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p>
    <w:p w14:paraId="1CE7CB7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74A7179">
      <w:pPr>
        <w:keepLines w:val="0"/>
        <w:pageBreakBefore w:val="0"/>
        <w:kinsoku/>
        <w:wordWrap/>
        <w:overflowPunct/>
        <w:topLinePunct w:val="0"/>
        <w:bidi w:val="0"/>
        <w:spacing w:line="360" w:lineRule="auto"/>
        <w:rPr>
          <w:rFonts w:ascii="宋体" w:hAnsi="宋体" w:cs="宋体"/>
          <w:b/>
          <w:color w:val="auto"/>
          <w:kern w:val="0"/>
          <w:sz w:val="24"/>
          <w:szCs w:val="24"/>
        </w:rPr>
      </w:pPr>
      <w:r>
        <w:rPr>
          <w:rFonts w:hint="eastAsia" w:ascii="宋体" w:hAnsi="宋体" w:cs="宋体"/>
          <w:b/>
          <w:color w:val="auto"/>
          <w:kern w:val="0"/>
          <w:sz w:val="24"/>
          <w:szCs w:val="24"/>
        </w:rPr>
        <w:br w:type="page"/>
      </w:r>
    </w:p>
    <w:p w14:paraId="012DFBC3">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（6）其他有利资料</w:t>
      </w:r>
    </w:p>
    <w:p w14:paraId="52EC599B">
      <w:pPr>
        <w:keepLines w:val="0"/>
        <w:pageBreakBefore w:val="0"/>
        <w:widowControl/>
        <w:kinsoku/>
        <w:wordWrap/>
        <w:overflowPunct/>
        <w:topLinePunct w:val="0"/>
        <w:bidi w:val="0"/>
        <w:spacing w:line="360" w:lineRule="auto"/>
        <w:jc w:val="left"/>
        <w:rPr>
          <w:rFonts w:ascii="宋体" w:hAnsi="宋体" w:cs="宋体"/>
          <w:color w:val="auto"/>
          <w:kern w:val="0"/>
          <w:sz w:val="24"/>
          <w:szCs w:val="24"/>
        </w:rPr>
      </w:pPr>
      <w:r>
        <w:rPr>
          <w:rFonts w:ascii="宋体" w:hAnsi="宋体" w:cs="宋体"/>
          <w:color w:val="auto"/>
          <w:kern w:val="0"/>
          <w:sz w:val="24"/>
          <w:szCs w:val="24"/>
        </w:rPr>
        <w:br w:type="page"/>
      </w:r>
    </w:p>
    <w:p w14:paraId="6B7207A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75B2CCC">
      <w:pPr>
        <w:keepLines w:val="0"/>
        <w:pageBreakBefore w:val="0"/>
        <w:kinsoku/>
        <w:wordWrap/>
        <w:overflowPunct/>
        <w:topLinePunct w:val="0"/>
        <w:autoSpaceDE w:val="0"/>
        <w:autoSpaceDN w:val="0"/>
        <w:bidi w:val="0"/>
        <w:adjustRightInd w:val="0"/>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（7）投标单位反商业贿赂承诺书</w:t>
      </w:r>
    </w:p>
    <w:p w14:paraId="5543188F">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r>
        <w:rPr>
          <w:rFonts w:hint="eastAsia" w:ascii="宋体" w:hAnsi="宋体" w:cs="宋体"/>
          <w:color w:val="auto"/>
          <w:kern w:val="0"/>
          <w:sz w:val="24"/>
          <w:szCs w:val="24"/>
        </w:rPr>
        <w:t>我公司承诺在</w:t>
      </w:r>
      <w:r>
        <w:rPr>
          <w:rFonts w:hint="eastAsia" w:ascii="宋体" w:hAnsi="宋体" w:cs="宋体"/>
          <w:color w:val="auto"/>
          <w:kern w:val="0"/>
          <w:sz w:val="24"/>
          <w:szCs w:val="24"/>
          <w:u w:val="single"/>
        </w:rPr>
        <w:t>（</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名称、</w:t>
      </w:r>
      <w:r>
        <w:rPr>
          <w:rFonts w:hint="eastAsia" w:ascii="宋体" w:hAnsi="宋体" w:cs="宋体"/>
          <w:color w:val="auto"/>
          <w:kern w:val="0"/>
          <w:sz w:val="24"/>
          <w:szCs w:val="24"/>
          <w:u w:val="single"/>
          <w:lang w:eastAsia="zh-CN"/>
        </w:rPr>
        <w:t>项目</w:t>
      </w:r>
      <w:r>
        <w:rPr>
          <w:rFonts w:hint="eastAsia" w:ascii="宋体" w:hAnsi="宋体" w:cs="宋体"/>
          <w:color w:val="auto"/>
          <w:kern w:val="0"/>
          <w:sz w:val="24"/>
          <w:szCs w:val="24"/>
          <w:u w:val="single"/>
        </w:rPr>
        <w:t>编号）</w:t>
      </w:r>
      <w:r>
        <w:rPr>
          <w:rFonts w:hint="eastAsia" w:ascii="宋体" w:hAnsi="宋体" w:cs="宋体"/>
          <w:color w:val="auto"/>
          <w:kern w:val="0"/>
          <w:sz w:val="24"/>
          <w:szCs w:val="24"/>
        </w:rPr>
        <w:t>招标活动中，不给予国家工作人员以及中介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4F60C954">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0B979DF5">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54AE7991">
      <w:pPr>
        <w:keepLines w:val="0"/>
        <w:pageBreakBefore w:val="0"/>
        <w:kinsoku/>
        <w:wordWrap/>
        <w:overflowPunct/>
        <w:topLinePunct w:val="0"/>
        <w:autoSpaceDE w:val="0"/>
        <w:autoSpaceDN w:val="0"/>
        <w:bidi w:val="0"/>
        <w:adjustRightInd w:val="0"/>
        <w:spacing w:line="360" w:lineRule="auto"/>
        <w:ind w:firstLine="480" w:firstLineChars="200"/>
        <w:jc w:val="left"/>
        <w:rPr>
          <w:rFonts w:ascii="宋体" w:hAnsi="宋体" w:cs="宋体"/>
          <w:color w:val="auto"/>
          <w:kern w:val="0"/>
          <w:sz w:val="24"/>
          <w:szCs w:val="24"/>
        </w:rPr>
      </w:pPr>
    </w:p>
    <w:p w14:paraId="6438D9D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u w:val="single"/>
        </w:rPr>
        <w:t>（全称）（盖章）</w:t>
      </w:r>
    </w:p>
    <w:p w14:paraId="65444D9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法定代表人：</w:t>
      </w:r>
      <w:r>
        <w:rPr>
          <w:rFonts w:hint="eastAsia" w:ascii="宋体" w:hAnsi="宋体" w:cs="宋体"/>
          <w:color w:val="auto"/>
          <w:kern w:val="0"/>
          <w:sz w:val="24"/>
          <w:szCs w:val="24"/>
          <w:u w:val="single"/>
        </w:rPr>
        <w:t>（盖章）</w:t>
      </w:r>
    </w:p>
    <w:p w14:paraId="1565895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r>
        <w:rPr>
          <w:rFonts w:hint="eastAsia" w:ascii="宋体" w:hAnsi="宋体" w:cs="宋体"/>
          <w:color w:val="auto"/>
          <w:kern w:val="0"/>
          <w:sz w:val="24"/>
          <w:szCs w:val="24"/>
        </w:rPr>
        <w:t>日期：</w:t>
      </w:r>
      <w:r>
        <w:rPr>
          <w:rFonts w:hint="eastAsia" w:ascii="宋体" w:hAnsi="宋体"/>
          <w:color w:val="auto"/>
          <w:sz w:val="24"/>
          <w:szCs w:val="24"/>
          <w:u w:val="single"/>
        </w:rPr>
        <w:t xml:space="preserve">    </w:t>
      </w:r>
      <w:r>
        <w:rPr>
          <w:rFonts w:ascii="宋体" w:hAnsi="宋体"/>
          <w:color w:val="auto"/>
          <w:sz w:val="24"/>
          <w:szCs w:val="24"/>
        </w:rPr>
        <w:t>年</w:t>
      </w:r>
      <w:r>
        <w:rPr>
          <w:rFonts w:hint="eastAsia" w:ascii="宋体" w:hAnsi="宋体"/>
          <w:color w:val="auto"/>
          <w:sz w:val="24"/>
          <w:szCs w:val="24"/>
          <w:u w:val="single"/>
        </w:rPr>
        <w:t xml:space="preserve">    </w:t>
      </w:r>
      <w:r>
        <w:rPr>
          <w:rFonts w:ascii="宋体" w:hAnsi="宋体"/>
          <w:color w:val="auto"/>
          <w:sz w:val="24"/>
          <w:szCs w:val="24"/>
        </w:rPr>
        <w:t>月</w:t>
      </w:r>
      <w:r>
        <w:rPr>
          <w:rFonts w:hint="eastAsia" w:ascii="宋体" w:hAnsi="宋体"/>
          <w:color w:val="auto"/>
          <w:sz w:val="24"/>
          <w:szCs w:val="24"/>
          <w:u w:val="single"/>
        </w:rPr>
        <w:t xml:space="preserve">    </w:t>
      </w:r>
      <w:r>
        <w:rPr>
          <w:rFonts w:ascii="宋体" w:hAnsi="宋体"/>
          <w:color w:val="auto"/>
          <w:sz w:val="24"/>
          <w:szCs w:val="24"/>
        </w:rPr>
        <w:t>日</w:t>
      </w:r>
    </w:p>
    <w:p w14:paraId="7A118F18">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2F3DA89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F747C4E">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F4D087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3A362BBF">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5ED351A">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F1017E5">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A62FBD6">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7FEE79B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69E8170">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35BD269">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38A581C">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4BD00C92">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65A76B8B">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19052634">
      <w:pPr>
        <w:keepLines w:val="0"/>
        <w:pageBreakBefore w:val="0"/>
        <w:kinsoku/>
        <w:wordWrap/>
        <w:overflowPunct/>
        <w:topLinePunct w:val="0"/>
        <w:autoSpaceDE w:val="0"/>
        <w:autoSpaceDN w:val="0"/>
        <w:bidi w:val="0"/>
        <w:adjustRightInd w:val="0"/>
        <w:spacing w:line="360" w:lineRule="auto"/>
        <w:jc w:val="left"/>
        <w:rPr>
          <w:rFonts w:ascii="宋体" w:hAnsi="宋体" w:cs="宋体"/>
          <w:color w:val="auto"/>
          <w:kern w:val="0"/>
          <w:sz w:val="24"/>
          <w:szCs w:val="24"/>
        </w:rPr>
      </w:pPr>
    </w:p>
    <w:p w14:paraId="583044DF">
      <w:pPr>
        <w:keepLines w:val="0"/>
        <w:pageBreakBefore w:val="0"/>
        <w:kinsoku/>
        <w:wordWrap/>
        <w:overflowPunct/>
        <w:topLinePunct w:val="0"/>
        <w:bidi w:val="0"/>
        <w:spacing w:line="360" w:lineRule="auto"/>
        <w:rPr>
          <w:rFonts w:ascii="Calibri" w:hAnsi="Calibri" w:eastAsia="宋体" w:cs="Times New Roman"/>
          <w:color w:val="auto"/>
        </w:rPr>
      </w:pPr>
    </w:p>
    <w:sectPr>
      <w:headerReference r:id="rId6" w:type="default"/>
      <w:footerReference r:id="rId7" w:type="default"/>
      <w:pgSz w:w="11906" w:h="16838"/>
      <w:pgMar w:top="1574" w:right="849" w:bottom="993" w:left="993"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1" w:csb1="00000000"/>
  </w:font>
  <w:font w:name="Trebuchet MS">
    <w:panose1 w:val="020B0603020202020204"/>
    <w:charset w:val="00"/>
    <w:family w:val="swiss"/>
    <w:pitch w:val="default"/>
    <w:sig w:usb0="00000287" w:usb1="00000000" w:usb2="00000000" w:usb3="00000000" w:csb0="2000009F" w:csb1="00000000"/>
  </w:font>
  <w:font w:name="方正仿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Undefined">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8EFA2">
    <w:pPr>
      <w:pStyle w:val="27"/>
      <w:ind w:right="90"/>
      <w:jc w:val="right"/>
    </w:pPr>
  </w:p>
  <w:p w14:paraId="2942CEBA">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B2BF2">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separate"/>
    </w:r>
    <w:r>
      <w:rPr>
        <w:rStyle w:val="47"/>
      </w:rPr>
      <w:t>68</w:t>
    </w:r>
    <w:r>
      <w:rPr>
        <w:rStyle w:val="47"/>
      </w:rPr>
      <w:fldChar w:fldCharType="end"/>
    </w:r>
  </w:p>
  <w:p w14:paraId="65AE456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8903708"/>
    </w:sdtPr>
    <w:sdtEndPr>
      <w:rPr>
        <w:rFonts w:asciiTheme="minorEastAsia" w:hAnsiTheme="minorEastAsia" w:eastAsiaTheme="minorEastAsia"/>
        <w:sz w:val="30"/>
        <w:szCs w:val="30"/>
      </w:rPr>
    </w:sdtEndPr>
    <w:sdtContent>
      <w:p w14:paraId="75610B3B">
        <w:pPr>
          <w:pStyle w:val="27"/>
          <w:jc w:val="right"/>
          <w:rPr>
            <w:rFonts w:asciiTheme="minorEastAsia" w:hAnsiTheme="minorEastAsia" w:eastAsiaTheme="minorEastAsia"/>
            <w:sz w:val="30"/>
            <w:szCs w:val="30"/>
          </w:rPr>
        </w:pPr>
        <w:r>
          <w:rPr>
            <w:rFonts w:asciiTheme="minorEastAsia" w:hAnsiTheme="minorEastAsia" w:eastAsiaTheme="minorEastAsia"/>
            <w:sz w:val="30"/>
            <w:szCs w:val="30"/>
          </w:rPr>
          <w:fldChar w:fldCharType="begin"/>
        </w:r>
        <w:r>
          <w:rPr>
            <w:rFonts w:asciiTheme="minorEastAsia" w:hAnsiTheme="minorEastAsia" w:eastAsiaTheme="minorEastAsia"/>
            <w:sz w:val="30"/>
            <w:szCs w:val="30"/>
          </w:rPr>
          <w:instrText xml:space="preserve">PAGE   \* MERGEFORMAT</w:instrText>
        </w:r>
        <w:r>
          <w:rPr>
            <w:rFonts w:asciiTheme="minorEastAsia" w:hAnsiTheme="minorEastAsia" w:eastAsiaTheme="minorEastAsia"/>
            <w:sz w:val="30"/>
            <w:szCs w:val="30"/>
          </w:rPr>
          <w:fldChar w:fldCharType="separate"/>
        </w:r>
        <w:r>
          <w:rPr>
            <w:rFonts w:asciiTheme="minorEastAsia" w:hAnsiTheme="minorEastAsia" w:eastAsiaTheme="minorEastAsia"/>
            <w:sz w:val="30"/>
            <w:szCs w:val="30"/>
            <w:lang w:val="zh-CN"/>
          </w:rPr>
          <w:t>62</w:t>
        </w:r>
        <w:r>
          <w:rPr>
            <w:rFonts w:asciiTheme="minorEastAsia" w:hAnsiTheme="minorEastAsia" w:eastAsiaTheme="minorEastAsia"/>
            <w:sz w:val="30"/>
            <w:szCs w:val="30"/>
          </w:rPr>
          <w:fldChar w:fldCharType="end"/>
        </w:r>
      </w:p>
    </w:sdtContent>
  </w:sdt>
  <w:p w14:paraId="4CF16169">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C5EB">
    <w:pPr>
      <w:pStyle w:val="28"/>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94BC">
    <w:pPr>
      <w:pStyle w:val="2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49784"/>
    <w:multiLevelType w:val="singleLevel"/>
    <w:tmpl w:val="22649784"/>
    <w:lvl w:ilvl="0" w:tentative="0">
      <w:start w:val="1"/>
      <w:numFmt w:val="decimal"/>
      <w:lvlText w:val="%1."/>
      <w:lvlJc w:val="left"/>
      <w:pPr>
        <w:tabs>
          <w:tab w:val="left" w:pos="312"/>
        </w:tabs>
      </w:pPr>
    </w:lvl>
  </w:abstractNum>
  <w:abstractNum w:abstractNumId="1">
    <w:nsid w:val="58A56851"/>
    <w:multiLevelType w:val="multilevel"/>
    <w:tmpl w:val="58A56851"/>
    <w:lvl w:ilvl="0" w:tentative="0">
      <w:start w:val="3"/>
      <w:numFmt w:val="decimal"/>
      <w:lvlText w:val="%1"/>
      <w:lvlJc w:val="left"/>
      <w:pPr>
        <w:ind w:left="360" w:hanging="360"/>
      </w:pPr>
      <w:rPr>
        <w:rFonts w:hint="default" w:hAnsi="宋体"/>
      </w:rPr>
    </w:lvl>
    <w:lvl w:ilvl="1" w:tentative="0">
      <w:start w:val="1"/>
      <w:numFmt w:val="decimal"/>
      <w:lvlText w:val="%1.%2"/>
      <w:lvlJc w:val="left"/>
      <w:pPr>
        <w:ind w:left="1069" w:hanging="360"/>
      </w:pPr>
      <w:rPr>
        <w:rFonts w:hint="default" w:hAnsi="宋体"/>
      </w:rPr>
    </w:lvl>
    <w:lvl w:ilvl="2" w:tentative="0">
      <w:start w:val="1"/>
      <w:numFmt w:val="decimal"/>
      <w:lvlText w:val="%1.%2.%3"/>
      <w:lvlJc w:val="left"/>
      <w:pPr>
        <w:ind w:left="1680" w:hanging="720"/>
      </w:pPr>
      <w:rPr>
        <w:rFonts w:hint="default" w:hAnsi="宋体"/>
      </w:rPr>
    </w:lvl>
    <w:lvl w:ilvl="3" w:tentative="0">
      <w:start w:val="1"/>
      <w:numFmt w:val="decimal"/>
      <w:lvlText w:val="%1.%2.%3.%4"/>
      <w:lvlJc w:val="left"/>
      <w:pPr>
        <w:ind w:left="2520" w:hanging="1080"/>
      </w:pPr>
      <w:rPr>
        <w:rFonts w:hint="default" w:hAnsi="宋体"/>
      </w:rPr>
    </w:lvl>
    <w:lvl w:ilvl="4" w:tentative="0">
      <w:start w:val="1"/>
      <w:numFmt w:val="decimal"/>
      <w:lvlText w:val="%1.%2.%3.%4.%5"/>
      <w:lvlJc w:val="left"/>
      <w:pPr>
        <w:ind w:left="3000" w:hanging="1080"/>
      </w:pPr>
      <w:rPr>
        <w:rFonts w:hint="default" w:hAnsi="宋体"/>
      </w:rPr>
    </w:lvl>
    <w:lvl w:ilvl="5" w:tentative="0">
      <w:start w:val="1"/>
      <w:numFmt w:val="decimal"/>
      <w:lvlText w:val="%1.%2.%3.%4.%5.%6"/>
      <w:lvlJc w:val="left"/>
      <w:pPr>
        <w:ind w:left="3840" w:hanging="1440"/>
      </w:pPr>
      <w:rPr>
        <w:rFonts w:hint="default" w:hAnsi="宋体"/>
      </w:rPr>
    </w:lvl>
    <w:lvl w:ilvl="6" w:tentative="0">
      <w:start w:val="1"/>
      <w:numFmt w:val="decimal"/>
      <w:lvlText w:val="%1.%2.%3.%4.%5.%6.%7"/>
      <w:lvlJc w:val="left"/>
      <w:pPr>
        <w:ind w:left="4680" w:hanging="1800"/>
      </w:pPr>
      <w:rPr>
        <w:rFonts w:hint="default" w:hAnsi="宋体"/>
      </w:rPr>
    </w:lvl>
    <w:lvl w:ilvl="7" w:tentative="0">
      <w:start w:val="1"/>
      <w:numFmt w:val="decimal"/>
      <w:lvlText w:val="%1.%2.%3.%4.%5.%6.%7.%8"/>
      <w:lvlJc w:val="left"/>
      <w:pPr>
        <w:ind w:left="5160" w:hanging="1800"/>
      </w:pPr>
      <w:rPr>
        <w:rFonts w:hint="default" w:hAnsi="宋体"/>
      </w:rPr>
    </w:lvl>
    <w:lvl w:ilvl="8" w:tentative="0">
      <w:start w:val="1"/>
      <w:numFmt w:val="decimal"/>
      <w:lvlText w:val="%1.%2.%3.%4.%5.%6.%7.%8.%9"/>
      <w:lvlJc w:val="left"/>
      <w:pPr>
        <w:ind w:left="6000" w:hanging="2160"/>
      </w:pPr>
      <w:rPr>
        <w:rFonts w:hint="default" w:hAnsi="宋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JkZTk0OTMwZDcwMDY0MjY5MjRlYmNhZjgyZTkzY2QifQ=="/>
  </w:docVars>
  <w:rsids>
    <w:rsidRoot w:val="00101AA4"/>
    <w:rsid w:val="00000ECF"/>
    <w:rsid w:val="00001340"/>
    <w:rsid w:val="0000294D"/>
    <w:rsid w:val="00004DAA"/>
    <w:rsid w:val="00006BD9"/>
    <w:rsid w:val="00007BA8"/>
    <w:rsid w:val="00014D5A"/>
    <w:rsid w:val="00014F7D"/>
    <w:rsid w:val="000162FE"/>
    <w:rsid w:val="00021D22"/>
    <w:rsid w:val="000241E9"/>
    <w:rsid w:val="000244CA"/>
    <w:rsid w:val="000255F6"/>
    <w:rsid w:val="00030171"/>
    <w:rsid w:val="00031EFB"/>
    <w:rsid w:val="00033566"/>
    <w:rsid w:val="00034FAB"/>
    <w:rsid w:val="00036823"/>
    <w:rsid w:val="00036B12"/>
    <w:rsid w:val="000400E8"/>
    <w:rsid w:val="00044B32"/>
    <w:rsid w:val="00046152"/>
    <w:rsid w:val="0005003E"/>
    <w:rsid w:val="00054FBC"/>
    <w:rsid w:val="000604DE"/>
    <w:rsid w:val="000641A9"/>
    <w:rsid w:val="000661C0"/>
    <w:rsid w:val="00070AF5"/>
    <w:rsid w:val="000719C0"/>
    <w:rsid w:val="0007348D"/>
    <w:rsid w:val="00073D96"/>
    <w:rsid w:val="00074821"/>
    <w:rsid w:val="000762D4"/>
    <w:rsid w:val="00077DB3"/>
    <w:rsid w:val="0008025F"/>
    <w:rsid w:val="00080E16"/>
    <w:rsid w:val="00082FC4"/>
    <w:rsid w:val="00085EB2"/>
    <w:rsid w:val="000904A3"/>
    <w:rsid w:val="00090F37"/>
    <w:rsid w:val="000916AB"/>
    <w:rsid w:val="000923E8"/>
    <w:rsid w:val="00094989"/>
    <w:rsid w:val="00094F31"/>
    <w:rsid w:val="00097E34"/>
    <w:rsid w:val="000A02F9"/>
    <w:rsid w:val="000A16A0"/>
    <w:rsid w:val="000A29B5"/>
    <w:rsid w:val="000A32B9"/>
    <w:rsid w:val="000A3552"/>
    <w:rsid w:val="000A452A"/>
    <w:rsid w:val="000B060E"/>
    <w:rsid w:val="000B210F"/>
    <w:rsid w:val="000B318F"/>
    <w:rsid w:val="000B331B"/>
    <w:rsid w:val="000B4C6A"/>
    <w:rsid w:val="000D171A"/>
    <w:rsid w:val="000D7CE7"/>
    <w:rsid w:val="000E5B9C"/>
    <w:rsid w:val="000E6F7D"/>
    <w:rsid w:val="000E7461"/>
    <w:rsid w:val="000F5177"/>
    <w:rsid w:val="00101AA4"/>
    <w:rsid w:val="001025BB"/>
    <w:rsid w:val="001063D0"/>
    <w:rsid w:val="0010650C"/>
    <w:rsid w:val="00127B38"/>
    <w:rsid w:val="00127C9A"/>
    <w:rsid w:val="00132209"/>
    <w:rsid w:val="0013312B"/>
    <w:rsid w:val="00134F82"/>
    <w:rsid w:val="00142762"/>
    <w:rsid w:val="00142BB8"/>
    <w:rsid w:val="00142DC6"/>
    <w:rsid w:val="0014554F"/>
    <w:rsid w:val="00146E26"/>
    <w:rsid w:val="0015794E"/>
    <w:rsid w:val="00161961"/>
    <w:rsid w:val="0016644B"/>
    <w:rsid w:val="00167F69"/>
    <w:rsid w:val="00172AA0"/>
    <w:rsid w:val="001733AF"/>
    <w:rsid w:val="001765EB"/>
    <w:rsid w:val="00176FAD"/>
    <w:rsid w:val="00181200"/>
    <w:rsid w:val="001831E7"/>
    <w:rsid w:val="00197922"/>
    <w:rsid w:val="001A1D16"/>
    <w:rsid w:val="001A2117"/>
    <w:rsid w:val="001A45DD"/>
    <w:rsid w:val="001A4674"/>
    <w:rsid w:val="001A4E5A"/>
    <w:rsid w:val="001A5DD7"/>
    <w:rsid w:val="001B1748"/>
    <w:rsid w:val="001B26AC"/>
    <w:rsid w:val="001B5A4C"/>
    <w:rsid w:val="001B78FC"/>
    <w:rsid w:val="001C2BC0"/>
    <w:rsid w:val="001D1BCF"/>
    <w:rsid w:val="001D25B6"/>
    <w:rsid w:val="001D411F"/>
    <w:rsid w:val="001D50A5"/>
    <w:rsid w:val="001E2284"/>
    <w:rsid w:val="001E33A7"/>
    <w:rsid w:val="001E3D69"/>
    <w:rsid w:val="001E4755"/>
    <w:rsid w:val="001E492A"/>
    <w:rsid w:val="001E6E8F"/>
    <w:rsid w:val="001E794E"/>
    <w:rsid w:val="001F1677"/>
    <w:rsid w:val="001F3A08"/>
    <w:rsid w:val="001F48CD"/>
    <w:rsid w:val="001F610A"/>
    <w:rsid w:val="001F74EA"/>
    <w:rsid w:val="00200BA8"/>
    <w:rsid w:val="00200E83"/>
    <w:rsid w:val="0020240F"/>
    <w:rsid w:val="002055DD"/>
    <w:rsid w:val="00205DF6"/>
    <w:rsid w:val="00205F22"/>
    <w:rsid w:val="00214257"/>
    <w:rsid w:val="0021460D"/>
    <w:rsid w:val="00215F58"/>
    <w:rsid w:val="0022177D"/>
    <w:rsid w:val="002233E3"/>
    <w:rsid w:val="00223931"/>
    <w:rsid w:val="00226A50"/>
    <w:rsid w:val="00226DEC"/>
    <w:rsid w:val="00236D43"/>
    <w:rsid w:val="00244163"/>
    <w:rsid w:val="002454B4"/>
    <w:rsid w:val="002472C0"/>
    <w:rsid w:val="002508FA"/>
    <w:rsid w:val="0025396A"/>
    <w:rsid w:val="00253DC3"/>
    <w:rsid w:val="002541CE"/>
    <w:rsid w:val="00255288"/>
    <w:rsid w:val="00257DBC"/>
    <w:rsid w:val="00257F22"/>
    <w:rsid w:val="002604A7"/>
    <w:rsid w:val="00260910"/>
    <w:rsid w:val="00260A85"/>
    <w:rsid w:val="002660FD"/>
    <w:rsid w:val="00266F04"/>
    <w:rsid w:val="002672C1"/>
    <w:rsid w:val="002679C6"/>
    <w:rsid w:val="002710D3"/>
    <w:rsid w:val="002712CB"/>
    <w:rsid w:val="0027366F"/>
    <w:rsid w:val="002743F0"/>
    <w:rsid w:val="00282808"/>
    <w:rsid w:val="00283BF1"/>
    <w:rsid w:val="00285885"/>
    <w:rsid w:val="002967DA"/>
    <w:rsid w:val="00297D9D"/>
    <w:rsid w:val="002A497C"/>
    <w:rsid w:val="002A4B00"/>
    <w:rsid w:val="002A6A13"/>
    <w:rsid w:val="002A79A0"/>
    <w:rsid w:val="002A7CE2"/>
    <w:rsid w:val="002B0041"/>
    <w:rsid w:val="002B3261"/>
    <w:rsid w:val="002B5159"/>
    <w:rsid w:val="002B624E"/>
    <w:rsid w:val="002B77E1"/>
    <w:rsid w:val="002C2DD2"/>
    <w:rsid w:val="002C44C0"/>
    <w:rsid w:val="002D0352"/>
    <w:rsid w:val="002D280B"/>
    <w:rsid w:val="002D3439"/>
    <w:rsid w:val="002D635D"/>
    <w:rsid w:val="002D6CF2"/>
    <w:rsid w:val="002E0F0F"/>
    <w:rsid w:val="002E25BC"/>
    <w:rsid w:val="002E5AAD"/>
    <w:rsid w:val="002F10F5"/>
    <w:rsid w:val="002F2283"/>
    <w:rsid w:val="00300C92"/>
    <w:rsid w:val="00304A1A"/>
    <w:rsid w:val="00304D2D"/>
    <w:rsid w:val="00305EE3"/>
    <w:rsid w:val="0030747A"/>
    <w:rsid w:val="0030750D"/>
    <w:rsid w:val="00311F76"/>
    <w:rsid w:val="00313F13"/>
    <w:rsid w:val="00314838"/>
    <w:rsid w:val="00315623"/>
    <w:rsid w:val="00315D4B"/>
    <w:rsid w:val="00315D59"/>
    <w:rsid w:val="00316DBA"/>
    <w:rsid w:val="00317D34"/>
    <w:rsid w:val="00317FF8"/>
    <w:rsid w:val="00324345"/>
    <w:rsid w:val="00326152"/>
    <w:rsid w:val="00331C14"/>
    <w:rsid w:val="00336EED"/>
    <w:rsid w:val="00343888"/>
    <w:rsid w:val="003476A9"/>
    <w:rsid w:val="003477C5"/>
    <w:rsid w:val="00350DB8"/>
    <w:rsid w:val="00355628"/>
    <w:rsid w:val="0035581F"/>
    <w:rsid w:val="00356135"/>
    <w:rsid w:val="00357700"/>
    <w:rsid w:val="00360D30"/>
    <w:rsid w:val="00361C9D"/>
    <w:rsid w:val="00363991"/>
    <w:rsid w:val="00364473"/>
    <w:rsid w:val="00370CC0"/>
    <w:rsid w:val="00370F25"/>
    <w:rsid w:val="00372DE0"/>
    <w:rsid w:val="00373AD1"/>
    <w:rsid w:val="00376E83"/>
    <w:rsid w:val="00381A0F"/>
    <w:rsid w:val="003867D2"/>
    <w:rsid w:val="0039109E"/>
    <w:rsid w:val="003A4B68"/>
    <w:rsid w:val="003A5B50"/>
    <w:rsid w:val="003A5FD2"/>
    <w:rsid w:val="003B0D1B"/>
    <w:rsid w:val="003B1C9B"/>
    <w:rsid w:val="003B70AD"/>
    <w:rsid w:val="003B7226"/>
    <w:rsid w:val="003C043A"/>
    <w:rsid w:val="003C0B9E"/>
    <w:rsid w:val="003C1831"/>
    <w:rsid w:val="003C29DB"/>
    <w:rsid w:val="003C6DEC"/>
    <w:rsid w:val="003D01BB"/>
    <w:rsid w:val="003D05EA"/>
    <w:rsid w:val="003D255D"/>
    <w:rsid w:val="003D4211"/>
    <w:rsid w:val="003D60E3"/>
    <w:rsid w:val="003E3E01"/>
    <w:rsid w:val="003E4A7A"/>
    <w:rsid w:val="003E5986"/>
    <w:rsid w:val="003E7827"/>
    <w:rsid w:val="003F37A8"/>
    <w:rsid w:val="003F59D7"/>
    <w:rsid w:val="00402D19"/>
    <w:rsid w:val="0040310D"/>
    <w:rsid w:val="00404384"/>
    <w:rsid w:val="00405273"/>
    <w:rsid w:val="00407324"/>
    <w:rsid w:val="004079CE"/>
    <w:rsid w:val="004220B6"/>
    <w:rsid w:val="00423980"/>
    <w:rsid w:val="00423C7D"/>
    <w:rsid w:val="00424A3A"/>
    <w:rsid w:val="0042662D"/>
    <w:rsid w:val="00432C0C"/>
    <w:rsid w:val="00433EED"/>
    <w:rsid w:val="00437874"/>
    <w:rsid w:val="00444EE1"/>
    <w:rsid w:val="004467F7"/>
    <w:rsid w:val="0044799D"/>
    <w:rsid w:val="00447B68"/>
    <w:rsid w:val="0045091A"/>
    <w:rsid w:val="00451051"/>
    <w:rsid w:val="00451F1F"/>
    <w:rsid w:val="00452BB8"/>
    <w:rsid w:val="00454331"/>
    <w:rsid w:val="00455196"/>
    <w:rsid w:val="00456C2F"/>
    <w:rsid w:val="00457F5A"/>
    <w:rsid w:val="00463285"/>
    <w:rsid w:val="004640C1"/>
    <w:rsid w:val="00465D82"/>
    <w:rsid w:val="004704FB"/>
    <w:rsid w:val="00471704"/>
    <w:rsid w:val="00471E95"/>
    <w:rsid w:val="00487DB0"/>
    <w:rsid w:val="004A010F"/>
    <w:rsid w:val="004A2AD4"/>
    <w:rsid w:val="004A2C09"/>
    <w:rsid w:val="004A4981"/>
    <w:rsid w:val="004A5376"/>
    <w:rsid w:val="004A6517"/>
    <w:rsid w:val="004A68AF"/>
    <w:rsid w:val="004A78B9"/>
    <w:rsid w:val="004A7D7E"/>
    <w:rsid w:val="004B03B8"/>
    <w:rsid w:val="004B0537"/>
    <w:rsid w:val="004D11B3"/>
    <w:rsid w:val="004D1D44"/>
    <w:rsid w:val="004D1DAA"/>
    <w:rsid w:val="004D3C30"/>
    <w:rsid w:val="004D5C23"/>
    <w:rsid w:val="004D75D5"/>
    <w:rsid w:val="004E2088"/>
    <w:rsid w:val="004E277E"/>
    <w:rsid w:val="004E419C"/>
    <w:rsid w:val="004E49B4"/>
    <w:rsid w:val="004E6F52"/>
    <w:rsid w:val="004E76F6"/>
    <w:rsid w:val="004E7786"/>
    <w:rsid w:val="004F0D23"/>
    <w:rsid w:val="004F7A93"/>
    <w:rsid w:val="00501303"/>
    <w:rsid w:val="00501B0C"/>
    <w:rsid w:val="00507DCF"/>
    <w:rsid w:val="00520FE8"/>
    <w:rsid w:val="00522DDE"/>
    <w:rsid w:val="0052394D"/>
    <w:rsid w:val="00524F86"/>
    <w:rsid w:val="00526F0E"/>
    <w:rsid w:val="005307A5"/>
    <w:rsid w:val="0053132A"/>
    <w:rsid w:val="00537C16"/>
    <w:rsid w:val="0054181E"/>
    <w:rsid w:val="00541FB5"/>
    <w:rsid w:val="005421F9"/>
    <w:rsid w:val="00542C59"/>
    <w:rsid w:val="00550C4F"/>
    <w:rsid w:val="005540F9"/>
    <w:rsid w:val="0055435D"/>
    <w:rsid w:val="005627EE"/>
    <w:rsid w:val="00562B2E"/>
    <w:rsid w:val="005647DB"/>
    <w:rsid w:val="00565042"/>
    <w:rsid w:val="00566F28"/>
    <w:rsid w:val="00567F0F"/>
    <w:rsid w:val="00573EAA"/>
    <w:rsid w:val="00577ECB"/>
    <w:rsid w:val="00577FFA"/>
    <w:rsid w:val="00580AF0"/>
    <w:rsid w:val="0058145C"/>
    <w:rsid w:val="00581540"/>
    <w:rsid w:val="00582F95"/>
    <w:rsid w:val="005843A4"/>
    <w:rsid w:val="00586006"/>
    <w:rsid w:val="00586658"/>
    <w:rsid w:val="005879D1"/>
    <w:rsid w:val="005924AA"/>
    <w:rsid w:val="00594C62"/>
    <w:rsid w:val="0059517B"/>
    <w:rsid w:val="005A215C"/>
    <w:rsid w:val="005A2AC9"/>
    <w:rsid w:val="005A6326"/>
    <w:rsid w:val="005A69CA"/>
    <w:rsid w:val="005A7A7B"/>
    <w:rsid w:val="005C53A8"/>
    <w:rsid w:val="005C6A4B"/>
    <w:rsid w:val="005D3846"/>
    <w:rsid w:val="005D5695"/>
    <w:rsid w:val="005D651D"/>
    <w:rsid w:val="005E0A25"/>
    <w:rsid w:val="005E3C18"/>
    <w:rsid w:val="005E617A"/>
    <w:rsid w:val="005F3159"/>
    <w:rsid w:val="005F437E"/>
    <w:rsid w:val="005F453C"/>
    <w:rsid w:val="005F6E37"/>
    <w:rsid w:val="005F7EEB"/>
    <w:rsid w:val="0060072E"/>
    <w:rsid w:val="0060086F"/>
    <w:rsid w:val="00600C9C"/>
    <w:rsid w:val="00606716"/>
    <w:rsid w:val="006070BD"/>
    <w:rsid w:val="00607BD4"/>
    <w:rsid w:val="00612937"/>
    <w:rsid w:val="00614406"/>
    <w:rsid w:val="006205BF"/>
    <w:rsid w:val="0062135D"/>
    <w:rsid w:val="00622699"/>
    <w:rsid w:val="00630AAC"/>
    <w:rsid w:val="006314C2"/>
    <w:rsid w:val="00631C5A"/>
    <w:rsid w:val="0063610A"/>
    <w:rsid w:val="006367D4"/>
    <w:rsid w:val="00640213"/>
    <w:rsid w:val="00642363"/>
    <w:rsid w:val="00644CAA"/>
    <w:rsid w:val="0064722F"/>
    <w:rsid w:val="00647D58"/>
    <w:rsid w:val="00652A1B"/>
    <w:rsid w:val="00652A7E"/>
    <w:rsid w:val="00652B74"/>
    <w:rsid w:val="006546EA"/>
    <w:rsid w:val="00656C08"/>
    <w:rsid w:val="00657AD0"/>
    <w:rsid w:val="0066102E"/>
    <w:rsid w:val="00661E10"/>
    <w:rsid w:val="00663F7A"/>
    <w:rsid w:val="0066681E"/>
    <w:rsid w:val="00666CAF"/>
    <w:rsid w:val="00670008"/>
    <w:rsid w:val="00672465"/>
    <w:rsid w:val="006728AB"/>
    <w:rsid w:val="00673798"/>
    <w:rsid w:val="00674A1B"/>
    <w:rsid w:val="006804BB"/>
    <w:rsid w:val="00681670"/>
    <w:rsid w:val="006818B5"/>
    <w:rsid w:val="00685C61"/>
    <w:rsid w:val="00686FBB"/>
    <w:rsid w:val="006932B7"/>
    <w:rsid w:val="00694538"/>
    <w:rsid w:val="006974ED"/>
    <w:rsid w:val="006A0AF4"/>
    <w:rsid w:val="006A265E"/>
    <w:rsid w:val="006A4AC4"/>
    <w:rsid w:val="006B014A"/>
    <w:rsid w:val="006B2DDD"/>
    <w:rsid w:val="006B6739"/>
    <w:rsid w:val="006B72B0"/>
    <w:rsid w:val="006C0665"/>
    <w:rsid w:val="006C06C9"/>
    <w:rsid w:val="006C08F0"/>
    <w:rsid w:val="006C0EC1"/>
    <w:rsid w:val="006C214D"/>
    <w:rsid w:val="006C551A"/>
    <w:rsid w:val="006D5419"/>
    <w:rsid w:val="006D747B"/>
    <w:rsid w:val="006E249F"/>
    <w:rsid w:val="006E344D"/>
    <w:rsid w:val="006E51CF"/>
    <w:rsid w:val="006E70D8"/>
    <w:rsid w:val="006F07AB"/>
    <w:rsid w:val="006F22E5"/>
    <w:rsid w:val="006F2A4E"/>
    <w:rsid w:val="006F6DB0"/>
    <w:rsid w:val="006F7BBE"/>
    <w:rsid w:val="00704AEC"/>
    <w:rsid w:val="0070576A"/>
    <w:rsid w:val="00711806"/>
    <w:rsid w:val="00711DFE"/>
    <w:rsid w:val="007124BC"/>
    <w:rsid w:val="007137F1"/>
    <w:rsid w:val="007156D2"/>
    <w:rsid w:val="00716F23"/>
    <w:rsid w:val="0072037A"/>
    <w:rsid w:val="00722F7B"/>
    <w:rsid w:val="0072783B"/>
    <w:rsid w:val="00744A05"/>
    <w:rsid w:val="00746AC3"/>
    <w:rsid w:val="0075151D"/>
    <w:rsid w:val="007616D4"/>
    <w:rsid w:val="007643E1"/>
    <w:rsid w:val="00767044"/>
    <w:rsid w:val="00767A9C"/>
    <w:rsid w:val="00776052"/>
    <w:rsid w:val="00777B6C"/>
    <w:rsid w:val="00781CB0"/>
    <w:rsid w:val="00782584"/>
    <w:rsid w:val="00784173"/>
    <w:rsid w:val="00787D19"/>
    <w:rsid w:val="007920CB"/>
    <w:rsid w:val="007952C7"/>
    <w:rsid w:val="00795424"/>
    <w:rsid w:val="00796034"/>
    <w:rsid w:val="007A0E43"/>
    <w:rsid w:val="007A4567"/>
    <w:rsid w:val="007A5319"/>
    <w:rsid w:val="007A7EF1"/>
    <w:rsid w:val="007B2A84"/>
    <w:rsid w:val="007B73CB"/>
    <w:rsid w:val="007C2395"/>
    <w:rsid w:val="007C66D2"/>
    <w:rsid w:val="007C7A1B"/>
    <w:rsid w:val="007D3DC6"/>
    <w:rsid w:val="007D5A3A"/>
    <w:rsid w:val="007D68A5"/>
    <w:rsid w:val="007E04FB"/>
    <w:rsid w:val="007E05B1"/>
    <w:rsid w:val="007E2FBB"/>
    <w:rsid w:val="007F41D1"/>
    <w:rsid w:val="007F4D14"/>
    <w:rsid w:val="007F6C55"/>
    <w:rsid w:val="00802443"/>
    <w:rsid w:val="00802B0A"/>
    <w:rsid w:val="0080672E"/>
    <w:rsid w:val="008068DA"/>
    <w:rsid w:val="008068EC"/>
    <w:rsid w:val="00810823"/>
    <w:rsid w:val="00813D04"/>
    <w:rsid w:val="0081414C"/>
    <w:rsid w:val="00820914"/>
    <w:rsid w:val="008247D9"/>
    <w:rsid w:val="00824FD7"/>
    <w:rsid w:val="00826C3A"/>
    <w:rsid w:val="00827B28"/>
    <w:rsid w:val="008329BF"/>
    <w:rsid w:val="008329E9"/>
    <w:rsid w:val="00840117"/>
    <w:rsid w:val="00840272"/>
    <w:rsid w:val="00840BFA"/>
    <w:rsid w:val="00843C8F"/>
    <w:rsid w:val="00844290"/>
    <w:rsid w:val="00844507"/>
    <w:rsid w:val="00846C2E"/>
    <w:rsid w:val="00846F1B"/>
    <w:rsid w:val="00847809"/>
    <w:rsid w:val="00854521"/>
    <w:rsid w:val="00857654"/>
    <w:rsid w:val="00857B62"/>
    <w:rsid w:val="00862EBB"/>
    <w:rsid w:val="008631DD"/>
    <w:rsid w:val="00866905"/>
    <w:rsid w:val="008703DB"/>
    <w:rsid w:val="00872CE4"/>
    <w:rsid w:val="00874746"/>
    <w:rsid w:val="0087703D"/>
    <w:rsid w:val="00877E4D"/>
    <w:rsid w:val="00880D74"/>
    <w:rsid w:val="00881BAB"/>
    <w:rsid w:val="00881D84"/>
    <w:rsid w:val="0088254B"/>
    <w:rsid w:val="00884954"/>
    <w:rsid w:val="00884BA6"/>
    <w:rsid w:val="008858F6"/>
    <w:rsid w:val="00891048"/>
    <w:rsid w:val="008919E7"/>
    <w:rsid w:val="00892DE8"/>
    <w:rsid w:val="008A4525"/>
    <w:rsid w:val="008A4A89"/>
    <w:rsid w:val="008A4B8E"/>
    <w:rsid w:val="008A6628"/>
    <w:rsid w:val="008A7AF9"/>
    <w:rsid w:val="008B06BC"/>
    <w:rsid w:val="008B1D39"/>
    <w:rsid w:val="008B5573"/>
    <w:rsid w:val="008B6942"/>
    <w:rsid w:val="008C077E"/>
    <w:rsid w:val="008C24AF"/>
    <w:rsid w:val="008C6135"/>
    <w:rsid w:val="008D384F"/>
    <w:rsid w:val="008D5387"/>
    <w:rsid w:val="008E60E8"/>
    <w:rsid w:val="008F1D6D"/>
    <w:rsid w:val="008F4063"/>
    <w:rsid w:val="008F4D77"/>
    <w:rsid w:val="008F6AA2"/>
    <w:rsid w:val="00900116"/>
    <w:rsid w:val="00905C3E"/>
    <w:rsid w:val="0091002A"/>
    <w:rsid w:val="00910B36"/>
    <w:rsid w:val="00913492"/>
    <w:rsid w:val="00913858"/>
    <w:rsid w:val="00915795"/>
    <w:rsid w:val="0091776B"/>
    <w:rsid w:val="00917C51"/>
    <w:rsid w:val="009209E8"/>
    <w:rsid w:val="00920BBA"/>
    <w:rsid w:val="00922592"/>
    <w:rsid w:val="0092570E"/>
    <w:rsid w:val="00925B19"/>
    <w:rsid w:val="00925B9C"/>
    <w:rsid w:val="009265E9"/>
    <w:rsid w:val="00926CDD"/>
    <w:rsid w:val="00926EE7"/>
    <w:rsid w:val="009324FE"/>
    <w:rsid w:val="00933150"/>
    <w:rsid w:val="0093334D"/>
    <w:rsid w:val="0094041C"/>
    <w:rsid w:val="0094055B"/>
    <w:rsid w:val="00941545"/>
    <w:rsid w:val="00942790"/>
    <w:rsid w:val="009437A7"/>
    <w:rsid w:val="00946789"/>
    <w:rsid w:val="009500C5"/>
    <w:rsid w:val="009546B7"/>
    <w:rsid w:val="00955047"/>
    <w:rsid w:val="00955238"/>
    <w:rsid w:val="0095534B"/>
    <w:rsid w:val="009561D2"/>
    <w:rsid w:val="00960EB0"/>
    <w:rsid w:val="009613A3"/>
    <w:rsid w:val="0096147D"/>
    <w:rsid w:val="00965552"/>
    <w:rsid w:val="0096574A"/>
    <w:rsid w:val="0096617A"/>
    <w:rsid w:val="00967345"/>
    <w:rsid w:val="009700E7"/>
    <w:rsid w:val="0097378B"/>
    <w:rsid w:val="00975775"/>
    <w:rsid w:val="00981749"/>
    <w:rsid w:val="009840B0"/>
    <w:rsid w:val="00984531"/>
    <w:rsid w:val="00985D50"/>
    <w:rsid w:val="009869E5"/>
    <w:rsid w:val="00990BDD"/>
    <w:rsid w:val="00991DEE"/>
    <w:rsid w:val="00991F92"/>
    <w:rsid w:val="00992F5C"/>
    <w:rsid w:val="009930AE"/>
    <w:rsid w:val="00994368"/>
    <w:rsid w:val="00994803"/>
    <w:rsid w:val="009960AD"/>
    <w:rsid w:val="009A089A"/>
    <w:rsid w:val="009A0BB0"/>
    <w:rsid w:val="009A456E"/>
    <w:rsid w:val="009A6799"/>
    <w:rsid w:val="009A693B"/>
    <w:rsid w:val="009A6E14"/>
    <w:rsid w:val="009A70A2"/>
    <w:rsid w:val="009A7284"/>
    <w:rsid w:val="009B074B"/>
    <w:rsid w:val="009B0A3E"/>
    <w:rsid w:val="009B47D6"/>
    <w:rsid w:val="009C3A04"/>
    <w:rsid w:val="009C585B"/>
    <w:rsid w:val="009C606F"/>
    <w:rsid w:val="009C7FD8"/>
    <w:rsid w:val="009D05BF"/>
    <w:rsid w:val="009D2432"/>
    <w:rsid w:val="009D2FB9"/>
    <w:rsid w:val="009D3F5E"/>
    <w:rsid w:val="009D3FDA"/>
    <w:rsid w:val="009E4C1C"/>
    <w:rsid w:val="009F064F"/>
    <w:rsid w:val="009F11C8"/>
    <w:rsid w:val="009F15EF"/>
    <w:rsid w:val="009F1E72"/>
    <w:rsid w:val="009F24D1"/>
    <w:rsid w:val="00A001A5"/>
    <w:rsid w:val="00A00917"/>
    <w:rsid w:val="00A01EFD"/>
    <w:rsid w:val="00A027FA"/>
    <w:rsid w:val="00A04B51"/>
    <w:rsid w:val="00A068B7"/>
    <w:rsid w:val="00A17158"/>
    <w:rsid w:val="00A20856"/>
    <w:rsid w:val="00A23148"/>
    <w:rsid w:val="00A24D4A"/>
    <w:rsid w:val="00A3043E"/>
    <w:rsid w:val="00A319A4"/>
    <w:rsid w:val="00A320D2"/>
    <w:rsid w:val="00A33EC9"/>
    <w:rsid w:val="00A3539E"/>
    <w:rsid w:val="00A35C1B"/>
    <w:rsid w:val="00A377F1"/>
    <w:rsid w:val="00A40087"/>
    <w:rsid w:val="00A41CA5"/>
    <w:rsid w:val="00A42CD8"/>
    <w:rsid w:val="00A42DDD"/>
    <w:rsid w:val="00A46BC3"/>
    <w:rsid w:val="00A5128E"/>
    <w:rsid w:val="00A5628D"/>
    <w:rsid w:val="00A57C84"/>
    <w:rsid w:val="00A648D2"/>
    <w:rsid w:val="00A648FB"/>
    <w:rsid w:val="00A665B8"/>
    <w:rsid w:val="00A841E3"/>
    <w:rsid w:val="00A85680"/>
    <w:rsid w:val="00A87020"/>
    <w:rsid w:val="00A8786D"/>
    <w:rsid w:val="00A920ED"/>
    <w:rsid w:val="00A93030"/>
    <w:rsid w:val="00A97447"/>
    <w:rsid w:val="00AA0A96"/>
    <w:rsid w:val="00AA0C7F"/>
    <w:rsid w:val="00AA13EF"/>
    <w:rsid w:val="00AA1E25"/>
    <w:rsid w:val="00AA65EF"/>
    <w:rsid w:val="00AB07FC"/>
    <w:rsid w:val="00AB0BCB"/>
    <w:rsid w:val="00AB383A"/>
    <w:rsid w:val="00AB442E"/>
    <w:rsid w:val="00AB706C"/>
    <w:rsid w:val="00AB7635"/>
    <w:rsid w:val="00AB7D40"/>
    <w:rsid w:val="00AC1089"/>
    <w:rsid w:val="00AC169A"/>
    <w:rsid w:val="00AC17BD"/>
    <w:rsid w:val="00AC2C93"/>
    <w:rsid w:val="00AC5660"/>
    <w:rsid w:val="00AC7076"/>
    <w:rsid w:val="00AD0858"/>
    <w:rsid w:val="00AD1210"/>
    <w:rsid w:val="00AD159E"/>
    <w:rsid w:val="00AD3FA3"/>
    <w:rsid w:val="00AD5B62"/>
    <w:rsid w:val="00AE07D2"/>
    <w:rsid w:val="00AE2F7F"/>
    <w:rsid w:val="00AF35AE"/>
    <w:rsid w:val="00AF5C93"/>
    <w:rsid w:val="00B12CAE"/>
    <w:rsid w:val="00B12DA9"/>
    <w:rsid w:val="00B1771E"/>
    <w:rsid w:val="00B20979"/>
    <w:rsid w:val="00B20B9D"/>
    <w:rsid w:val="00B20CA6"/>
    <w:rsid w:val="00B23297"/>
    <w:rsid w:val="00B24130"/>
    <w:rsid w:val="00B25D66"/>
    <w:rsid w:val="00B3066F"/>
    <w:rsid w:val="00B311C3"/>
    <w:rsid w:val="00B32FDE"/>
    <w:rsid w:val="00B3485C"/>
    <w:rsid w:val="00B3551C"/>
    <w:rsid w:val="00B41FC8"/>
    <w:rsid w:val="00B42A8F"/>
    <w:rsid w:val="00B455A2"/>
    <w:rsid w:val="00B476A0"/>
    <w:rsid w:val="00B513C8"/>
    <w:rsid w:val="00B545BF"/>
    <w:rsid w:val="00B553AF"/>
    <w:rsid w:val="00B55DD4"/>
    <w:rsid w:val="00B6151D"/>
    <w:rsid w:val="00B61E94"/>
    <w:rsid w:val="00B628A3"/>
    <w:rsid w:val="00B64F32"/>
    <w:rsid w:val="00B65DD7"/>
    <w:rsid w:val="00B66B82"/>
    <w:rsid w:val="00B74A09"/>
    <w:rsid w:val="00B7678B"/>
    <w:rsid w:val="00B76B5B"/>
    <w:rsid w:val="00B836E8"/>
    <w:rsid w:val="00B83FBC"/>
    <w:rsid w:val="00B841A4"/>
    <w:rsid w:val="00B871DD"/>
    <w:rsid w:val="00B96F38"/>
    <w:rsid w:val="00BA1954"/>
    <w:rsid w:val="00BA489F"/>
    <w:rsid w:val="00BB33FE"/>
    <w:rsid w:val="00BB5C5F"/>
    <w:rsid w:val="00BB612A"/>
    <w:rsid w:val="00BC4F1B"/>
    <w:rsid w:val="00BC6F1B"/>
    <w:rsid w:val="00BC7668"/>
    <w:rsid w:val="00BD1FA5"/>
    <w:rsid w:val="00BD2812"/>
    <w:rsid w:val="00BD6949"/>
    <w:rsid w:val="00BD748C"/>
    <w:rsid w:val="00BE4B8D"/>
    <w:rsid w:val="00BE4D08"/>
    <w:rsid w:val="00BE5EB9"/>
    <w:rsid w:val="00BF0B2C"/>
    <w:rsid w:val="00BF0C97"/>
    <w:rsid w:val="00BF1BAF"/>
    <w:rsid w:val="00BF28EC"/>
    <w:rsid w:val="00BF51F6"/>
    <w:rsid w:val="00C0021F"/>
    <w:rsid w:val="00C02BD8"/>
    <w:rsid w:val="00C02D9A"/>
    <w:rsid w:val="00C076E0"/>
    <w:rsid w:val="00C12240"/>
    <w:rsid w:val="00C138B2"/>
    <w:rsid w:val="00C13F57"/>
    <w:rsid w:val="00C17074"/>
    <w:rsid w:val="00C1758E"/>
    <w:rsid w:val="00C21672"/>
    <w:rsid w:val="00C22755"/>
    <w:rsid w:val="00C25A54"/>
    <w:rsid w:val="00C2641B"/>
    <w:rsid w:val="00C265DD"/>
    <w:rsid w:val="00C27F57"/>
    <w:rsid w:val="00C31656"/>
    <w:rsid w:val="00C31F14"/>
    <w:rsid w:val="00C331FC"/>
    <w:rsid w:val="00C338E4"/>
    <w:rsid w:val="00C34333"/>
    <w:rsid w:val="00C34FE2"/>
    <w:rsid w:val="00C35692"/>
    <w:rsid w:val="00C36041"/>
    <w:rsid w:val="00C36B8D"/>
    <w:rsid w:val="00C379C9"/>
    <w:rsid w:val="00C402C9"/>
    <w:rsid w:val="00C418DE"/>
    <w:rsid w:val="00C42124"/>
    <w:rsid w:val="00C45F5C"/>
    <w:rsid w:val="00C466A2"/>
    <w:rsid w:val="00C46AF0"/>
    <w:rsid w:val="00C479FE"/>
    <w:rsid w:val="00C47EB3"/>
    <w:rsid w:val="00C50789"/>
    <w:rsid w:val="00C50B1D"/>
    <w:rsid w:val="00C50C30"/>
    <w:rsid w:val="00C53ADD"/>
    <w:rsid w:val="00C60F80"/>
    <w:rsid w:val="00C62E07"/>
    <w:rsid w:val="00C70F4F"/>
    <w:rsid w:val="00C840F2"/>
    <w:rsid w:val="00C859E8"/>
    <w:rsid w:val="00C9122B"/>
    <w:rsid w:val="00C9683B"/>
    <w:rsid w:val="00CA0EF6"/>
    <w:rsid w:val="00CA192F"/>
    <w:rsid w:val="00CA31DB"/>
    <w:rsid w:val="00CA502E"/>
    <w:rsid w:val="00CB26B0"/>
    <w:rsid w:val="00CB66EF"/>
    <w:rsid w:val="00CB73BC"/>
    <w:rsid w:val="00CC1BEF"/>
    <w:rsid w:val="00CC70D9"/>
    <w:rsid w:val="00CD144D"/>
    <w:rsid w:val="00CD2724"/>
    <w:rsid w:val="00CD33AB"/>
    <w:rsid w:val="00CD5E71"/>
    <w:rsid w:val="00CF1C70"/>
    <w:rsid w:val="00CF291C"/>
    <w:rsid w:val="00CF4B54"/>
    <w:rsid w:val="00D043CF"/>
    <w:rsid w:val="00D04533"/>
    <w:rsid w:val="00D05A97"/>
    <w:rsid w:val="00D060F5"/>
    <w:rsid w:val="00D06613"/>
    <w:rsid w:val="00D10074"/>
    <w:rsid w:val="00D112B5"/>
    <w:rsid w:val="00D119E0"/>
    <w:rsid w:val="00D1210A"/>
    <w:rsid w:val="00D12679"/>
    <w:rsid w:val="00D13FCC"/>
    <w:rsid w:val="00D15B9A"/>
    <w:rsid w:val="00D15D80"/>
    <w:rsid w:val="00D17C21"/>
    <w:rsid w:val="00D17D8C"/>
    <w:rsid w:val="00D20EE3"/>
    <w:rsid w:val="00D21664"/>
    <w:rsid w:val="00D2223C"/>
    <w:rsid w:val="00D26793"/>
    <w:rsid w:val="00D27953"/>
    <w:rsid w:val="00D32202"/>
    <w:rsid w:val="00D324D5"/>
    <w:rsid w:val="00D334C0"/>
    <w:rsid w:val="00D33952"/>
    <w:rsid w:val="00D36170"/>
    <w:rsid w:val="00D36619"/>
    <w:rsid w:val="00D36B59"/>
    <w:rsid w:val="00D450F4"/>
    <w:rsid w:val="00D45431"/>
    <w:rsid w:val="00D50730"/>
    <w:rsid w:val="00D50E97"/>
    <w:rsid w:val="00D5261D"/>
    <w:rsid w:val="00D628CD"/>
    <w:rsid w:val="00D65F39"/>
    <w:rsid w:val="00D7654E"/>
    <w:rsid w:val="00D777A5"/>
    <w:rsid w:val="00D85475"/>
    <w:rsid w:val="00D87DC8"/>
    <w:rsid w:val="00D9044D"/>
    <w:rsid w:val="00D90F3B"/>
    <w:rsid w:val="00D92F4F"/>
    <w:rsid w:val="00D94EB2"/>
    <w:rsid w:val="00DA2563"/>
    <w:rsid w:val="00DA380B"/>
    <w:rsid w:val="00DA5017"/>
    <w:rsid w:val="00DB171F"/>
    <w:rsid w:val="00DB50E6"/>
    <w:rsid w:val="00DB696C"/>
    <w:rsid w:val="00DB7459"/>
    <w:rsid w:val="00DC3782"/>
    <w:rsid w:val="00DC499D"/>
    <w:rsid w:val="00DC6B9D"/>
    <w:rsid w:val="00DC7034"/>
    <w:rsid w:val="00DD090B"/>
    <w:rsid w:val="00DD5A57"/>
    <w:rsid w:val="00DD6416"/>
    <w:rsid w:val="00DE2250"/>
    <w:rsid w:val="00DE28A4"/>
    <w:rsid w:val="00DE29C3"/>
    <w:rsid w:val="00DF29E0"/>
    <w:rsid w:val="00E02848"/>
    <w:rsid w:val="00E0297A"/>
    <w:rsid w:val="00E03EE9"/>
    <w:rsid w:val="00E05CD7"/>
    <w:rsid w:val="00E06DA4"/>
    <w:rsid w:val="00E112B3"/>
    <w:rsid w:val="00E121FC"/>
    <w:rsid w:val="00E14034"/>
    <w:rsid w:val="00E14149"/>
    <w:rsid w:val="00E14A89"/>
    <w:rsid w:val="00E14BE4"/>
    <w:rsid w:val="00E17D40"/>
    <w:rsid w:val="00E23290"/>
    <w:rsid w:val="00E23D9B"/>
    <w:rsid w:val="00E2781F"/>
    <w:rsid w:val="00E27F0F"/>
    <w:rsid w:val="00E27F9E"/>
    <w:rsid w:val="00E311A1"/>
    <w:rsid w:val="00E34833"/>
    <w:rsid w:val="00E34FF9"/>
    <w:rsid w:val="00E37B70"/>
    <w:rsid w:val="00E40272"/>
    <w:rsid w:val="00E412C0"/>
    <w:rsid w:val="00E41690"/>
    <w:rsid w:val="00E4229F"/>
    <w:rsid w:val="00E4570B"/>
    <w:rsid w:val="00E45AB6"/>
    <w:rsid w:val="00E50150"/>
    <w:rsid w:val="00E51BBE"/>
    <w:rsid w:val="00E52C8A"/>
    <w:rsid w:val="00E531C2"/>
    <w:rsid w:val="00E53FDA"/>
    <w:rsid w:val="00E561E1"/>
    <w:rsid w:val="00E56EAE"/>
    <w:rsid w:val="00E57B36"/>
    <w:rsid w:val="00E629D1"/>
    <w:rsid w:val="00E63647"/>
    <w:rsid w:val="00E656AA"/>
    <w:rsid w:val="00E6785B"/>
    <w:rsid w:val="00E67BB4"/>
    <w:rsid w:val="00E705A5"/>
    <w:rsid w:val="00E71356"/>
    <w:rsid w:val="00E715AA"/>
    <w:rsid w:val="00E73851"/>
    <w:rsid w:val="00E74FD6"/>
    <w:rsid w:val="00E761CC"/>
    <w:rsid w:val="00E76A25"/>
    <w:rsid w:val="00E80DD8"/>
    <w:rsid w:val="00E8351B"/>
    <w:rsid w:val="00E847F7"/>
    <w:rsid w:val="00E87230"/>
    <w:rsid w:val="00E872AD"/>
    <w:rsid w:val="00E87666"/>
    <w:rsid w:val="00E9078D"/>
    <w:rsid w:val="00E912E2"/>
    <w:rsid w:val="00E92B97"/>
    <w:rsid w:val="00E94C05"/>
    <w:rsid w:val="00E94D9A"/>
    <w:rsid w:val="00E96A6D"/>
    <w:rsid w:val="00E96D5C"/>
    <w:rsid w:val="00E96E25"/>
    <w:rsid w:val="00E97BFB"/>
    <w:rsid w:val="00EA1744"/>
    <w:rsid w:val="00EA6DA2"/>
    <w:rsid w:val="00EA75E3"/>
    <w:rsid w:val="00EB19B8"/>
    <w:rsid w:val="00EB376B"/>
    <w:rsid w:val="00EC0249"/>
    <w:rsid w:val="00EC22AB"/>
    <w:rsid w:val="00EC767D"/>
    <w:rsid w:val="00ED3CA9"/>
    <w:rsid w:val="00ED7031"/>
    <w:rsid w:val="00ED7DB6"/>
    <w:rsid w:val="00EE1040"/>
    <w:rsid w:val="00EE2F7B"/>
    <w:rsid w:val="00EF0DD2"/>
    <w:rsid w:val="00EF277A"/>
    <w:rsid w:val="00F00A1D"/>
    <w:rsid w:val="00F046AF"/>
    <w:rsid w:val="00F077F5"/>
    <w:rsid w:val="00F10359"/>
    <w:rsid w:val="00F141A0"/>
    <w:rsid w:val="00F1438C"/>
    <w:rsid w:val="00F21F0C"/>
    <w:rsid w:val="00F2452B"/>
    <w:rsid w:val="00F31749"/>
    <w:rsid w:val="00F3403B"/>
    <w:rsid w:val="00F37295"/>
    <w:rsid w:val="00F37D48"/>
    <w:rsid w:val="00F37DC2"/>
    <w:rsid w:val="00F41097"/>
    <w:rsid w:val="00F4197F"/>
    <w:rsid w:val="00F421E7"/>
    <w:rsid w:val="00F42B8A"/>
    <w:rsid w:val="00F43C3A"/>
    <w:rsid w:val="00F51522"/>
    <w:rsid w:val="00F5283D"/>
    <w:rsid w:val="00F52D03"/>
    <w:rsid w:val="00F54CD6"/>
    <w:rsid w:val="00F61283"/>
    <w:rsid w:val="00F61696"/>
    <w:rsid w:val="00F65CFD"/>
    <w:rsid w:val="00F6738F"/>
    <w:rsid w:val="00F7367D"/>
    <w:rsid w:val="00F85A84"/>
    <w:rsid w:val="00F903D2"/>
    <w:rsid w:val="00F94DA0"/>
    <w:rsid w:val="00F95580"/>
    <w:rsid w:val="00F979A3"/>
    <w:rsid w:val="00FA4BE3"/>
    <w:rsid w:val="00FA6BE0"/>
    <w:rsid w:val="00FA72A6"/>
    <w:rsid w:val="00FB3072"/>
    <w:rsid w:val="00FB362D"/>
    <w:rsid w:val="00FB5939"/>
    <w:rsid w:val="00FB5EA4"/>
    <w:rsid w:val="00FC02FD"/>
    <w:rsid w:val="00FC3C79"/>
    <w:rsid w:val="00FC3E48"/>
    <w:rsid w:val="00FC6670"/>
    <w:rsid w:val="00FC6F7D"/>
    <w:rsid w:val="00FD0E95"/>
    <w:rsid w:val="00FD1AE3"/>
    <w:rsid w:val="00FD53B3"/>
    <w:rsid w:val="00FD70A2"/>
    <w:rsid w:val="00FD7F20"/>
    <w:rsid w:val="00FE2037"/>
    <w:rsid w:val="00FE2F34"/>
    <w:rsid w:val="00FF2520"/>
    <w:rsid w:val="00FF2E08"/>
    <w:rsid w:val="00FF4215"/>
    <w:rsid w:val="00FF4C85"/>
    <w:rsid w:val="00FF72B7"/>
    <w:rsid w:val="00FF7BA0"/>
    <w:rsid w:val="043C63F9"/>
    <w:rsid w:val="044B7594"/>
    <w:rsid w:val="05050E2A"/>
    <w:rsid w:val="055E2DCD"/>
    <w:rsid w:val="073F4A62"/>
    <w:rsid w:val="0909481F"/>
    <w:rsid w:val="0BB46212"/>
    <w:rsid w:val="0E4868F2"/>
    <w:rsid w:val="106B68C8"/>
    <w:rsid w:val="11CF21D0"/>
    <w:rsid w:val="12EB3CF0"/>
    <w:rsid w:val="130D3C66"/>
    <w:rsid w:val="16B234A2"/>
    <w:rsid w:val="187B572C"/>
    <w:rsid w:val="19831409"/>
    <w:rsid w:val="1A717365"/>
    <w:rsid w:val="1D6C4356"/>
    <w:rsid w:val="1E110AAE"/>
    <w:rsid w:val="1E701B4D"/>
    <w:rsid w:val="1FEA5A5B"/>
    <w:rsid w:val="20FD356C"/>
    <w:rsid w:val="22001566"/>
    <w:rsid w:val="22D76F96"/>
    <w:rsid w:val="231C643A"/>
    <w:rsid w:val="2B6568DD"/>
    <w:rsid w:val="30B32D57"/>
    <w:rsid w:val="30C47C02"/>
    <w:rsid w:val="31A65BBC"/>
    <w:rsid w:val="33D464C6"/>
    <w:rsid w:val="35E825E5"/>
    <w:rsid w:val="370C22CB"/>
    <w:rsid w:val="37B35C4A"/>
    <w:rsid w:val="38454AF6"/>
    <w:rsid w:val="38511CCE"/>
    <w:rsid w:val="3AC727C9"/>
    <w:rsid w:val="3F5D0C42"/>
    <w:rsid w:val="3F6C3F9A"/>
    <w:rsid w:val="40D41520"/>
    <w:rsid w:val="41045EE6"/>
    <w:rsid w:val="43D87F66"/>
    <w:rsid w:val="44A43B7B"/>
    <w:rsid w:val="44C9538F"/>
    <w:rsid w:val="46032B23"/>
    <w:rsid w:val="466E61EE"/>
    <w:rsid w:val="48E25140"/>
    <w:rsid w:val="48E46DDE"/>
    <w:rsid w:val="4BEF4BB7"/>
    <w:rsid w:val="4ED71BF8"/>
    <w:rsid w:val="50C8299F"/>
    <w:rsid w:val="50E7551B"/>
    <w:rsid w:val="53E739F8"/>
    <w:rsid w:val="53F51CFD"/>
    <w:rsid w:val="543E127E"/>
    <w:rsid w:val="545A6004"/>
    <w:rsid w:val="55A41C2D"/>
    <w:rsid w:val="590B03C5"/>
    <w:rsid w:val="59CE54CA"/>
    <w:rsid w:val="59EB3794"/>
    <w:rsid w:val="5A33357F"/>
    <w:rsid w:val="5AA224B3"/>
    <w:rsid w:val="62B76D39"/>
    <w:rsid w:val="64C5396E"/>
    <w:rsid w:val="658B4C57"/>
    <w:rsid w:val="65C70E0B"/>
    <w:rsid w:val="65FF07B9"/>
    <w:rsid w:val="692E17B3"/>
    <w:rsid w:val="69FF522C"/>
    <w:rsid w:val="6A205067"/>
    <w:rsid w:val="6A5D139E"/>
    <w:rsid w:val="6AB539C1"/>
    <w:rsid w:val="6B3D24B0"/>
    <w:rsid w:val="6C8B724B"/>
    <w:rsid w:val="6D196386"/>
    <w:rsid w:val="6DCA5B51"/>
    <w:rsid w:val="6E992620"/>
    <w:rsid w:val="72925DA6"/>
    <w:rsid w:val="78B95140"/>
    <w:rsid w:val="7AE04C06"/>
    <w:rsid w:val="7CB023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qFormat="1"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99"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60"/>
    <w:qFormat/>
    <w:uiPriority w:val="0"/>
    <w:pPr>
      <w:keepNext/>
      <w:widowControl/>
      <w:spacing w:before="340" w:after="330" w:line="576" w:lineRule="auto"/>
      <w:jc w:val="center"/>
      <w:outlineLvl w:val="0"/>
    </w:pPr>
    <w:rPr>
      <w:rFonts w:ascii="???" w:hAnsi="???" w:eastAsia="宋体" w:cs="Arial"/>
      <w:b/>
      <w:bCs/>
      <w:color w:val="020000"/>
      <w:kern w:val="36"/>
      <w:sz w:val="44"/>
      <w:szCs w:val="44"/>
    </w:rPr>
  </w:style>
  <w:style w:type="paragraph" w:styleId="3">
    <w:name w:val="heading 2"/>
    <w:basedOn w:val="1"/>
    <w:next w:val="1"/>
    <w:link w:val="61"/>
    <w:qFormat/>
    <w:uiPriority w:val="0"/>
    <w:pPr>
      <w:keepNext/>
      <w:widowControl/>
      <w:spacing w:before="260" w:after="260" w:line="412" w:lineRule="auto"/>
      <w:outlineLvl w:val="1"/>
    </w:pPr>
    <w:rPr>
      <w:rFonts w:ascii="???" w:hAnsi="???" w:eastAsia="宋体" w:cs="Arial"/>
      <w:b/>
      <w:bCs/>
      <w:color w:val="020000"/>
      <w:kern w:val="0"/>
      <w:sz w:val="32"/>
      <w:szCs w:val="32"/>
    </w:rPr>
  </w:style>
  <w:style w:type="paragraph" w:styleId="4">
    <w:name w:val="heading 3"/>
    <w:basedOn w:val="1"/>
    <w:next w:val="1"/>
    <w:link w:val="62"/>
    <w:qFormat/>
    <w:uiPriority w:val="0"/>
    <w:pPr>
      <w:keepNext/>
      <w:widowControl/>
      <w:spacing w:before="260" w:after="260" w:line="412" w:lineRule="auto"/>
      <w:outlineLvl w:val="2"/>
    </w:pPr>
    <w:rPr>
      <w:rFonts w:ascii="??" w:hAnsi="??" w:eastAsia="宋体" w:cs="Arial"/>
      <w:b/>
      <w:bCs/>
      <w:color w:val="000000"/>
      <w:kern w:val="0"/>
      <w:sz w:val="32"/>
      <w:szCs w:val="32"/>
    </w:rPr>
  </w:style>
  <w:style w:type="paragraph" w:styleId="5">
    <w:name w:val="heading 4"/>
    <w:basedOn w:val="1"/>
    <w:next w:val="6"/>
    <w:link w:val="205"/>
    <w:qFormat/>
    <w:uiPriority w:val="0"/>
    <w:pPr>
      <w:keepNext/>
      <w:keepLines/>
      <w:spacing w:before="280" w:after="290" w:line="376" w:lineRule="auto"/>
      <w:outlineLvl w:val="3"/>
    </w:pPr>
    <w:rPr>
      <w:rFonts w:ascii="Arial" w:hAnsi="Arial" w:eastAsia="黑体" w:cs="Times New Roman"/>
      <w:b/>
      <w:sz w:val="28"/>
      <w:szCs w:val="20"/>
    </w:rPr>
  </w:style>
  <w:style w:type="paragraph" w:styleId="7">
    <w:name w:val="heading 5"/>
    <w:basedOn w:val="1"/>
    <w:next w:val="6"/>
    <w:link w:val="206"/>
    <w:qFormat/>
    <w:uiPriority w:val="0"/>
    <w:pPr>
      <w:keepNext/>
      <w:keepLines/>
      <w:spacing w:before="280" w:after="290" w:line="376" w:lineRule="auto"/>
      <w:outlineLvl w:val="4"/>
    </w:pPr>
    <w:rPr>
      <w:rFonts w:ascii="Times New Roman" w:hAnsi="Times New Roman" w:eastAsia="宋体" w:cs="Times New Roman"/>
      <w:b/>
      <w:sz w:val="28"/>
      <w:szCs w:val="20"/>
    </w:rPr>
  </w:style>
  <w:style w:type="paragraph" w:styleId="8">
    <w:name w:val="heading 6"/>
    <w:basedOn w:val="1"/>
    <w:next w:val="6"/>
    <w:link w:val="207"/>
    <w:qFormat/>
    <w:uiPriority w:val="0"/>
    <w:pPr>
      <w:keepNext/>
      <w:keepLines/>
      <w:spacing w:before="240" w:after="64" w:line="320" w:lineRule="auto"/>
      <w:outlineLvl w:val="5"/>
    </w:pPr>
    <w:rPr>
      <w:rFonts w:ascii="Arial" w:hAnsi="Arial" w:eastAsia="黑体" w:cs="Times New Roman"/>
      <w:b/>
      <w:sz w:val="24"/>
      <w:szCs w:val="20"/>
    </w:rPr>
  </w:style>
  <w:style w:type="paragraph" w:styleId="9">
    <w:name w:val="heading 7"/>
    <w:basedOn w:val="1"/>
    <w:next w:val="6"/>
    <w:link w:val="208"/>
    <w:qFormat/>
    <w:uiPriority w:val="0"/>
    <w:pPr>
      <w:keepNext/>
      <w:keepLines/>
      <w:spacing w:before="240" w:after="64" w:line="320" w:lineRule="auto"/>
      <w:outlineLvl w:val="6"/>
    </w:pPr>
    <w:rPr>
      <w:rFonts w:ascii="Times New Roman" w:hAnsi="Times New Roman" w:eastAsia="宋体" w:cs="Times New Roman"/>
      <w:b/>
      <w:sz w:val="24"/>
      <w:szCs w:val="20"/>
    </w:rPr>
  </w:style>
  <w:style w:type="paragraph" w:styleId="10">
    <w:name w:val="heading 8"/>
    <w:basedOn w:val="1"/>
    <w:next w:val="6"/>
    <w:link w:val="209"/>
    <w:qFormat/>
    <w:uiPriority w:val="0"/>
    <w:pPr>
      <w:keepNext/>
      <w:keepLines/>
      <w:spacing w:before="240" w:after="64" w:line="320" w:lineRule="auto"/>
      <w:outlineLvl w:val="7"/>
    </w:pPr>
    <w:rPr>
      <w:rFonts w:ascii="Arial" w:hAnsi="Arial" w:eastAsia="黑体" w:cs="Times New Roman"/>
      <w:sz w:val="24"/>
      <w:szCs w:val="20"/>
    </w:rPr>
  </w:style>
  <w:style w:type="paragraph" w:styleId="11">
    <w:name w:val="heading 9"/>
    <w:basedOn w:val="1"/>
    <w:next w:val="6"/>
    <w:link w:val="210"/>
    <w:qFormat/>
    <w:uiPriority w:val="0"/>
    <w:pPr>
      <w:keepNext/>
      <w:keepLines/>
      <w:spacing w:before="240" w:after="64" w:line="320" w:lineRule="auto"/>
      <w:outlineLvl w:val="8"/>
    </w:pPr>
    <w:rPr>
      <w:rFonts w:ascii="Arial" w:hAnsi="Arial" w:eastAsia="黑体" w:cs="Times New Roman"/>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113"/>
    <w:qFormat/>
    <w:uiPriority w:val="0"/>
    <w:pPr>
      <w:ind w:firstLine="420" w:firstLineChars="200"/>
    </w:pPr>
    <w:rPr>
      <w:rFonts w:ascii="Times New Roman" w:hAnsi="Times New Roman" w:eastAsia="宋体" w:cs="Times New Roman"/>
      <w:kern w:val="0"/>
      <w:sz w:val="24"/>
      <w:szCs w:val="20"/>
    </w:rPr>
  </w:style>
  <w:style w:type="paragraph" w:styleId="12">
    <w:name w:val="toc 7"/>
    <w:basedOn w:val="1"/>
    <w:next w:val="1"/>
    <w:qFormat/>
    <w:uiPriority w:val="0"/>
    <w:pPr>
      <w:ind w:left="2520" w:leftChars="1200"/>
    </w:pPr>
    <w:rPr>
      <w:rFonts w:ascii="Times New Roman" w:hAnsi="Times New Roman" w:eastAsia="宋体" w:cs="Times New Roman"/>
      <w:szCs w:val="24"/>
    </w:rPr>
  </w:style>
  <w:style w:type="paragraph" w:styleId="13">
    <w:name w:val="List Numb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Document Map"/>
    <w:basedOn w:val="1"/>
    <w:link w:val="131"/>
    <w:qFormat/>
    <w:uiPriority w:val="0"/>
    <w:rPr>
      <w:rFonts w:ascii="宋体" w:hAnsi="Calibri" w:eastAsia="宋体" w:cs="Times New Roman"/>
      <w:kern w:val="0"/>
      <w:sz w:val="18"/>
      <w:szCs w:val="20"/>
    </w:rPr>
  </w:style>
  <w:style w:type="paragraph" w:styleId="15">
    <w:name w:val="annotation text"/>
    <w:basedOn w:val="1"/>
    <w:link w:val="159"/>
    <w:qFormat/>
    <w:uiPriority w:val="0"/>
    <w:pPr>
      <w:jc w:val="left"/>
    </w:pPr>
  </w:style>
  <w:style w:type="paragraph" w:styleId="16">
    <w:name w:val="index 6"/>
    <w:basedOn w:val="1"/>
    <w:next w:val="1"/>
    <w:semiHidden/>
    <w:unhideWhenUsed/>
    <w:qFormat/>
    <w:uiPriority w:val="99"/>
    <w:pPr>
      <w:ind w:left="1000" w:leftChars="1000"/>
    </w:pPr>
  </w:style>
  <w:style w:type="paragraph" w:styleId="17">
    <w:name w:val="Body Text"/>
    <w:basedOn w:val="1"/>
    <w:link w:val="134"/>
    <w:qFormat/>
    <w:uiPriority w:val="0"/>
    <w:pPr>
      <w:spacing w:after="120"/>
    </w:pPr>
    <w:rPr>
      <w:rFonts w:ascii="Calibri" w:hAnsi="Calibri" w:eastAsia="宋体" w:cs="Times New Roman"/>
      <w:kern w:val="0"/>
      <w:sz w:val="24"/>
      <w:szCs w:val="20"/>
    </w:rPr>
  </w:style>
  <w:style w:type="paragraph" w:styleId="18">
    <w:name w:val="Body Text Indent"/>
    <w:basedOn w:val="1"/>
    <w:link w:val="65"/>
    <w:qFormat/>
    <w:uiPriority w:val="0"/>
    <w:pPr>
      <w:widowControl/>
      <w:spacing w:after="120"/>
      <w:ind w:left="420"/>
    </w:pPr>
    <w:rPr>
      <w:rFonts w:ascii="??" w:hAnsi="??" w:eastAsia="宋体" w:cs="Arial"/>
      <w:kern w:val="0"/>
      <w:sz w:val="24"/>
      <w:szCs w:val="24"/>
    </w:rPr>
  </w:style>
  <w:style w:type="paragraph" w:styleId="19">
    <w:name w:val="List 2"/>
    <w:basedOn w:val="1"/>
    <w:unhideWhenUsed/>
    <w:qFormat/>
    <w:uiPriority w:val="99"/>
    <w:pPr>
      <w:ind w:left="100" w:leftChars="200" w:hanging="200" w:hangingChars="200"/>
      <w:contextualSpacing/>
    </w:pPr>
  </w:style>
  <w:style w:type="paragraph" w:styleId="20">
    <w:name w:val="toc 5"/>
    <w:basedOn w:val="1"/>
    <w:next w:val="1"/>
    <w:qFormat/>
    <w:uiPriority w:val="0"/>
    <w:pPr>
      <w:ind w:left="1680" w:leftChars="800"/>
    </w:pPr>
    <w:rPr>
      <w:rFonts w:ascii="Times New Roman" w:hAnsi="Times New Roman" w:eastAsia="宋体" w:cs="Times New Roman"/>
      <w:szCs w:val="24"/>
    </w:rPr>
  </w:style>
  <w:style w:type="paragraph" w:styleId="21">
    <w:name w:val="toc 3"/>
    <w:basedOn w:val="1"/>
    <w:next w:val="1"/>
    <w:qFormat/>
    <w:uiPriority w:val="39"/>
    <w:pPr>
      <w:ind w:left="840" w:leftChars="400"/>
    </w:pPr>
    <w:rPr>
      <w:rFonts w:ascii="Times New Roman" w:hAnsi="Times New Roman" w:eastAsia="宋体" w:cs="Times New Roman"/>
      <w:szCs w:val="24"/>
    </w:rPr>
  </w:style>
  <w:style w:type="paragraph" w:styleId="22">
    <w:name w:val="Plain Text"/>
    <w:basedOn w:val="1"/>
    <w:link w:val="195"/>
    <w:qFormat/>
    <w:uiPriority w:val="0"/>
    <w:rPr>
      <w:rFonts w:ascii="宋体" w:hAnsi="Courier New" w:eastAsia="宋体"/>
      <w:szCs w:val="21"/>
    </w:rPr>
  </w:style>
  <w:style w:type="paragraph" w:styleId="23">
    <w:name w:val="toc 8"/>
    <w:basedOn w:val="1"/>
    <w:next w:val="1"/>
    <w:qFormat/>
    <w:uiPriority w:val="0"/>
    <w:pPr>
      <w:ind w:left="2940" w:leftChars="1400"/>
    </w:pPr>
    <w:rPr>
      <w:rFonts w:ascii="Times New Roman" w:hAnsi="Times New Roman" w:eastAsia="宋体" w:cs="Times New Roman"/>
      <w:szCs w:val="24"/>
    </w:rPr>
  </w:style>
  <w:style w:type="paragraph" w:styleId="24">
    <w:name w:val="Date"/>
    <w:basedOn w:val="1"/>
    <w:next w:val="1"/>
    <w:link w:val="154"/>
    <w:qFormat/>
    <w:uiPriority w:val="0"/>
    <w:rPr>
      <w:szCs w:val="21"/>
    </w:rPr>
  </w:style>
  <w:style w:type="paragraph" w:styleId="25">
    <w:name w:val="Body Text Indent 2"/>
    <w:basedOn w:val="1"/>
    <w:link w:val="127"/>
    <w:qFormat/>
    <w:uiPriority w:val="0"/>
    <w:pPr>
      <w:spacing w:before="100" w:beforeAutospacing="1" w:after="100" w:afterAutospacing="1" w:line="360" w:lineRule="auto"/>
      <w:ind w:firstLine="420"/>
    </w:pPr>
    <w:rPr>
      <w:rFonts w:ascii="宋体" w:hAnsi="Calibri" w:eastAsia="宋体" w:cs="Times New Roman"/>
      <w:kern w:val="0"/>
      <w:sz w:val="24"/>
      <w:szCs w:val="20"/>
    </w:rPr>
  </w:style>
  <w:style w:type="paragraph" w:styleId="26">
    <w:name w:val="Balloon Text"/>
    <w:basedOn w:val="1"/>
    <w:link w:val="77"/>
    <w:qFormat/>
    <w:uiPriority w:val="0"/>
    <w:rPr>
      <w:rFonts w:ascii="Calibri" w:hAnsi="Calibri" w:eastAsia="宋体" w:cs="Times New Roman"/>
      <w:sz w:val="18"/>
      <w:szCs w:val="18"/>
    </w:rPr>
  </w:style>
  <w:style w:type="paragraph" w:styleId="27">
    <w:name w:val="footer"/>
    <w:basedOn w:val="1"/>
    <w:link w:val="64"/>
    <w:qFormat/>
    <w:uiPriority w:val="0"/>
    <w:pPr>
      <w:tabs>
        <w:tab w:val="center" w:pos="4153"/>
        <w:tab w:val="right" w:pos="8306"/>
      </w:tabs>
      <w:snapToGrid w:val="0"/>
      <w:jc w:val="left"/>
    </w:pPr>
    <w:rPr>
      <w:rFonts w:ascii="Calibri" w:hAnsi="Calibri" w:eastAsia="宋体" w:cs="Times New Roman"/>
      <w:sz w:val="18"/>
      <w:szCs w:val="18"/>
    </w:rPr>
  </w:style>
  <w:style w:type="paragraph" w:styleId="28">
    <w:name w:val="header"/>
    <w:basedOn w:val="1"/>
    <w:link w:val="6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9">
    <w:name w:val="toc 1"/>
    <w:basedOn w:val="1"/>
    <w:next w:val="1"/>
    <w:qFormat/>
    <w:uiPriority w:val="39"/>
    <w:rPr>
      <w:rFonts w:ascii="Times New Roman" w:hAnsi="Times New Roman" w:eastAsia="宋体" w:cs="Times New Roman"/>
      <w:szCs w:val="24"/>
    </w:rPr>
  </w:style>
  <w:style w:type="paragraph" w:styleId="30">
    <w:name w:val="toc 4"/>
    <w:basedOn w:val="1"/>
    <w:next w:val="1"/>
    <w:qFormat/>
    <w:uiPriority w:val="0"/>
    <w:pPr>
      <w:ind w:left="1260" w:leftChars="600"/>
    </w:pPr>
    <w:rPr>
      <w:rFonts w:ascii="Times New Roman" w:hAnsi="Times New Roman" w:eastAsia="宋体" w:cs="Times New Roman"/>
      <w:szCs w:val="24"/>
    </w:rPr>
  </w:style>
  <w:style w:type="paragraph" w:styleId="31">
    <w:name w:val="footnote text"/>
    <w:basedOn w:val="1"/>
    <w:link w:val="171"/>
    <w:qFormat/>
    <w:uiPriority w:val="0"/>
    <w:pPr>
      <w:snapToGrid w:val="0"/>
      <w:jc w:val="left"/>
    </w:pPr>
    <w:rPr>
      <w:rFonts w:ascii="Times New Roman" w:hAnsi="Times New Roman" w:eastAsia="宋体" w:cs="Times New Roman"/>
      <w:sz w:val="18"/>
      <w:szCs w:val="18"/>
    </w:rPr>
  </w:style>
  <w:style w:type="paragraph" w:styleId="32">
    <w:name w:val="toc 6"/>
    <w:basedOn w:val="1"/>
    <w:next w:val="1"/>
    <w:qFormat/>
    <w:uiPriority w:val="0"/>
    <w:pPr>
      <w:ind w:left="2100" w:leftChars="1000"/>
    </w:pPr>
    <w:rPr>
      <w:rFonts w:ascii="Times New Roman" w:hAnsi="Times New Roman" w:eastAsia="宋体" w:cs="Times New Roman"/>
      <w:szCs w:val="24"/>
    </w:rPr>
  </w:style>
  <w:style w:type="paragraph" w:styleId="33">
    <w:name w:val="Body Text Indent 3"/>
    <w:basedOn w:val="1"/>
    <w:link w:val="129"/>
    <w:qFormat/>
    <w:uiPriority w:val="0"/>
    <w:pPr>
      <w:spacing w:line="440" w:lineRule="exact"/>
      <w:ind w:firstLine="412" w:firstLineChars="200"/>
    </w:pPr>
    <w:rPr>
      <w:rFonts w:ascii="宋体" w:hAnsi="Calibri" w:eastAsia="宋体" w:cs="Times New Roman"/>
      <w:kern w:val="0"/>
      <w:sz w:val="20"/>
      <w:szCs w:val="20"/>
    </w:rPr>
  </w:style>
  <w:style w:type="paragraph" w:styleId="34">
    <w:name w:val="table of figures"/>
    <w:basedOn w:val="1"/>
    <w:next w:val="1"/>
    <w:qFormat/>
    <w:uiPriority w:val="0"/>
    <w:pPr>
      <w:ind w:left="200" w:leftChars="200" w:hanging="200" w:hangingChars="200"/>
    </w:pPr>
    <w:rPr>
      <w:rFonts w:ascii="Times New Roman" w:hAnsi="Times New Roman" w:eastAsia="宋体" w:cs="Times New Roman"/>
      <w:szCs w:val="20"/>
    </w:rPr>
  </w:style>
  <w:style w:type="paragraph" w:styleId="35">
    <w:name w:val="toc 2"/>
    <w:basedOn w:val="1"/>
    <w:next w:val="1"/>
    <w:qFormat/>
    <w:uiPriority w:val="39"/>
    <w:pPr>
      <w:ind w:left="420" w:leftChars="200"/>
    </w:pPr>
    <w:rPr>
      <w:rFonts w:ascii="Times New Roman" w:hAnsi="Times New Roman" w:eastAsia="宋体" w:cs="Times New Roman"/>
      <w:szCs w:val="24"/>
    </w:rPr>
  </w:style>
  <w:style w:type="paragraph" w:styleId="36">
    <w:name w:val="toc 9"/>
    <w:basedOn w:val="1"/>
    <w:next w:val="1"/>
    <w:qFormat/>
    <w:uiPriority w:val="0"/>
    <w:pPr>
      <w:ind w:left="3360" w:leftChars="1600"/>
    </w:pPr>
    <w:rPr>
      <w:rFonts w:ascii="Times New Roman" w:hAnsi="Times New Roman" w:eastAsia="宋体" w:cs="Times New Roman"/>
      <w:szCs w:val="24"/>
    </w:rPr>
  </w:style>
  <w:style w:type="paragraph" w:styleId="37">
    <w:name w:val="List Continue 2"/>
    <w:basedOn w:val="1"/>
    <w:qFormat/>
    <w:uiPriority w:val="0"/>
    <w:pPr>
      <w:spacing w:after="120"/>
      <w:ind w:left="840" w:leftChars="400"/>
    </w:pPr>
    <w:rPr>
      <w:rFonts w:ascii="Times New Roman" w:hAnsi="Times New Roman" w:eastAsia="宋体" w:cs="Times New Roman"/>
      <w:szCs w:val="24"/>
    </w:rPr>
  </w:style>
  <w:style w:type="paragraph" w:styleId="38">
    <w:name w:val="HTML Preformatted"/>
    <w:basedOn w:val="1"/>
    <w:link w:val="2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9">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40">
    <w:name w:val="index 1"/>
    <w:basedOn w:val="1"/>
    <w:next w:val="1"/>
    <w:qFormat/>
    <w:uiPriority w:val="0"/>
    <w:pPr>
      <w:adjustRightInd w:val="0"/>
      <w:snapToGrid w:val="0"/>
      <w:spacing w:line="300" w:lineRule="exact"/>
    </w:pPr>
    <w:rPr>
      <w:rFonts w:ascii="宋体" w:hAnsi="宋体" w:eastAsia="宋体" w:cs="Times New Roman"/>
      <w:bCs/>
      <w:sz w:val="20"/>
      <w:szCs w:val="21"/>
    </w:rPr>
  </w:style>
  <w:style w:type="paragraph" w:styleId="41">
    <w:name w:val="Title"/>
    <w:basedOn w:val="1"/>
    <w:next w:val="1"/>
    <w:link w:val="157"/>
    <w:qFormat/>
    <w:uiPriority w:val="0"/>
    <w:pPr>
      <w:spacing w:before="240" w:after="60"/>
      <w:jc w:val="center"/>
      <w:outlineLvl w:val="0"/>
    </w:pPr>
    <w:rPr>
      <w:rFonts w:ascii="Cambria" w:hAnsi="Cambria" w:cs="Times New Roman"/>
      <w:b/>
      <w:bCs/>
      <w:sz w:val="32"/>
      <w:szCs w:val="32"/>
    </w:rPr>
  </w:style>
  <w:style w:type="paragraph" w:styleId="42">
    <w:name w:val="annotation subject"/>
    <w:basedOn w:val="15"/>
    <w:next w:val="15"/>
    <w:link w:val="164"/>
    <w:qFormat/>
    <w:uiPriority w:val="0"/>
    <w:rPr>
      <w:b/>
      <w:bCs/>
    </w:rPr>
  </w:style>
  <w:style w:type="table" w:styleId="44">
    <w:name w:val="Table Grid"/>
    <w:basedOn w:val="43"/>
    <w:qFormat/>
    <w:uiPriority w:val="9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6">
    <w:name w:val="Strong"/>
    <w:basedOn w:val="45"/>
    <w:qFormat/>
    <w:uiPriority w:val="22"/>
    <w:rPr>
      <w:rFonts w:cs="Times New Roman"/>
      <w:b/>
    </w:rPr>
  </w:style>
  <w:style w:type="character" w:styleId="47">
    <w:name w:val="page number"/>
    <w:basedOn w:val="45"/>
    <w:qFormat/>
    <w:uiPriority w:val="0"/>
    <w:rPr>
      <w:rFonts w:cs="Times New Roman"/>
    </w:rPr>
  </w:style>
  <w:style w:type="character" w:styleId="48">
    <w:name w:val="FollowedHyperlink"/>
    <w:basedOn w:val="45"/>
    <w:qFormat/>
    <w:uiPriority w:val="99"/>
    <w:rPr>
      <w:rFonts w:cs="Times New Roman"/>
      <w:color w:val="555555"/>
      <w:u w:val="none"/>
    </w:rPr>
  </w:style>
  <w:style w:type="character" w:styleId="49">
    <w:name w:val="Emphasis"/>
    <w:basedOn w:val="45"/>
    <w:qFormat/>
    <w:uiPriority w:val="0"/>
    <w:rPr>
      <w:rFonts w:cs="Times New Roman"/>
      <w:i/>
    </w:rPr>
  </w:style>
  <w:style w:type="character" w:styleId="50">
    <w:name w:val="HTML Definition"/>
    <w:basedOn w:val="45"/>
    <w:qFormat/>
    <w:uiPriority w:val="0"/>
    <w:rPr>
      <w:rFonts w:cs="Times New Roman"/>
    </w:rPr>
  </w:style>
  <w:style w:type="character" w:styleId="51">
    <w:name w:val="HTML Acronym"/>
    <w:basedOn w:val="45"/>
    <w:qFormat/>
    <w:uiPriority w:val="0"/>
    <w:rPr>
      <w:rFonts w:cs="Times New Roman"/>
    </w:rPr>
  </w:style>
  <w:style w:type="character" w:styleId="52">
    <w:name w:val="HTML Variable"/>
    <w:basedOn w:val="45"/>
    <w:qFormat/>
    <w:uiPriority w:val="0"/>
    <w:rPr>
      <w:rFonts w:cs="Times New Roman"/>
    </w:rPr>
  </w:style>
  <w:style w:type="character" w:styleId="53">
    <w:name w:val="Hyperlink"/>
    <w:basedOn w:val="45"/>
    <w:qFormat/>
    <w:uiPriority w:val="99"/>
    <w:rPr>
      <w:rFonts w:cs="Times New Roman"/>
      <w:color w:val="555555"/>
      <w:u w:val="none"/>
    </w:rPr>
  </w:style>
  <w:style w:type="character" w:styleId="54">
    <w:name w:val="HTML Code"/>
    <w:basedOn w:val="45"/>
    <w:qFormat/>
    <w:uiPriority w:val="0"/>
    <w:rPr>
      <w:rFonts w:ascii="monospace" w:hAnsi="monospace" w:cs="Times New Roman"/>
      <w:sz w:val="24"/>
    </w:rPr>
  </w:style>
  <w:style w:type="character" w:styleId="55">
    <w:name w:val="annotation reference"/>
    <w:qFormat/>
    <w:uiPriority w:val="0"/>
    <w:rPr>
      <w:sz w:val="21"/>
      <w:szCs w:val="21"/>
    </w:rPr>
  </w:style>
  <w:style w:type="character" w:styleId="56">
    <w:name w:val="HTML Cite"/>
    <w:basedOn w:val="45"/>
    <w:qFormat/>
    <w:uiPriority w:val="0"/>
    <w:rPr>
      <w:rFonts w:cs="Times New Roman"/>
    </w:rPr>
  </w:style>
  <w:style w:type="character" w:styleId="57">
    <w:name w:val="footnote reference"/>
    <w:qFormat/>
    <w:uiPriority w:val="0"/>
    <w:rPr>
      <w:vertAlign w:val="superscript"/>
    </w:rPr>
  </w:style>
  <w:style w:type="character" w:styleId="58">
    <w:name w:val="HTML Keyboard"/>
    <w:basedOn w:val="45"/>
    <w:qFormat/>
    <w:uiPriority w:val="0"/>
    <w:rPr>
      <w:rFonts w:ascii="monospace" w:hAnsi="monospace" w:cs="Times New Roman"/>
      <w:sz w:val="24"/>
    </w:rPr>
  </w:style>
  <w:style w:type="character" w:styleId="59">
    <w:name w:val="HTML Sample"/>
    <w:basedOn w:val="45"/>
    <w:qFormat/>
    <w:uiPriority w:val="99"/>
    <w:rPr>
      <w:rFonts w:ascii="monospace" w:hAnsi="monospace" w:cs="Times New Roman"/>
      <w:sz w:val="24"/>
    </w:rPr>
  </w:style>
  <w:style w:type="character" w:customStyle="1" w:styleId="60">
    <w:name w:val="标题 1 Char"/>
    <w:basedOn w:val="45"/>
    <w:link w:val="2"/>
    <w:qFormat/>
    <w:uiPriority w:val="0"/>
    <w:rPr>
      <w:rFonts w:ascii="???" w:hAnsi="???" w:eastAsia="宋体" w:cs="Arial"/>
      <w:b/>
      <w:bCs/>
      <w:color w:val="020000"/>
      <w:kern w:val="36"/>
      <w:sz w:val="44"/>
      <w:szCs w:val="44"/>
    </w:rPr>
  </w:style>
  <w:style w:type="character" w:customStyle="1" w:styleId="61">
    <w:name w:val="标题 2 Char"/>
    <w:basedOn w:val="45"/>
    <w:link w:val="3"/>
    <w:qFormat/>
    <w:uiPriority w:val="0"/>
    <w:rPr>
      <w:rFonts w:ascii="???" w:hAnsi="???" w:eastAsia="宋体" w:cs="Arial"/>
      <w:b/>
      <w:bCs/>
      <w:color w:val="020000"/>
      <w:kern w:val="0"/>
      <w:sz w:val="32"/>
      <w:szCs w:val="32"/>
    </w:rPr>
  </w:style>
  <w:style w:type="character" w:customStyle="1" w:styleId="62">
    <w:name w:val="标题 3 Char"/>
    <w:basedOn w:val="45"/>
    <w:link w:val="4"/>
    <w:qFormat/>
    <w:uiPriority w:val="0"/>
    <w:rPr>
      <w:rFonts w:ascii="??" w:hAnsi="??" w:eastAsia="宋体" w:cs="Arial"/>
      <w:b/>
      <w:bCs/>
      <w:color w:val="000000"/>
      <w:kern w:val="0"/>
      <w:sz w:val="32"/>
      <w:szCs w:val="32"/>
    </w:rPr>
  </w:style>
  <w:style w:type="character" w:customStyle="1" w:styleId="63">
    <w:name w:val="页眉 Char"/>
    <w:basedOn w:val="45"/>
    <w:link w:val="28"/>
    <w:qFormat/>
    <w:uiPriority w:val="99"/>
    <w:rPr>
      <w:rFonts w:ascii="Calibri" w:hAnsi="Calibri" w:eastAsia="宋体" w:cs="Times New Roman"/>
      <w:sz w:val="18"/>
      <w:szCs w:val="18"/>
    </w:rPr>
  </w:style>
  <w:style w:type="character" w:customStyle="1" w:styleId="64">
    <w:name w:val="页脚 Char"/>
    <w:basedOn w:val="45"/>
    <w:link w:val="27"/>
    <w:qFormat/>
    <w:uiPriority w:val="0"/>
    <w:rPr>
      <w:rFonts w:ascii="Calibri" w:hAnsi="Calibri" w:eastAsia="宋体" w:cs="Times New Roman"/>
      <w:sz w:val="18"/>
      <w:szCs w:val="18"/>
    </w:rPr>
  </w:style>
  <w:style w:type="character" w:customStyle="1" w:styleId="65">
    <w:name w:val="正文文本缩进 Char"/>
    <w:basedOn w:val="45"/>
    <w:link w:val="18"/>
    <w:qFormat/>
    <w:uiPriority w:val="0"/>
    <w:rPr>
      <w:rFonts w:ascii="??" w:hAnsi="??" w:eastAsia="宋体" w:cs="Arial"/>
      <w:kern w:val="0"/>
      <w:sz w:val="24"/>
      <w:szCs w:val="24"/>
    </w:rPr>
  </w:style>
  <w:style w:type="paragraph" w:styleId="66">
    <w:name w:val="List Paragraph"/>
    <w:basedOn w:val="1"/>
    <w:qFormat/>
    <w:uiPriority w:val="34"/>
    <w:pPr>
      <w:ind w:firstLine="420" w:firstLineChars="200"/>
    </w:pPr>
    <w:rPr>
      <w:rFonts w:ascii="Calibri" w:hAnsi="Calibri" w:eastAsia="宋体" w:cs="Times New Roman"/>
    </w:rPr>
  </w:style>
  <w:style w:type="character" w:customStyle="1" w:styleId="67">
    <w:name w:val="标题 2 Char Char"/>
    <w:qFormat/>
    <w:uiPriority w:val="0"/>
    <w:rPr>
      <w:rFonts w:ascii="Arial" w:hAnsi="Arial" w:eastAsia="黑体"/>
      <w:b/>
      <w:kern w:val="2"/>
      <w:sz w:val="32"/>
      <w:lang w:val="en-US" w:eastAsia="zh-CN"/>
    </w:rPr>
  </w:style>
  <w:style w:type="character" w:customStyle="1" w:styleId="68">
    <w:name w:val="2charchar"/>
    <w:basedOn w:val="45"/>
    <w:qFormat/>
    <w:uiPriority w:val="0"/>
    <w:rPr>
      <w:rFonts w:cs="Times New Roman"/>
    </w:rPr>
  </w:style>
  <w:style w:type="paragraph" w:customStyle="1" w:styleId="69">
    <w:name w:val="表格文字"/>
    <w:basedOn w:val="1"/>
    <w:qFormat/>
    <w:uiPriority w:val="0"/>
    <w:pPr>
      <w:adjustRightInd w:val="0"/>
      <w:spacing w:line="420" w:lineRule="atLeast"/>
      <w:jc w:val="left"/>
    </w:pPr>
    <w:rPr>
      <w:rFonts w:ascii="Times New Roman" w:hAnsi="Times New Roman" w:eastAsia="宋体" w:cs="Times New Roman"/>
      <w:kern w:val="0"/>
      <w:szCs w:val="20"/>
    </w:rPr>
  </w:style>
  <w:style w:type="paragraph" w:customStyle="1" w:styleId="70">
    <w:name w:val="z-窗体顶端1"/>
    <w:basedOn w:val="1"/>
    <w:next w:val="1"/>
    <w:link w:val="71"/>
    <w:semiHidden/>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71">
    <w:name w:val="z-窗体顶端 Char"/>
    <w:basedOn w:val="45"/>
    <w:link w:val="70"/>
    <w:qFormat/>
    <w:uiPriority w:val="0"/>
    <w:rPr>
      <w:rFonts w:ascii="Arial" w:hAnsi="Arial" w:eastAsia="宋体" w:cs="Arial"/>
      <w:vanish/>
      <w:kern w:val="0"/>
      <w:sz w:val="16"/>
      <w:szCs w:val="16"/>
    </w:rPr>
  </w:style>
  <w:style w:type="paragraph" w:customStyle="1" w:styleId="72">
    <w:name w:val="z-窗体底端1"/>
    <w:basedOn w:val="1"/>
    <w:next w:val="1"/>
    <w:link w:val="73"/>
    <w:semiHidden/>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73">
    <w:name w:val="z-窗体底端 Char"/>
    <w:basedOn w:val="45"/>
    <w:link w:val="72"/>
    <w:qFormat/>
    <w:uiPriority w:val="0"/>
    <w:rPr>
      <w:rFonts w:ascii="Arial" w:hAnsi="Arial" w:eastAsia="宋体" w:cs="Arial"/>
      <w:vanish/>
      <w:kern w:val="0"/>
      <w:sz w:val="16"/>
      <w:szCs w:val="16"/>
    </w:rPr>
  </w:style>
  <w:style w:type="paragraph" w:customStyle="1" w:styleId="74">
    <w:name w:val="hu正文"/>
    <w:basedOn w:val="1"/>
    <w:link w:val="75"/>
    <w:qFormat/>
    <w:uiPriority w:val="0"/>
    <w:pPr>
      <w:spacing w:before="156" w:after="156" w:line="300" w:lineRule="auto"/>
      <w:ind w:firstLine="480" w:firstLineChars="200"/>
    </w:pPr>
    <w:rPr>
      <w:rFonts w:ascii="Times New Roman" w:hAnsi="Times New Roman" w:eastAsia="宋体" w:cs="Times New Roman"/>
      <w:kern w:val="0"/>
      <w:sz w:val="24"/>
      <w:szCs w:val="20"/>
    </w:rPr>
  </w:style>
  <w:style w:type="character" w:customStyle="1" w:styleId="75">
    <w:name w:val="hu正文 Char"/>
    <w:link w:val="74"/>
    <w:qFormat/>
    <w:locked/>
    <w:uiPriority w:val="0"/>
    <w:rPr>
      <w:rFonts w:ascii="Times New Roman" w:hAnsi="Times New Roman" w:eastAsia="宋体" w:cs="Times New Roman"/>
      <w:kern w:val="0"/>
      <w:sz w:val="24"/>
      <w:szCs w:val="20"/>
    </w:rPr>
  </w:style>
  <w:style w:type="paragraph" w:styleId="7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框文本 Char"/>
    <w:basedOn w:val="45"/>
    <w:link w:val="26"/>
    <w:qFormat/>
    <w:uiPriority w:val="0"/>
    <w:rPr>
      <w:rFonts w:ascii="Calibri" w:hAnsi="Calibri" w:eastAsia="宋体" w:cs="Times New Roman"/>
      <w:sz w:val="18"/>
      <w:szCs w:val="18"/>
    </w:rPr>
  </w:style>
  <w:style w:type="character" w:customStyle="1" w:styleId="78">
    <w:name w:val="ui-bz-bg-hover1"/>
    <w:basedOn w:val="45"/>
    <w:qFormat/>
    <w:uiPriority w:val="0"/>
    <w:rPr>
      <w:rFonts w:cs="Times New Roman"/>
    </w:rPr>
  </w:style>
  <w:style w:type="character" w:customStyle="1" w:styleId="79">
    <w:name w:val="批注框文本 Char1"/>
    <w:qFormat/>
    <w:uiPriority w:val="0"/>
    <w:rPr>
      <w:rFonts w:ascii="Times New Roman" w:hAnsi="Times New Roman" w:eastAsia="宋体"/>
      <w:sz w:val="18"/>
    </w:rPr>
  </w:style>
  <w:style w:type="character" w:customStyle="1" w:styleId="80">
    <w:name w:val="bds_nopic"/>
    <w:basedOn w:val="45"/>
    <w:qFormat/>
    <w:uiPriority w:val="0"/>
    <w:rPr>
      <w:rFonts w:cs="Times New Roman"/>
    </w:rPr>
  </w:style>
  <w:style w:type="character" w:customStyle="1" w:styleId="81">
    <w:name w:val="tip12"/>
    <w:qFormat/>
    <w:uiPriority w:val="0"/>
    <w:rPr>
      <w:vanish/>
      <w:color w:val="FF0000"/>
      <w:sz w:val="18"/>
    </w:rPr>
  </w:style>
  <w:style w:type="character" w:customStyle="1" w:styleId="82">
    <w:name w:val="Body Text Indent 3 Char"/>
    <w:qFormat/>
    <w:locked/>
    <w:uiPriority w:val="0"/>
    <w:rPr>
      <w:rFonts w:ascii="宋体" w:eastAsia="宋体"/>
    </w:rPr>
  </w:style>
  <w:style w:type="character" w:customStyle="1" w:styleId="83">
    <w:name w:val="HTML Markup"/>
    <w:qFormat/>
    <w:uiPriority w:val="0"/>
    <w:rPr>
      <w:vanish/>
      <w:color w:val="FF0000"/>
    </w:rPr>
  </w:style>
  <w:style w:type="character" w:customStyle="1" w:styleId="84">
    <w:name w:val="tip7"/>
    <w:qFormat/>
    <w:uiPriority w:val="0"/>
    <w:rPr>
      <w:vanish/>
      <w:color w:val="FF0000"/>
      <w:sz w:val="18"/>
    </w:rPr>
  </w:style>
  <w:style w:type="character" w:customStyle="1" w:styleId="85">
    <w:name w:val="f-star"/>
    <w:qFormat/>
    <w:uiPriority w:val="0"/>
    <w:rPr>
      <w:color w:val="999999"/>
      <w:sz w:val="21"/>
    </w:rPr>
  </w:style>
  <w:style w:type="character" w:customStyle="1" w:styleId="86">
    <w:name w:val="Document Map Char1"/>
    <w:qFormat/>
    <w:uiPriority w:val="0"/>
    <w:rPr>
      <w:rFonts w:ascii="Times New Roman" w:hAnsi="Times New Roman"/>
      <w:kern w:val="2"/>
      <w:sz w:val="2"/>
    </w:rPr>
  </w:style>
  <w:style w:type="character" w:customStyle="1" w:styleId="87">
    <w:name w:val="my-class2"/>
    <w:basedOn w:val="45"/>
    <w:qFormat/>
    <w:uiPriority w:val="0"/>
    <w:rPr>
      <w:rFonts w:cs="Times New Roman"/>
    </w:rPr>
  </w:style>
  <w:style w:type="character" w:customStyle="1" w:styleId="88">
    <w:name w:val="no52"/>
    <w:basedOn w:val="45"/>
    <w:qFormat/>
    <w:uiPriority w:val="0"/>
    <w:rPr>
      <w:rFonts w:cs="Times New Roman"/>
    </w:rPr>
  </w:style>
  <w:style w:type="character" w:customStyle="1" w:styleId="89">
    <w:name w:val="no4"/>
    <w:basedOn w:val="45"/>
    <w:qFormat/>
    <w:uiPriority w:val="0"/>
    <w:rPr>
      <w:rFonts w:cs="Times New Roman"/>
    </w:rPr>
  </w:style>
  <w:style w:type="character" w:customStyle="1" w:styleId="90">
    <w:name w:val="my-notice"/>
    <w:basedOn w:val="45"/>
    <w:qFormat/>
    <w:uiPriority w:val="0"/>
    <w:rPr>
      <w:rFonts w:cs="Times New Roman"/>
    </w:rPr>
  </w:style>
  <w:style w:type="character" w:customStyle="1" w:styleId="91">
    <w:name w:val="ico-jiang"/>
    <w:basedOn w:val="45"/>
    <w:qFormat/>
    <w:uiPriority w:val="0"/>
    <w:rPr>
      <w:rFonts w:cs="Times New Roman"/>
    </w:rPr>
  </w:style>
  <w:style w:type="character" w:customStyle="1" w:styleId="92">
    <w:name w:val="ico-jiang2"/>
    <w:basedOn w:val="45"/>
    <w:qFormat/>
    <w:uiPriority w:val="0"/>
    <w:rPr>
      <w:rFonts w:cs="Times New Roman"/>
    </w:rPr>
  </w:style>
  <w:style w:type="character" w:customStyle="1" w:styleId="93">
    <w:name w:val="bds_more1"/>
    <w:qFormat/>
    <w:uiPriority w:val="0"/>
    <w:rPr>
      <w:rFonts w:ascii="宋体" w:hAnsi="宋体" w:eastAsia="宋体"/>
    </w:rPr>
  </w:style>
  <w:style w:type="character" w:customStyle="1" w:styleId="94">
    <w:name w:val="Body Text Indent 2 Char"/>
    <w:qFormat/>
    <w:locked/>
    <w:uiPriority w:val="0"/>
    <w:rPr>
      <w:rFonts w:ascii="宋体" w:eastAsia="宋体"/>
      <w:sz w:val="24"/>
    </w:rPr>
  </w:style>
  <w:style w:type="character" w:customStyle="1" w:styleId="95">
    <w:name w:val="org_name"/>
    <w:basedOn w:val="45"/>
    <w:qFormat/>
    <w:uiPriority w:val="0"/>
    <w:rPr>
      <w:rFonts w:cs="Times New Roman"/>
    </w:rPr>
  </w:style>
  <w:style w:type="character" w:customStyle="1" w:styleId="96">
    <w:name w:val="org_name2"/>
    <w:basedOn w:val="45"/>
    <w:qFormat/>
    <w:uiPriority w:val="0"/>
    <w:rPr>
      <w:rFonts w:cs="Times New Roman"/>
    </w:rPr>
  </w:style>
  <w:style w:type="character" w:customStyle="1" w:styleId="97">
    <w:name w:val="tip10"/>
    <w:qFormat/>
    <w:uiPriority w:val="0"/>
    <w:rPr>
      <w:vanish/>
      <w:color w:val="FF0000"/>
      <w:sz w:val="18"/>
    </w:rPr>
  </w:style>
  <w:style w:type="character" w:customStyle="1" w:styleId="98">
    <w:name w:val="orange"/>
    <w:qFormat/>
    <w:uiPriority w:val="0"/>
    <w:rPr>
      <w:color w:val="3FB58F"/>
    </w:rPr>
  </w:style>
  <w:style w:type="character" w:customStyle="1" w:styleId="99">
    <w:name w:val="bds_more"/>
    <w:basedOn w:val="45"/>
    <w:qFormat/>
    <w:uiPriority w:val="0"/>
    <w:rPr>
      <w:rFonts w:cs="Times New Roman"/>
    </w:rPr>
  </w:style>
  <w:style w:type="character" w:customStyle="1" w:styleId="100">
    <w:name w:val="t-tag"/>
    <w:qFormat/>
    <w:uiPriority w:val="0"/>
    <w:rPr>
      <w:color w:val="FFFFFF"/>
      <w:sz w:val="18"/>
      <w:shd w:val="clear" w:color="auto" w:fill="FE8833"/>
    </w:rPr>
  </w:style>
  <w:style w:type="character" w:customStyle="1" w:styleId="101">
    <w:name w:val="top-icon"/>
    <w:basedOn w:val="45"/>
    <w:qFormat/>
    <w:uiPriority w:val="0"/>
    <w:rPr>
      <w:rFonts w:cs="Times New Roman"/>
    </w:rPr>
  </w:style>
  <w:style w:type="character" w:customStyle="1" w:styleId="102">
    <w:name w:val="Body Text Char"/>
    <w:qFormat/>
    <w:locked/>
    <w:uiPriority w:val="0"/>
    <w:rPr>
      <w:sz w:val="24"/>
    </w:rPr>
  </w:style>
  <w:style w:type="character" w:customStyle="1" w:styleId="103">
    <w:name w:val="no72"/>
    <w:basedOn w:val="45"/>
    <w:qFormat/>
    <w:uiPriority w:val="0"/>
    <w:rPr>
      <w:rFonts w:cs="Times New Roman"/>
    </w:rPr>
  </w:style>
  <w:style w:type="character" w:customStyle="1" w:styleId="104">
    <w:name w:val="bds_nopic2"/>
    <w:basedOn w:val="45"/>
    <w:qFormat/>
    <w:uiPriority w:val="0"/>
    <w:rPr>
      <w:rFonts w:cs="Times New Roman"/>
    </w:rPr>
  </w:style>
  <w:style w:type="character" w:customStyle="1" w:styleId="105">
    <w:name w:val="Document Map Char"/>
    <w:qFormat/>
    <w:uiPriority w:val="0"/>
    <w:rPr>
      <w:rFonts w:ascii="宋体"/>
      <w:sz w:val="18"/>
    </w:rPr>
  </w:style>
  <w:style w:type="character" w:customStyle="1" w:styleId="106">
    <w:name w:val="no6"/>
    <w:basedOn w:val="45"/>
    <w:qFormat/>
    <w:uiPriority w:val="0"/>
    <w:rPr>
      <w:rFonts w:cs="Times New Roman"/>
    </w:rPr>
  </w:style>
  <w:style w:type="character" w:customStyle="1" w:styleId="107">
    <w:name w:val="tip"/>
    <w:qFormat/>
    <w:uiPriority w:val="0"/>
    <w:rPr>
      <w:vanish/>
      <w:color w:val="FF0000"/>
      <w:sz w:val="18"/>
    </w:rPr>
  </w:style>
  <w:style w:type="character" w:customStyle="1" w:styleId="108">
    <w:name w:val="apple-converted-space"/>
    <w:basedOn w:val="45"/>
    <w:qFormat/>
    <w:uiPriority w:val="0"/>
    <w:rPr>
      <w:rFonts w:cs="Times New Roman"/>
    </w:rPr>
  </w:style>
  <w:style w:type="character" w:customStyle="1" w:styleId="109">
    <w:name w:val="bds_more2"/>
    <w:basedOn w:val="45"/>
    <w:qFormat/>
    <w:uiPriority w:val="0"/>
    <w:rPr>
      <w:rFonts w:cs="Times New Roman"/>
    </w:rPr>
  </w:style>
  <w:style w:type="character" w:customStyle="1" w:styleId="110">
    <w:name w:val="my-class"/>
    <w:basedOn w:val="45"/>
    <w:qFormat/>
    <w:uiPriority w:val="0"/>
    <w:rPr>
      <w:rFonts w:cs="Times New Roman"/>
    </w:rPr>
  </w:style>
  <w:style w:type="character" w:customStyle="1" w:styleId="111">
    <w:name w:val="ui-bz-bg-hover"/>
    <w:qFormat/>
    <w:uiPriority w:val="0"/>
    <w:rPr>
      <w:shd w:val="clear" w:color="auto" w:fill="000000"/>
    </w:rPr>
  </w:style>
  <w:style w:type="character" w:customStyle="1" w:styleId="112">
    <w:name w:val="no7"/>
    <w:basedOn w:val="45"/>
    <w:qFormat/>
    <w:uiPriority w:val="0"/>
    <w:rPr>
      <w:rFonts w:cs="Times New Roman"/>
    </w:rPr>
  </w:style>
  <w:style w:type="character" w:customStyle="1" w:styleId="113">
    <w:name w:val="正文缩进 Char"/>
    <w:link w:val="6"/>
    <w:qFormat/>
    <w:locked/>
    <w:uiPriority w:val="0"/>
    <w:rPr>
      <w:rFonts w:ascii="Times New Roman" w:hAnsi="Times New Roman" w:eastAsia="宋体" w:cs="Times New Roman"/>
      <w:kern w:val="0"/>
      <w:sz w:val="24"/>
      <w:szCs w:val="20"/>
    </w:rPr>
  </w:style>
  <w:style w:type="character" w:customStyle="1" w:styleId="114">
    <w:name w:val="ico-jiang1"/>
    <w:basedOn w:val="45"/>
    <w:qFormat/>
    <w:uiPriority w:val="0"/>
    <w:rPr>
      <w:rFonts w:cs="Times New Roman"/>
    </w:rPr>
  </w:style>
  <w:style w:type="character" w:customStyle="1" w:styleId="115">
    <w:name w:val="no62"/>
    <w:basedOn w:val="45"/>
    <w:qFormat/>
    <w:uiPriority w:val="0"/>
    <w:rPr>
      <w:rFonts w:cs="Times New Roman"/>
    </w:rPr>
  </w:style>
  <w:style w:type="character" w:customStyle="1" w:styleId="116">
    <w:name w:val="orange5"/>
    <w:qFormat/>
    <w:uiPriority w:val="0"/>
    <w:rPr>
      <w:color w:val="3FB58F"/>
    </w:rPr>
  </w:style>
  <w:style w:type="character" w:customStyle="1" w:styleId="117">
    <w:name w:val="bds_more4"/>
    <w:basedOn w:val="45"/>
    <w:qFormat/>
    <w:uiPriority w:val="0"/>
    <w:rPr>
      <w:rFonts w:cs="Times New Roman"/>
    </w:rPr>
  </w:style>
  <w:style w:type="character" w:customStyle="1" w:styleId="118">
    <w:name w:val="no5"/>
    <w:basedOn w:val="45"/>
    <w:qFormat/>
    <w:uiPriority w:val="0"/>
    <w:rPr>
      <w:rFonts w:cs="Times New Roman"/>
    </w:rPr>
  </w:style>
  <w:style w:type="character" w:customStyle="1" w:styleId="119">
    <w:name w:val="bds_more3"/>
    <w:basedOn w:val="45"/>
    <w:qFormat/>
    <w:uiPriority w:val="0"/>
    <w:rPr>
      <w:rFonts w:cs="Times New Roman"/>
    </w:rPr>
  </w:style>
  <w:style w:type="character" w:customStyle="1" w:styleId="120">
    <w:name w:val="no42"/>
    <w:basedOn w:val="45"/>
    <w:qFormat/>
    <w:uiPriority w:val="0"/>
    <w:rPr>
      <w:rFonts w:cs="Times New Roman"/>
    </w:rPr>
  </w:style>
  <w:style w:type="character" w:customStyle="1" w:styleId="121">
    <w:name w:val="bds_nopic1"/>
    <w:basedOn w:val="45"/>
    <w:qFormat/>
    <w:uiPriority w:val="0"/>
    <w:rPr>
      <w:rFonts w:cs="Times New Roman"/>
    </w:rPr>
  </w:style>
  <w:style w:type="character" w:customStyle="1" w:styleId="122">
    <w:name w:val="my-notice1"/>
    <w:basedOn w:val="45"/>
    <w:qFormat/>
    <w:uiPriority w:val="0"/>
    <w:rPr>
      <w:rFonts w:cs="Times New Roman"/>
    </w:rPr>
  </w:style>
  <w:style w:type="character" w:customStyle="1" w:styleId="123">
    <w:name w:val="orange6"/>
    <w:qFormat/>
    <w:uiPriority w:val="0"/>
    <w:rPr>
      <w:color w:val="3FB58F"/>
    </w:rPr>
  </w:style>
  <w:style w:type="character" w:customStyle="1" w:styleId="124">
    <w:name w:val="Document Map Char2"/>
    <w:qFormat/>
    <w:locked/>
    <w:uiPriority w:val="0"/>
    <w:rPr>
      <w:rFonts w:ascii="宋体"/>
      <w:sz w:val="18"/>
    </w:rPr>
  </w:style>
  <w:style w:type="character" w:customStyle="1" w:styleId="125">
    <w:name w:val="ico-jiang3"/>
    <w:basedOn w:val="45"/>
    <w:qFormat/>
    <w:uiPriority w:val="0"/>
    <w:rPr>
      <w:rFonts w:cs="Times New Roman"/>
    </w:rPr>
  </w:style>
  <w:style w:type="character" w:customStyle="1" w:styleId="126">
    <w:name w:val="tip13"/>
    <w:qFormat/>
    <w:uiPriority w:val="0"/>
    <w:rPr>
      <w:vanish/>
      <w:color w:val="FF0000"/>
      <w:sz w:val="18"/>
    </w:rPr>
  </w:style>
  <w:style w:type="character" w:customStyle="1" w:styleId="127">
    <w:name w:val="正文文本缩进 2 Char"/>
    <w:basedOn w:val="45"/>
    <w:link w:val="25"/>
    <w:qFormat/>
    <w:uiPriority w:val="0"/>
    <w:rPr>
      <w:rFonts w:ascii="宋体" w:hAnsi="Calibri" w:eastAsia="宋体" w:cs="Times New Roman"/>
      <w:kern w:val="0"/>
      <w:sz w:val="24"/>
      <w:szCs w:val="20"/>
    </w:rPr>
  </w:style>
  <w:style w:type="character" w:customStyle="1" w:styleId="128">
    <w:name w:val="Body Text Indent 2 Char1"/>
    <w:basedOn w:val="45"/>
    <w:qFormat/>
    <w:locked/>
    <w:uiPriority w:val="0"/>
    <w:rPr>
      <w:rFonts w:cs="Times New Roman"/>
    </w:rPr>
  </w:style>
  <w:style w:type="character" w:customStyle="1" w:styleId="129">
    <w:name w:val="正文文本缩进 3 Char"/>
    <w:basedOn w:val="45"/>
    <w:link w:val="33"/>
    <w:qFormat/>
    <w:uiPriority w:val="0"/>
    <w:rPr>
      <w:rFonts w:ascii="宋体" w:hAnsi="Calibri" w:eastAsia="宋体" w:cs="Times New Roman"/>
      <w:kern w:val="0"/>
      <w:sz w:val="20"/>
      <w:szCs w:val="20"/>
    </w:rPr>
  </w:style>
  <w:style w:type="character" w:customStyle="1" w:styleId="130">
    <w:name w:val="Body Text Indent 3 Char1"/>
    <w:basedOn w:val="45"/>
    <w:qFormat/>
    <w:locked/>
    <w:uiPriority w:val="0"/>
    <w:rPr>
      <w:rFonts w:cs="Times New Roman"/>
      <w:sz w:val="16"/>
      <w:szCs w:val="16"/>
    </w:rPr>
  </w:style>
  <w:style w:type="character" w:customStyle="1" w:styleId="131">
    <w:name w:val="文档结构图 Char"/>
    <w:basedOn w:val="45"/>
    <w:link w:val="14"/>
    <w:qFormat/>
    <w:uiPriority w:val="0"/>
    <w:rPr>
      <w:rFonts w:ascii="宋体" w:hAnsi="Calibri" w:eastAsia="宋体" w:cs="Times New Roman"/>
      <w:kern w:val="0"/>
      <w:sz w:val="18"/>
      <w:szCs w:val="20"/>
    </w:rPr>
  </w:style>
  <w:style w:type="character" w:customStyle="1" w:styleId="132">
    <w:name w:val="Document Map Char3"/>
    <w:basedOn w:val="45"/>
    <w:qFormat/>
    <w:locked/>
    <w:uiPriority w:val="0"/>
    <w:rPr>
      <w:rFonts w:ascii="Times New Roman" w:hAnsi="Times New Roman" w:cs="Times New Roman"/>
      <w:sz w:val="2"/>
    </w:rPr>
  </w:style>
  <w:style w:type="paragraph" w:customStyle="1" w:styleId="133">
    <w:name w:val="_Style 1"/>
    <w:basedOn w:val="1"/>
    <w:qFormat/>
    <w:uiPriority w:val="0"/>
    <w:pPr>
      <w:ind w:firstLine="420" w:firstLineChars="200"/>
    </w:pPr>
    <w:rPr>
      <w:rFonts w:ascii="Times New Roman" w:hAnsi="Times New Roman" w:eastAsia="宋体" w:cs="Times New Roman"/>
      <w:szCs w:val="24"/>
    </w:rPr>
  </w:style>
  <w:style w:type="character" w:customStyle="1" w:styleId="134">
    <w:name w:val="正文文本 Char"/>
    <w:basedOn w:val="45"/>
    <w:link w:val="17"/>
    <w:qFormat/>
    <w:uiPriority w:val="0"/>
    <w:rPr>
      <w:rFonts w:ascii="Calibri" w:hAnsi="Calibri" w:eastAsia="宋体" w:cs="Times New Roman"/>
      <w:kern w:val="0"/>
      <w:sz w:val="24"/>
      <w:szCs w:val="20"/>
    </w:rPr>
  </w:style>
  <w:style w:type="character" w:customStyle="1" w:styleId="135">
    <w:name w:val="Body Text Char1"/>
    <w:basedOn w:val="45"/>
    <w:qFormat/>
    <w:locked/>
    <w:uiPriority w:val="0"/>
    <w:rPr>
      <w:rFonts w:cs="Times New Roman"/>
    </w:rPr>
  </w:style>
  <w:style w:type="paragraph" w:customStyle="1" w:styleId="136">
    <w:name w:val="_Style 21"/>
    <w:basedOn w:val="1"/>
    <w:qFormat/>
    <w:uiPriority w:val="0"/>
    <w:rPr>
      <w:rFonts w:ascii="Times New Roman" w:hAnsi="Times New Roman" w:eastAsia="宋体" w:cs="Times New Roman"/>
      <w:szCs w:val="20"/>
    </w:rPr>
  </w:style>
  <w:style w:type="paragraph" w:customStyle="1" w:styleId="137">
    <w:name w:val="p0"/>
    <w:basedOn w:val="1"/>
    <w:qFormat/>
    <w:uiPriority w:val="0"/>
    <w:pPr>
      <w:widowControl/>
    </w:pPr>
    <w:rPr>
      <w:rFonts w:ascii="Times New Roman" w:hAnsi="Times New Roman" w:eastAsia="宋体" w:cs="Times New Roman"/>
      <w:kern w:val="0"/>
      <w:szCs w:val="21"/>
    </w:rPr>
  </w:style>
  <w:style w:type="paragraph" w:customStyle="1" w:styleId="138">
    <w:name w:val="xl37"/>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宋体" w:hAnsi="宋体" w:eastAsia="宋体" w:cs="Times New Roman"/>
      <w:kern w:val="0"/>
      <w:sz w:val="18"/>
      <w:szCs w:val="18"/>
    </w:rPr>
  </w:style>
  <w:style w:type="paragraph" w:customStyle="1" w:styleId="139">
    <w:name w:val="xl25"/>
    <w:basedOn w:val="1"/>
    <w:qFormat/>
    <w:uiPriority w:val="0"/>
    <w:pPr>
      <w:widowControl/>
      <w:spacing w:before="100" w:beforeAutospacing="1" w:after="100" w:afterAutospacing="1"/>
      <w:textAlignment w:val="center"/>
    </w:pPr>
    <w:rPr>
      <w:rFonts w:ascii="宋体" w:hAnsi="宋体" w:eastAsia="宋体" w:cs="Times New Roman"/>
      <w:kern w:val="0"/>
      <w:sz w:val="18"/>
      <w:szCs w:val="18"/>
    </w:rPr>
  </w:style>
  <w:style w:type="paragraph" w:customStyle="1" w:styleId="140">
    <w:name w:val="样式 样式 样式 样式 内容 + 首行缩进:  2 字符18 + 首行缩进:  5.71 厘米 + 首行缩进:  8.04 厘米..."/>
    <w:basedOn w:val="1"/>
    <w:qFormat/>
    <w:uiPriority w:val="0"/>
    <w:pPr>
      <w:widowControl/>
      <w:spacing w:line="360" w:lineRule="auto"/>
      <w:ind w:firstLine="425" w:firstLineChars="177"/>
      <w:jc w:val="left"/>
    </w:pPr>
    <w:rPr>
      <w:rFonts w:ascii="Trebuchet MS" w:hAnsi="Trebuchet MS" w:eastAsia="宋体" w:cs="Times New Roman"/>
      <w:color w:val="404040"/>
      <w:kern w:val="0"/>
      <w:sz w:val="24"/>
      <w:szCs w:val="20"/>
      <w:lang w:eastAsia="en-US"/>
    </w:rPr>
  </w:style>
  <w:style w:type="paragraph" w:customStyle="1" w:styleId="141">
    <w:name w:val="无间隔1"/>
    <w:qFormat/>
    <w:uiPriority w:val="0"/>
    <w:pPr>
      <w:widowControl w:val="0"/>
      <w:spacing w:line="360" w:lineRule="auto"/>
      <w:jc w:val="center"/>
    </w:pPr>
    <w:rPr>
      <w:rFonts w:ascii="Times New Roman" w:hAnsi="Times New Roman" w:eastAsia="宋体" w:cs="Times New Roman"/>
      <w:b/>
      <w:color w:val="000000"/>
      <w:kern w:val="2"/>
      <w:sz w:val="21"/>
      <w:szCs w:val="21"/>
      <w:lang w:val="zh-CN" w:eastAsia="zh-CN" w:bidi="ar-SA"/>
    </w:rPr>
  </w:style>
  <w:style w:type="paragraph" w:customStyle="1" w:styleId="142">
    <w:name w:val="列出段落11"/>
    <w:basedOn w:val="1"/>
    <w:qFormat/>
    <w:uiPriority w:val="0"/>
    <w:pPr>
      <w:ind w:firstLine="420" w:firstLineChars="200"/>
    </w:pPr>
    <w:rPr>
      <w:rFonts w:ascii="Times New Roman" w:hAnsi="Times New Roman" w:eastAsia="宋体" w:cs="Times New Roman"/>
      <w:szCs w:val="24"/>
    </w:rPr>
  </w:style>
  <w:style w:type="paragraph" w:customStyle="1" w:styleId="143">
    <w:name w:val="_Style 2"/>
    <w:basedOn w:val="1"/>
    <w:qFormat/>
    <w:uiPriority w:val="0"/>
    <w:pPr>
      <w:ind w:firstLine="420" w:firstLineChars="200"/>
    </w:pPr>
    <w:rPr>
      <w:rFonts w:ascii="Calibri" w:hAnsi="Calibri" w:eastAsia="宋体" w:cs="Times New Roman"/>
    </w:rPr>
  </w:style>
  <w:style w:type="paragraph" w:customStyle="1" w:styleId="144">
    <w:name w:val="txt14"/>
    <w:basedOn w:val="1"/>
    <w:qFormat/>
    <w:uiPriority w:val="0"/>
    <w:pPr>
      <w:widowControl/>
      <w:spacing w:before="100" w:beforeAutospacing="1" w:after="100" w:afterAutospacing="1"/>
      <w:jc w:val="left"/>
    </w:pPr>
    <w:rPr>
      <w:rFonts w:ascii="宋体" w:hAnsi="宋体" w:eastAsia="宋体" w:cs="Times New Roman"/>
      <w:color w:val="000000"/>
      <w:kern w:val="0"/>
      <w:szCs w:val="21"/>
    </w:rPr>
  </w:style>
  <w:style w:type="paragraph" w:customStyle="1" w:styleId="145">
    <w:name w:val="_Style 11"/>
    <w:basedOn w:val="1"/>
    <w:qFormat/>
    <w:uiPriority w:val="0"/>
    <w:rPr>
      <w:rFonts w:ascii="Times New Roman" w:hAnsi="Times New Roman" w:eastAsia="宋体" w:cs="Times New Roman"/>
      <w:szCs w:val="24"/>
    </w:rPr>
  </w:style>
  <w:style w:type="paragraph" w:customStyle="1" w:styleId="146">
    <w:name w:val="Char"/>
    <w:basedOn w:val="1"/>
    <w:qFormat/>
    <w:uiPriority w:val="0"/>
    <w:rPr>
      <w:rFonts w:ascii="Times New Roman" w:hAnsi="Times New Roman" w:eastAsia="宋体" w:cs="Times New Roman"/>
      <w:szCs w:val="21"/>
    </w:rPr>
  </w:style>
  <w:style w:type="paragraph" w:customStyle="1" w:styleId="147">
    <w:name w:val="列出段落1"/>
    <w:basedOn w:val="1"/>
    <w:link w:val="211"/>
    <w:qFormat/>
    <w:uiPriority w:val="0"/>
    <w:pPr>
      <w:ind w:firstLine="420" w:firstLineChars="200"/>
    </w:pPr>
    <w:rPr>
      <w:rFonts w:ascii="Times New Roman" w:hAnsi="Times New Roman" w:eastAsia="宋体" w:cs="Times New Roman"/>
      <w:szCs w:val="24"/>
    </w:rPr>
  </w:style>
  <w:style w:type="paragraph" w:customStyle="1" w:styleId="148">
    <w:name w:val="列出段落2"/>
    <w:basedOn w:val="1"/>
    <w:qFormat/>
    <w:uiPriority w:val="0"/>
    <w:pPr>
      <w:ind w:firstLine="420" w:firstLineChars="200"/>
    </w:pPr>
    <w:rPr>
      <w:rFonts w:ascii="Times New Roman" w:hAnsi="Times New Roman" w:eastAsia="宋体" w:cs="Times New Roman"/>
      <w:szCs w:val="24"/>
    </w:rPr>
  </w:style>
  <w:style w:type="paragraph" w:customStyle="1" w:styleId="149">
    <w:name w:val="TOC 标题1"/>
    <w:basedOn w:val="2"/>
    <w:next w:val="1"/>
    <w:qFormat/>
    <w:uiPriority w:val="39"/>
    <w:pPr>
      <w:keepLines/>
      <w:spacing w:before="480" w:after="0" w:line="276" w:lineRule="auto"/>
      <w:jc w:val="left"/>
      <w:outlineLvl w:val="9"/>
    </w:pPr>
    <w:rPr>
      <w:rFonts w:ascii="Cambria" w:hAnsi="Cambria" w:cs="Times New Roman"/>
      <w:color w:val="365F91"/>
      <w:kern w:val="0"/>
      <w:sz w:val="28"/>
      <w:szCs w:val="28"/>
    </w:rPr>
  </w:style>
  <w:style w:type="paragraph" w:customStyle="1" w:styleId="150">
    <w:name w:val="正文文本缩进 31"/>
    <w:basedOn w:val="1"/>
    <w:qFormat/>
    <w:uiPriority w:val="0"/>
    <w:pPr>
      <w:spacing w:line="440" w:lineRule="exact"/>
      <w:ind w:firstLine="412" w:firstLineChars="200"/>
    </w:pPr>
    <w:rPr>
      <w:rFonts w:ascii="宋体" w:hAnsi="宋体" w:eastAsia="宋体" w:cs="Times New Roman"/>
      <w:kern w:val="0"/>
      <w:sz w:val="20"/>
      <w:szCs w:val="20"/>
    </w:rPr>
  </w:style>
  <w:style w:type="character" w:customStyle="1" w:styleId="151">
    <w:name w:val="font41"/>
    <w:qFormat/>
    <w:uiPriority w:val="0"/>
    <w:rPr>
      <w:rFonts w:hint="eastAsia" w:ascii="宋体" w:hAnsi="宋体" w:eastAsia="宋体" w:cs="宋体"/>
      <w:b/>
      <w:color w:val="000000"/>
      <w:sz w:val="22"/>
      <w:szCs w:val="22"/>
      <w:u w:val="none"/>
    </w:rPr>
  </w:style>
  <w:style w:type="character" w:customStyle="1" w:styleId="152">
    <w:name w:val="font81"/>
    <w:basedOn w:val="45"/>
    <w:qFormat/>
    <w:uiPriority w:val="0"/>
    <w:rPr>
      <w:rFonts w:hint="eastAsia" w:ascii="宋体" w:hAnsi="宋体" w:eastAsia="宋体" w:cs="宋体"/>
      <w:b/>
      <w:color w:val="000000"/>
      <w:sz w:val="22"/>
      <w:szCs w:val="22"/>
      <w:u w:val="none"/>
    </w:rPr>
  </w:style>
  <w:style w:type="character" w:customStyle="1" w:styleId="153">
    <w:name w:val="font21"/>
    <w:qFormat/>
    <w:uiPriority w:val="0"/>
    <w:rPr>
      <w:rFonts w:hint="eastAsia" w:ascii="宋体" w:hAnsi="宋体" w:eastAsia="宋体" w:cs="宋体"/>
      <w:color w:val="000000"/>
      <w:sz w:val="18"/>
      <w:szCs w:val="18"/>
      <w:u w:val="none"/>
    </w:rPr>
  </w:style>
  <w:style w:type="character" w:customStyle="1" w:styleId="154">
    <w:name w:val="日期 Char"/>
    <w:link w:val="24"/>
    <w:qFormat/>
    <w:uiPriority w:val="0"/>
    <w:rPr>
      <w:szCs w:val="21"/>
    </w:rPr>
  </w:style>
  <w:style w:type="character" w:customStyle="1" w:styleId="155">
    <w:name w:val="font01"/>
    <w:qFormat/>
    <w:uiPriority w:val="0"/>
    <w:rPr>
      <w:rFonts w:hint="eastAsia" w:ascii="宋体" w:hAnsi="宋体" w:eastAsia="宋体" w:cs="宋体"/>
      <w:color w:val="000000"/>
      <w:sz w:val="22"/>
      <w:szCs w:val="22"/>
      <w:u w:val="none"/>
    </w:rPr>
  </w:style>
  <w:style w:type="character" w:customStyle="1" w:styleId="156">
    <w:name w:val="Char Char1"/>
    <w:qFormat/>
    <w:uiPriority w:val="0"/>
    <w:rPr>
      <w:rFonts w:eastAsia="宋体"/>
      <w:kern w:val="2"/>
      <w:sz w:val="18"/>
      <w:szCs w:val="18"/>
      <w:lang w:val="en-US" w:eastAsia="zh-CN" w:bidi="ar-SA"/>
    </w:rPr>
  </w:style>
  <w:style w:type="character" w:customStyle="1" w:styleId="157">
    <w:name w:val="标题 Char"/>
    <w:link w:val="41"/>
    <w:qFormat/>
    <w:uiPriority w:val="0"/>
    <w:rPr>
      <w:rFonts w:ascii="Cambria" w:hAnsi="Cambria" w:cs="Times New Roman"/>
      <w:b/>
      <w:bCs/>
      <w:sz w:val="32"/>
      <w:szCs w:val="32"/>
    </w:rPr>
  </w:style>
  <w:style w:type="character" w:customStyle="1" w:styleId="158">
    <w:name w:val="hei141"/>
    <w:qFormat/>
    <w:uiPriority w:val="0"/>
    <w:rPr>
      <w:rFonts w:hint="eastAsia" w:ascii="宋体" w:hAnsi="宋体" w:eastAsia="宋体"/>
      <w:color w:val="000000"/>
      <w:sz w:val="19"/>
      <w:szCs w:val="19"/>
      <w:u w:val="none"/>
    </w:rPr>
  </w:style>
  <w:style w:type="character" w:customStyle="1" w:styleId="159">
    <w:name w:val="批注文字 Char"/>
    <w:link w:val="15"/>
    <w:qFormat/>
    <w:uiPriority w:val="0"/>
  </w:style>
  <w:style w:type="character" w:customStyle="1" w:styleId="160">
    <w:name w:val="apple-style-span"/>
    <w:basedOn w:val="45"/>
    <w:qFormat/>
    <w:uiPriority w:val="0"/>
  </w:style>
  <w:style w:type="character" w:customStyle="1" w:styleId="161">
    <w:name w:val="param-value"/>
    <w:qFormat/>
    <w:uiPriority w:val="0"/>
    <w:rPr>
      <w:rFonts w:cs="Times New Roman"/>
    </w:rPr>
  </w:style>
  <w:style w:type="character" w:customStyle="1" w:styleId="162">
    <w:name w:val="font61"/>
    <w:qFormat/>
    <w:uiPriority w:val="0"/>
    <w:rPr>
      <w:rFonts w:hint="eastAsia" w:ascii="宋体" w:hAnsi="宋体" w:eastAsia="宋体" w:cs="宋体"/>
      <w:color w:val="000000"/>
      <w:sz w:val="22"/>
      <w:szCs w:val="22"/>
      <w:u w:val="none"/>
    </w:rPr>
  </w:style>
  <w:style w:type="character" w:customStyle="1" w:styleId="163">
    <w:name w:val="font11"/>
    <w:qFormat/>
    <w:uiPriority w:val="0"/>
    <w:rPr>
      <w:rFonts w:hint="eastAsia" w:ascii="宋体" w:hAnsi="宋体" w:eastAsia="宋体" w:cs="宋体"/>
      <w:color w:val="FF0000"/>
      <w:sz w:val="22"/>
      <w:szCs w:val="22"/>
      <w:u w:val="none"/>
    </w:rPr>
  </w:style>
  <w:style w:type="character" w:customStyle="1" w:styleId="164">
    <w:name w:val="批注主题 Char"/>
    <w:link w:val="42"/>
    <w:qFormat/>
    <w:uiPriority w:val="0"/>
    <w:rPr>
      <w:b/>
      <w:bCs/>
    </w:rPr>
  </w:style>
  <w:style w:type="character" w:customStyle="1" w:styleId="165">
    <w:name w:val="批注文字 Char1"/>
    <w:basedOn w:val="45"/>
    <w:qFormat/>
    <w:uiPriority w:val="0"/>
  </w:style>
  <w:style w:type="paragraph" w:customStyle="1" w:styleId="166">
    <w:name w:val="内文"/>
    <w:basedOn w:val="1"/>
    <w:qFormat/>
    <w:uiPriority w:val="0"/>
    <w:pPr>
      <w:spacing w:line="500" w:lineRule="exact"/>
      <w:ind w:firstLine="560" w:firstLineChars="200"/>
    </w:pPr>
    <w:rPr>
      <w:rFonts w:ascii="方正仿宋简体" w:hAnsi="宋体" w:eastAsia="方正仿宋简体" w:cs="Times New Roman"/>
      <w:sz w:val="28"/>
      <w:szCs w:val="28"/>
    </w:rPr>
  </w:style>
  <w:style w:type="character" w:customStyle="1" w:styleId="167">
    <w:name w:val="批注主题 Char1"/>
    <w:basedOn w:val="165"/>
    <w:qFormat/>
    <w:uiPriority w:val="0"/>
    <w:rPr>
      <w:b/>
      <w:bCs/>
    </w:rPr>
  </w:style>
  <w:style w:type="paragraph" w:customStyle="1" w:styleId="168">
    <w:name w:val="reader-word-layer reader-word-s1-17"/>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9">
    <w:name w:val="日期 Char1"/>
    <w:basedOn w:val="45"/>
    <w:qFormat/>
    <w:uiPriority w:val="0"/>
  </w:style>
  <w:style w:type="paragraph" w:customStyle="1" w:styleId="170">
    <w:name w:val="reader-word-layer reader-word-s1-14"/>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1">
    <w:name w:val="脚注文本 Char"/>
    <w:basedOn w:val="45"/>
    <w:link w:val="31"/>
    <w:qFormat/>
    <w:uiPriority w:val="0"/>
    <w:rPr>
      <w:rFonts w:ascii="Times New Roman" w:hAnsi="Times New Roman" w:eastAsia="宋体" w:cs="Times New Roman"/>
      <w:sz w:val="18"/>
      <w:szCs w:val="18"/>
    </w:rPr>
  </w:style>
  <w:style w:type="paragraph" w:customStyle="1" w:styleId="172">
    <w:name w:val="reader-word-layer reader-word-s1-1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3">
    <w:name w:val="reader-word-layer reader-word-s1-15"/>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4">
    <w:name w:val="标题 Char1"/>
    <w:basedOn w:val="45"/>
    <w:qFormat/>
    <w:uiPriority w:val="0"/>
    <w:rPr>
      <w:rFonts w:eastAsia="宋体" w:asciiTheme="majorHAnsi" w:hAnsiTheme="majorHAnsi" w:cstheme="majorBidi"/>
      <w:b/>
      <w:bCs/>
      <w:sz w:val="32"/>
      <w:szCs w:val="32"/>
    </w:rPr>
  </w:style>
  <w:style w:type="paragraph" w:customStyle="1" w:styleId="175">
    <w:name w:val="本文正文"/>
    <w:basedOn w:val="1"/>
    <w:qFormat/>
    <w:uiPriority w:val="0"/>
    <w:pPr>
      <w:widowControl/>
      <w:spacing w:line="480" w:lineRule="exact"/>
      <w:ind w:firstLine="200" w:firstLineChars="200"/>
      <w:jc w:val="left"/>
    </w:pPr>
    <w:rPr>
      <w:rFonts w:ascii="宋体" w:hAnsi="宋体" w:eastAsia="宋体" w:cs="Times New Roman"/>
      <w:kern w:val="0"/>
      <w:sz w:val="24"/>
      <w:szCs w:val="24"/>
    </w:rPr>
  </w:style>
  <w:style w:type="paragraph" w:customStyle="1" w:styleId="176">
    <w:name w:val="reader-word-layer reader-word-s1-1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7">
    <w:name w:val="Char Char Char1 Char Char Char Char"/>
    <w:basedOn w:val="1"/>
    <w:qFormat/>
    <w:uiPriority w:val="0"/>
    <w:pPr>
      <w:spacing w:line="300" w:lineRule="auto"/>
    </w:pPr>
    <w:rPr>
      <w:rFonts w:ascii="Tahoma" w:hAnsi="Tahoma" w:eastAsia="宋体" w:cs="Times New Roman"/>
      <w:sz w:val="24"/>
      <w:szCs w:val="24"/>
    </w:rPr>
  </w:style>
  <w:style w:type="paragraph" w:customStyle="1" w:styleId="178">
    <w:name w:val="Default"/>
    <w:qFormat/>
    <w:uiPriority w:val="0"/>
    <w:pPr>
      <w:widowControl w:val="0"/>
      <w:autoSpaceDE w:val="0"/>
      <w:autoSpaceDN w:val="0"/>
      <w:adjustRightInd w:val="0"/>
      <w:jc w:val="both"/>
    </w:pPr>
    <w:rPr>
      <w:rFonts w:ascii="黑体" w:hAnsi="黑体" w:eastAsia="宋体" w:cs="黑体"/>
      <w:color w:val="000000"/>
      <w:sz w:val="24"/>
      <w:szCs w:val="24"/>
      <w:lang w:val="en-US" w:eastAsia="zh-CN" w:bidi="ar-SA"/>
    </w:rPr>
  </w:style>
  <w:style w:type="paragraph" w:customStyle="1" w:styleId="179">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0">
    <w:name w:val="reader-word-layer reader-word-s1-1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1">
    <w:name w:val="reader-word-layer reader-word-s1-19"/>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2">
    <w:name w:val="reader-word-layer reader-word-s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3">
    <w:name w:val="Char Char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4">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5">
    <w:name w:val="Char Char4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6">
    <w:name w:val="列出段落3"/>
    <w:basedOn w:val="1"/>
    <w:qFormat/>
    <w:uiPriority w:val="0"/>
    <w:pPr>
      <w:ind w:firstLine="420" w:firstLineChars="200"/>
    </w:pPr>
    <w:rPr>
      <w:rFonts w:ascii="Times New Roman" w:hAnsi="Times New Roman" w:eastAsia="宋体" w:cs="Times New Roman"/>
      <w:szCs w:val="24"/>
    </w:rPr>
  </w:style>
  <w:style w:type="character" w:customStyle="1" w:styleId="187">
    <w:name w:val="Char Char12"/>
    <w:qFormat/>
    <w:uiPriority w:val="0"/>
    <w:rPr>
      <w:rFonts w:eastAsia="宋体"/>
      <w:kern w:val="2"/>
      <w:sz w:val="18"/>
      <w:szCs w:val="18"/>
      <w:lang w:val="en-US" w:eastAsia="zh-CN" w:bidi="ar-SA"/>
    </w:rPr>
  </w:style>
  <w:style w:type="paragraph" w:customStyle="1" w:styleId="188">
    <w:name w:val="Char Char4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9">
    <w:name w:val="Char Char4 Char Char2"/>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列出段落4"/>
    <w:basedOn w:val="1"/>
    <w:qFormat/>
    <w:uiPriority w:val="0"/>
    <w:pPr>
      <w:ind w:firstLine="420" w:firstLineChars="200"/>
    </w:pPr>
    <w:rPr>
      <w:rFonts w:ascii="Times New Roman" w:hAnsi="Times New Roman" w:eastAsia="宋体" w:cs="Times New Roman"/>
      <w:szCs w:val="24"/>
    </w:rPr>
  </w:style>
  <w:style w:type="character" w:customStyle="1" w:styleId="191">
    <w:name w:val="Char Char11"/>
    <w:qFormat/>
    <w:uiPriority w:val="0"/>
    <w:rPr>
      <w:rFonts w:eastAsia="宋体"/>
      <w:kern w:val="2"/>
      <w:sz w:val="18"/>
      <w:szCs w:val="18"/>
      <w:lang w:val="en-US" w:eastAsia="zh-CN" w:bidi="ar-SA"/>
    </w:rPr>
  </w:style>
  <w:style w:type="paragraph" w:customStyle="1" w:styleId="192">
    <w:name w:val="Char Char4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3">
    <w:name w:val="Char Char4 Char Char1"/>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4">
    <w:name w:val="列出段落5"/>
    <w:basedOn w:val="1"/>
    <w:qFormat/>
    <w:uiPriority w:val="0"/>
    <w:pPr>
      <w:ind w:firstLine="420" w:firstLineChars="200"/>
    </w:pPr>
    <w:rPr>
      <w:rFonts w:ascii="Times New Roman" w:hAnsi="Times New Roman" w:eastAsia="宋体" w:cs="Times New Roman"/>
      <w:szCs w:val="24"/>
    </w:rPr>
  </w:style>
  <w:style w:type="character" w:customStyle="1" w:styleId="195">
    <w:name w:val="纯文本 Char"/>
    <w:link w:val="22"/>
    <w:qFormat/>
    <w:uiPriority w:val="0"/>
    <w:rPr>
      <w:rFonts w:ascii="宋体" w:hAnsi="Courier New" w:eastAsia="宋体"/>
      <w:szCs w:val="21"/>
    </w:rPr>
  </w:style>
  <w:style w:type="character" w:customStyle="1" w:styleId="196">
    <w:name w:val="纯文本 Char1"/>
    <w:basedOn w:val="45"/>
    <w:semiHidden/>
    <w:qFormat/>
    <w:uiPriority w:val="99"/>
    <w:rPr>
      <w:rFonts w:ascii="宋体" w:hAnsi="Courier New" w:eastAsia="宋体" w:cs="Courier New"/>
      <w:szCs w:val="21"/>
    </w:rPr>
  </w:style>
  <w:style w:type="paragraph" w:customStyle="1" w:styleId="197">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19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9">
    <w:name w:val="样式4"/>
    <w:basedOn w:val="1"/>
    <w:qFormat/>
    <w:uiPriority w:val="0"/>
    <w:pPr>
      <w:adjustRightInd w:val="0"/>
      <w:spacing w:line="480" w:lineRule="auto"/>
      <w:textAlignment w:val="baseline"/>
    </w:pPr>
    <w:rPr>
      <w:rFonts w:ascii="Times New Roman" w:hAnsi="Times New Roman" w:eastAsia="黑体" w:cs="Times New Roman"/>
      <w:spacing w:val="10"/>
      <w:kern w:val="28"/>
      <w:sz w:val="48"/>
      <w:szCs w:val="20"/>
    </w:rPr>
  </w:style>
  <w:style w:type="character" w:customStyle="1" w:styleId="200">
    <w:name w:val="bookmark-item"/>
    <w:basedOn w:val="45"/>
    <w:qFormat/>
    <w:uiPriority w:val="0"/>
  </w:style>
  <w:style w:type="paragraph" w:customStyle="1" w:styleId="201">
    <w:name w:val="ZAW"/>
    <w:basedOn w:val="1"/>
    <w:qFormat/>
    <w:uiPriority w:val="0"/>
    <w:pPr>
      <w:spacing w:line="520" w:lineRule="exact"/>
      <w:ind w:firstLine="480" w:firstLineChars="200"/>
    </w:pPr>
    <w:rPr>
      <w:rFonts w:ascii="宋体" w:hAnsi="宋体" w:eastAsia="宋体" w:cs="Times New Roman"/>
      <w:sz w:val="24"/>
      <w:szCs w:val="24"/>
    </w:rPr>
  </w:style>
  <w:style w:type="paragraph" w:customStyle="1" w:styleId="202">
    <w:name w:val="正文3"/>
    <w:qFormat/>
    <w:uiPriority w:val="0"/>
    <w:pPr>
      <w:jc w:val="both"/>
    </w:pPr>
    <w:rPr>
      <w:rFonts w:ascii="Times New Roman" w:hAnsi="Times New Roman" w:eastAsia="宋体" w:cs="Times New Roman"/>
      <w:kern w:val="2"/>
      <w:sz w:val="21"/>
      <w:szCs w:val="21"/>
      <w:lang w:val="en-US" w:eastAsia="zh-CN" w:bidi="ar-SA"/>
    </w:rPr>
  </w:style>
  <w:style w:type="character" w:customStyle="1" w:styleId="203">
    <w:name w:val="15"/>
    <w:basedOn w:val="45"/>
    <w:qFormat/>
    <w:uiPriority w:val="0"/>
    <w:rPr>
      <w:rFonts w:hint="default" w:ascii="Times New Roman" w:hAnsi="Times New Roman" w:cs="Times New Roman"/>
    </w:rPr>
  </w:style>
  <w:style w:type="character" w:customStyle="1" w:styleId="204">
    <w:name w:val="ant-form-item-children1"/>
    <w:basedOn w:val="45"/>
    <w:qFormat/>
    <w:uiPriority w:val="0"/>
  </w:style>
  <w:style w:type="character" w:customStyle="1" w:styleId="205">
    <w:name w:val="标题 4 Char"/>
    <w:basedOn w:val="45"/>
    <w:link w:val="5"/>
    <w:qFormat/>
    <w:uiPriority w:val="0"/>
    <w:rPr>
      <w:rFonts w:ascii="Arial" w:hAnsi="Arial" w:eastAsia="黑体" w:cs="Times New Roman"/>
      <w:b/>
      <w:kern w:val="2"/>
      <w:sz w:val="28"/>
    </w:rPr>
  </w:style>
  <w:style w:type="character" w:customStyle="1" w:styleId="206">
    <w:name w:val="标题 5 Char"/>
    <w:basedOn w:val="45"/>
    <w:link w:val="7"/>
    <w:qFormat/>
    <w:uiPriority w:val="0"/>
    <w:rPr>
      <w:rFonts w:ascii="Times New Roman" w:hAnsi="Times New Roman" w:eastAsia="宋体" w:cs="Times New Roman"/>
      <w:b/>
      <w:kern w:val="2"/>
      <w:sz w:val="28"/>
    </w:rPr>
  </w:style>
  <w:style w:type="character" w:customStyle="1" w:styleId="207">
    <w:name w:val="标题 6 Char"/>
    <w:basedOn w:val="45"/>
    <w:link w:val="8"/>
    <w:qFormat/>
    <w:uiPriority w:val="0"/>
    <w:rPr>
      <w:rFonts w:ascii="Arial" w:hAnsi="Arial" w:eastAsia="黑体" w:cs="Times New Roman"/>
      <w:b/>
      <w:kern w:val="2"/>
      <w:sz w:val="24"/>
    </w:rPr>
  </w:style>
  <w:style w:type="character" w:customStyle="1" w:styleId="208">
    <w:name w:val="标题 7 Char"/>
    <w:basedOn w:val="45"/>
    <w:link w:val="9"/>
    <w:qFormat/>
    <w:uiPriority w:val="0"/>
    <w:rPr>
      <w:rFonts w:ascii="Times New Roman" w:hAnsi="Times New Roman" w:eastAsia="宋体" w:cs="Times New Roman"/>
      <w:b/>
      <w:kern w:val="2"/>
      <w:sz w:val="24"/>
    </w:rPr>
  </w:style>
  <w:style w:type="character" w:customStyle="1" w:styleId="209">
    <w:name w:val="标题 8 Char"/>
    <w:basedOn w:val="45"/>
    <w:link w:val="10"/>
    <w:qFormat/>
    <w:uiPriority w:val="0"/>
    <w:rPr>
      <w:rFonts w:ascii="Arial" w:hAnsi="Arial" w:eastAsia="黑体" w:cs="Times New Roman"/>
      <w:kern w:val="2"/>
      <w:sz w:val="24"/>
    </w:rPr>
  </w:style>
  <w:style w:type="character" w:customStyle="1" w:styleId="210">
    <w:name w:val="标题 9 Char"/>
    <w:basedOn w:val="45"/>
    <w:link w:val="11"/>
    <w:qFormat/>
    <w:uiPriority w:val="0"/>
    <w:rPr>
      <w:rFonts w:ascii="Arial" w:hAnsi="Arial" w:eastAsia="黑体" w:cs="Times New Roman"/>
      <w:kern w:val="2"/>
      <w:sz w:val="21"/>
    </w:rPr>
  </w:style>
  <w:style w:type="character" w:customStyle="1" w:styleId="211">
    <w:name w:val="List Paragraph Char"/>
    <w:basedOn w:val="45"/>
    <w:link w:val="147"/>
    <w:qFormat/>
    <w:uiPriority w:val="0"/>
    <w:rPr>
      <w:rFonts w:ascii="Times New Roman" w:hAnsi="Times New Roman" w:eastAsia="宋体" w:cs="Times New Roman"/>
      <w:kern w:val="2"/>
      <w:sz w:val="21"/>
      <w:szCs w:val="24"/>
    </w:rPr>
  </w:style>
  <w:style w:type="character" w:customStyle="1" w:styleId="212">
    <w:name w:val="HTML 预设格式 Char"/>
    <w:basedOn w:val="45"/>
    <w:link w:val="38"/>
    <w:qFormat/>
    <w:uiPriority w:val="0"/>
    <w:rPr>
      <w:rFonts w:ascii="宋体" w:hAnsi="宋体" w:eastAsia="宋体" w:cs="宋体"/>
      <w:sz w:val="24"/>
      <w:szCs w:val="24"/>
    </w:rPr>
  </w:style>
  <w:style w:type="character" w:customStyle="1" w:styleId="213">
    <w:name w:val="mark"/>
    <w:basedOn w:val="45"/>
    <w:qFormat/>
    <w:uiPriority w:val="0"/>
  </w:style>
  <w:style w:type="paragraph" w:customStyle="1" w:styleId="214">
    <w:name w:val="dash5217_51fa_6bb5_843d"/>
    <w:basedOn w:val="1"/>
    <w:qFormat/>
    <w:uiPriority w:val="0"/>
    <w:pPr>
      <w:widowControl/>
      <w:ind w:firstLine="420"/>
    </w:pPr>
    <w:rPr>
      <w:rFonts w:ascii="Calibri" w:hAnsi="Calibri" w:eastAsia="宋体" w:cs="Calibri"/>
      <w:kern w:val="0"/>
      <w:sz w:val="20"/>
      <w:szCs w:val="20"/>
    </w:rPr>
  </w:style>
  <w:style w:type="character" w:customStyle="1" w:styleId="215">
    <w:name w:val="dash5217_51fa_6bb5_843d__char1"/>
    <w:qFormat/>
    <w:uiPriority w:val="0"/>
    <w:rPr>
      <w:rFonts w:ascii="Calibri" w:hAnsi="Calibri" w:cs="Calibri"/>
      <w:sz w:val="20"/>
      <w:szCs w:val="20"/>
    </w:rPr>
  </w:style>
  <w:style w:type="paragraph" w:customStyle="1" w:styleId="216">
    <w:name w:val="dash6b63_6587"/>
    <w:basedOn w:val="1"/>
    <w:qFormat/>
    <w:uiPriority w:val="0"/>
    <w:pPr>
      <w:widowControl/>
    </w:pPr>
    <w:rPr>
      <w:rFonts w:ascii="Calibri" w:hAnsi="Calibri" w:eastAsia="宋体" w:cs="Calibri"/>
      <w:kern w:val="0"/>
      <w:sz w:val="20"/>
      <w:szCs w:val="20"/>
    </w:rPr>
  </w:style>
  <w:style w:type="character" w:customStyle="1" w:styleId="217">
    <w:name w:val="dash6b63_6587__char1"/>
    <w:qFormat/>
    <w:uiPriority w:val="0"/>
    <w:rPr>
      <w:rFonts w:ascii="Calibri" w:hAnsi="Calibri" w:cs="Calibri"/>
      <w:sz w:val="20"/>
      <w:szCs w:val="20"/>
    </w:rPr>
  </w:style>
  <w:style w:type="paragraph" w:customStyle="1" w:styleId="218">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9">
    <w:name w:val="reader-word-layer reader-word-s1-3"/>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0">
    <w:name w:val="ParaAttribute8"/>
    <w:qFormat/>
    <w:uiPriority w:val="0"/>
    <w:pPr>
      <w:widowControl w:val="0"/>
      <w:jc w:val="both"/>
    </w:pPr>
    <w:rPr>
      <w:rFonts w:ascii="Times New Roman" w:hAnsi="Arial Unicode MS" w:eastAsia="Arial Unicode MS" w:cs="Arial Unicode MS"/>
      <w:color w:val="000000"/>
      <w:u w:color="000000"/>
      <w:lang w:val="en-US" w:eastAsia="zh-CN" w:bidi="ar-SA"/>
    </w:rPr>
  </w:style>
  <w:style w:type="paragraph" w:customStyle="1" w:styleId="221">
    <w:name w:val="默认"/>
    <w:qFormat/>
    <w:uiPriority w:val="0"/>
    <w:rPr>
      <w:rFonts w:ascii="Helvetica" w:hAnsi="Arial Unicode MS" w:eastAsia="Arial Unicode MS" w:cs="Arial Unicode MS"/>
      <w:color w:val="000000"/>
      <w:sz w:val="22"/>
      <w:szCs w:val="22"/>
      <w:lang w:val="zh-TW" w:eastAsia="zh-TW" w:bidi="ar-SA"/>
    </w:rPr>
  </w:style>
  <w:style w:type="character" w:customStyle="1" w:styleId="222">
    <w:name w:val="def"/>
    <w:basedOn w:val="45"/>
    <w:qFormat/>
    <w:uiPriority w:val="0"/>
  </w:style>
  <w:style w:type="paragraph" w:customStyle="1" w:styleId="223">
    <w:name w:val="reader-word-layer reader-word-s2-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z-窗体顶端2"/>
    <w:basedOn w:val="1"/>
    <w:next w:val="1"/>
    <w:qFormat/>
    <w:uiPriority w:val="0"/>
    <w:pPr>
      <w:widowControl/>
      <w:pBdr>
        <w:bottom w:val="single" w:color="auto" w:sz="6" w:space="1"/>
      </w:pBdr>
      <w:jc w:val="center"/>
    </w:pPr>
    <w:rPr>
      <w:rFonts w:ascii="Arial" w:hAnsi="Arial" w:eastAsia="宋体" w:cs="Arial"/>
      <w:vanish/>
      <w:kern w:val="0"/>
      <w:sz w:val="16"/>
      <w:szCs w:val="16"/>
    </w:rPr>
  </w:style>
  <w:style w:type="paragraph" w:customStyle="1" w:styleId="226">
    <w:name w:val="z-窗体底端2"/>
    <w:basedOn w:val="1"/>
    <w:next w:val="1"/>
    <w:qFormat/>
    <w:uiPriority w:val="0"/>
    <w:pPr>
      <w:widowControl/>
      <w:pBdr>
        <w:top w:val="single" w:color="auto" w:sz="6" w:space="1"/>
      </w:pBdr>
      <w:jc w:val="center"/>
    </w:pPr>
    <w:rPr>
      <w:rFonts w:ascii="Arial" w:hAnsi="Arial" w:eastAsia="宋体" w:cs="Arial"/>
      <w:vanish/>
      <w:kern w:val="0"/>
      <w:sz w:val="16"/>
      <w:szCs w:val="16"/>
    </w:rPr>
  </w:style>
  <w:style w:type="paragraph" w:customStyle="1" w:styleId="227">
    <w:name w:val="TOC 标题2"/>
    <w:basedOn w:val="2"/>
    <w:next w:val="1"/>
    <w:qFormat/>
    <w:uiPriority w:val="0"/>
    <w:pPr>
      <w:keepLines/>
      <w:spacing w:before="480" w:after="0" w:line="276" w:lineRule="auto"/>
      <w:jc w:val="left"/>
      <w:outlineLvl w:val="9"/>
    </w:pPr>
    <w:rPr>
      <w:rFonts w:ascii="Cambria" w:hAnsi="Cambria" w:cs="Times New Roman"/>
      <w:color w:val="365F91"/>
      <w:kern w:val="0"/>
      <w:sz w:val="28"/>
      <w:szCs w:val="28"/>
    </w:rPr>
  </w:style>
  <w:style w:type="paragraph" w:customStyle="1" w:styleId="228">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229">
    <w:name w:val="font5"/>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30">
    <w:name w:val="font6"/>
    <w:basedOn w:val="1"/>
    <w:qFormat/>
    <w:uiPriority w:val="0"/>
    <w:pPr>
      <w:widowControl/>
      <w:spacing w:before="100" w:beforeAutospacing="1" w:after="100" w:afterAutospacing="1"/>
      <w:jc w:val="left"/>
    </w:pPr>
    <w:rPr>
      <w:rFonts w:ascii="Arial" w:hAnsi="Arial" w:eastAsia="宋体" w:cs="Arial"/>
      <w:kern w:val="0"/>
      <w:sz w:val="22"/>
    </w:rPr>
  </w:style>
  <w:style w:type="paragraph" w:customStyle="1" w:styleId="23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32">
    <w:name w:val="xl63"/>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3">
    <w:name w:val="xl6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4">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8">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Cs w:val="21"/>
    </w:rPr>
  </w:style>
  <w:style w:type="paragraph" w:customStyle="1" w:styleId="2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2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eastAsia="宋体" w:cs="宋体"/>
      <w:color w:val="000000"/>
      <w:kern w:val="0"/>
      <w:szCs w:val="21"/>
    </w:rPr>
  </w:style>
  <w:style w:type="paragraph" w:customStyle="1" w:styleId="24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2">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4">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56">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7">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8">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59">
    <w:name w:val="xl90"/>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0">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1">
    <w:name w:val="xl92"/>
    <w:basedOn w:val="1"/>
    <w:qFormat/>
    <w:uiPriority w:val="0"/>
    <w:pPr>
      <w:widowControl/>
      <w:spacing w:before="100" w:beforeAutospacing="1" w:after="100" w:afterAutospacing="1"/>
      <w:jc w:val="center"/>
    </w:pPr>
    <w:rPr>
      <w:rFonts w:ascii="宋体" w:hAnsi="宋体" w:eastAsia="宋体" w:cs="宋体"/>
      <w:kern w:val="0"/>
      <w:sz w:val="36"/>
      <w:szCs w:val="36"/>
    </w:rPr>
  </w:style>
  <w:style w:type="paragraph" w:customStyle="1" w:styleId="262">
    <w:name w:val="xl93"/>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3">
    <w:name w:val="xl94"/>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4">
    <w:name w:val="xl95"/>
    <w:basedOn w:val="1"/>
    <w:qFormat/>
    <w:uiPriority w:val="0"/>
    <w:pPr>
      <w:widowControl/>
      <w:spacing w:before="100" w:beforeAutospacing="1" w:after="100" w:afterAutospacing="1"/>
      <w:jc w:val="center"/>
    </w:pPr>
    <w:rPr>
      <w:rFonts w:ascii="宋体" w:hAnsi="宋体" w:eastAsia="宋体" w:cs="宋体"/>
      <w:color w:val="FF0000"/>
      <w:kern w:val="0"/>
      <w:sz w:val="36"/>
      <w:szCs w:val="36"/>
    </w:rPr>
  </w:style>
  <w:style w:type="paragraph" w:customStyle="1" w:styleId="265">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6">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7">
    <w:name w:val="xl9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68">
    <w:name w:val="样式1"/>
    <w:basedOn w:val="1"/>
    <w:qFormat/>
    <w:uiPriority w:val="99"/>
    <w:pPr>
      <w:tabs>
        <w:tab w:val="left" w:pos="540"/>
        <w:tab w:val="left" w:pos="900"/>
        <w:tab w:val="left" w:pos="2070"/>
        <w:tab w:val="left" w:pos="3150"/>
        <w:tab w:val="center" w:pos="5940"/>
        <w:tab w:val="right" w:pos="8100"/>
      </w:tabs>
      <w:wordWrap w:val="0"/>
      <w:overflowPunct w:val="0"/>
      <w:adjustRightInd w:val="0"/>
      <w:snapToGrid w:val="0"/>
      <w:spacing w:before="120" w:after="120" w:line="360" w:lineRule="auto"/>
      <w:ind w:left="1155"/>
      <w:textAlignment w:val="baseline"/>
    </w:pPr>
    <w:rPr>
      <w:rFonts w:ascii="宋体" w:hAnsi="宋体" w:eastAsia="宋体" w:cs="Times New Roman"/>
      <w:color w:val="000000"/>
      <w:kern w:val="0"/>
      <w:szCs w:val="20"/>
    </w:rPr>
  </w:style>
  <w:style w:type="paragraph" w:customStyle="1" w:styleId="269">
    <w:name w:val="正文_0"/>
    <w:qFormat/>
    <w:uiPriority w:val="0"/>
    <w:rPr>
      <w:rFonts w:ascii="Times New Roman" w:hAnsi="Times New Roman" w:eastAsia="Times New Roman" w:cs="Times New Roman"/>
      <w:lang w:val="en-US" w:eastAsia="zh-CN" w:bidi="ar-SA"/>
    </w:rPr>
  </w:style>
  <w:style w:type="paragraph" w:customStyle="1" w:styleId="270">
    <w:name w:val="正文_0_0"/>
    <w:qFormat/>
    <w:uiPriority w:val="0"/>
    <w:pPr>
      <w:jc w:val="both"/>
    </w:pPr>
    <w:rPr>
      <w:rFonts w:ascii="Calibri" w:hAnsi="Calibri" w:eastAsia="Times New Roman" w:cs="Times New Roman"/>
      <w:lang w:val="en-US" w:eastAsia="zh-CN" w:bidi="ar-SA"/>
    </w:rPr>
  </w:style>
  <w:style w:type="paragraph" w:customStyle="1" w:styleId="271">
    <w:name w:val="标题 11"/>
    <w:basedOn w:val="1"/>
    <w:qFormat/>
    <w:uiPriority w:val="1"/>
    <w:pPr>
      <w:autoSpaceDE w:val="0"/>
      <w:autoSpaceDN w:val="0"/>
      <w:spacing w:before="38"/>
      <w:ind w:left="1482" w:right="1677"/>
      <w:jc w:val="center"/>
      <w:outlineLvl w:val="1"/>
    </w:pPr>
    <w:rPr>
      <w:rFonts w:ascii="宋体" w:hAnsi="宋体" w:eastAsia="宋体" w:cs="宋体"/>
      <w:b/>
      <w:bCs/>
      <w:kern w:val="0"/>
      <w:sz w:val="36"/>
      <w:szCs w:val="36"/>
      <w:lang w:val="zh-CN" w:bidi="zh-CN"/>
    </w:rPr>
  </w:style>
  <w:style w:type="character" w:customStyle="1" w:styleId="272">
    <w:name w:val="NormalCharacter"/>
    <w:semiHidden/>
    <w:qFormat/>
    <w:uiPriority w:val="0"/>
  </w:style>
  <w:style w:type="paragraph" w:customStyle="1" w:styleId="273">
    <w:name w:val="UserStyle_0"/>
    <w:basedOn w:val="1"/>
    <w:qFormat/>
    <w:uiPriority w:val="0"/>
    <w:pPr>
      <w:widowControl/>
      <w:ind w:left="900"/>
      <w:jc w:val="center"/>
      <w:textAlignment w:val="baseline"/>
    </w:pPr>
    <w:rPr>
      <w:rFonts w:ascii="宋体" w:hAnsi="Times New Roman" w:eastAsia="宋体" w:cs="Times New Roman"/>
      <w:kern w:val="0"/>
      <w:sz w:val="34"/>
      <w:szCs w:val="24"/>
    </w:rPr>
  </w:style>
  <w:style w:type="paragraph" w:customStyle="1" w:styleId="274">
    <w:name w:val="样式 首行缩进:  2 字符"/>
    <w:basedOn w:val="1"/>
    <w:qFormat/>
    <w:uiPriority w:val="99"/>
    <w:pPr>
      <w:ind w:firstLine="560"/>
    </w:pPr>
    <w:rPr>
      <w:szCs w:val="21"/>
    </w:rPr>
  </w:style>
  <w:style w:type="paragraph" w:customStyle="1" w:styleId="275">
    <w:name w:val="UserStyle_4"/>
    <w:basedOn w:val="1"/>
    <w:qFormat/>
    <w:uiPriority w:val="0"/>
    <w:pPr>
      <w:widowControl/>
      <w:jc w:val="left"/>
      <w:textAlignment w:val="baseline"/>
    </w:pPr>
    <w:rPr>
      <w:rFonts w:ascii="宋体" w:hAnsi="宋体" w:eastAsia="宋体" w:cs="Times New Roman"/>
      <w:kern w:val="0"/>
      <w:sz w:val="22"/>
      <w:lang w:eastAsia="en-US"/>
    </w:rPr>
  </w:style>
  <w:style w:type="paragraph" w:customStyle="1" w:styleId="276">
    <w:name w:val="Table Text"/>
    <w:basedOn w:val="1"/>
    <w:hidden/>
    <w:qFormat/>
    <w:uiPriority w:val="0"/>
    <w:pPr>
      <w:widowControl/>
      <w:kinsoku w:val="0"/>
      <w:autoSpaceDE w:val="0"/>
      <w:autoSpaceDN w:val="0"/>
      <w:adjustRightInd w:val="0"/>
      <w:snapToGrid w:val="0"/>
      <w:jc w:val="left"/>
    </w:pPr>
    <w:rPr>
      <w:rFonts w:hint="eastAsia" w:ascii="楷体" w:hAnsi="楷体" w:eastAsia="楷体" w:cs="Times New Roman"/>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23BAB-4AA7-4DDC-9435-6C7CC443DC17}">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66</Pages>
  <Words>5321</Words>
  <Characters>6107</Characters>
  <Lines>252</Lines>
  <Paragraphs>71</Paragraphs>
  <TotalTime>6</TotalTime>
  <ScaleCrop>false</ScaleCrop>
  <LinksUpToDate>false</LinksUpToDate>
  <CharactersWithSpaces>6217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2020-04-12T05:17:00Z</dcterms:created>
  <dc:creator>WHB</dc:creator>
  <cp:lastModifiedBy>RZSD</cp:lastModifiedBy>
  <cp:lastPrinted>2021-03-01T03:24:00Z</cp:lastPrinted>
  <dcterms:modified xsi:type="dcterms:W3CDTF">2025-06-30T07:31:34Z</dcterms:modified>
  <cp:revision>239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AEAA54E7B2604DDB94BAFCDE8FEE2EB1_12</vt:lpwstr>
  </property>
  <property fmtid="{D5CDD505-2E9C-101B-9397-08002B2CF9AE}" pid="4" name="KSOTemplateDocerSaveRecord">
    <vt:lpwstr>eyJoZGlkIjoiY2UxZjI3ZjRkMzRiMThiMmQ1MTQ2ZmZjNDdkYjM2YTEiLCJ1c2VySWQiOiIzNTc3NDI5MTQifQ==</vt:lpwstr>
  </property>
</Properties>
</file>