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cs="仿宋"/>
          <w:b/>
          <w:spacing w:val="-60"/>
          <w:sz w:val="28"/>
          <w:szCs w:val="28"/>
        </w:rPr>
      </w:pPr>
    </w:p>
    <w:p>
      <w:pPr>
        <w:adjustRightInd w:val="0"/>
        <w:snapToGrid w:val="0"/>
        <w:spacing w:line="360" w:lineRule="auto"/>
        <w:jc w:val="center"/>
        <w:rPr>
          <w:rFonts w:ascii="仿宋" w:hAnsi="仿宋" w:eastAsia="仿宋" w:cs="仿宋"/>
          <w:b/>
          <w:spacing w:val="-60"/>
          <w:sz w:val="84"/>
          <w:szCs w:val="84"/>
          <w:lang w:eastAsia="zh-Hans"/>
        </w:rPr>
      </w:pPr>
      <w:r>
        <w:rPr>
          <w:rFonts w:hint="eastAsia" w:ascii="仿宋" w:hAnsi="仿宋" w:eastAsia="仿宋" w:cs="仿宋"/>
          <w:b/>
          <w:spacing w:val="-60"/>
          <w:sz w:val="84"/>
          <w:szCs w:val="84"/>
          <w:lang w:eastAsia="zh-Hans"/>
        </w:rPr>
        <w:t>招标文件</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b/>
          <w:sz w:val="32"/>
          <w:szCs w:val="32"/>
        </w:rPr>
      </w:pPr>
      <w:r>
        <w:rPr>
          <w:rFonts w:hint="eastAsia" w:ascii="仿宋" w:hAnsi="仿宋" w:eastAsia="仿宋" w:cs="仿宋"/>
          <w:b/>
          <w:bCs/>
          <w:sz w:val="32"/>
          <w:szCs w:val="32"/>
        </w:rPr>
        <w:t>项目名称：</w:t>
      </w:r>
      <w:r>
        <w:rPr>
          <w:rFonts w:hint="eastAsia" w:ascii="仿宋" w:hAnsi="仿宋" w:eastAsia="仿宋" w:cs="仿宋"/>
          <w:b/>
          <w:sz w:val="32"/>
          <w:szCs w:val="32"/>
        </w:rPr>
        <w:t>水磨沟区相关设备专线链路租赁</w:t>
      </w:r>
    </w:p>
    <w:p>
      <w:pPr>
        <w:adjustRightInd w:val="0"/>
        <w:snapToGrid w:val="0"/>
        <w:spacing w:line="360" w:lineRule="auto"/>
        <w:rPr>
          <w:rFonts w:ascii="仿宋" w:hAnsi="仿宋" w:eastAsia="仿宋" w:cs="仿宋"/>
          <w:b/>
          <w:bCs/>
          <w:color w:val="FFFF00"/>
          <w:sz w:val="32"/>
          <w:szCs w:val="32"/>
        </w:rPr>
      </w:pPr>
      <w:r>
        <w:rPr>
          <w:rFonts w:hint="eastAsia" w:ascii="仿宋" w:hAnsi="仿宋" w:eastAsia="仿宋" w:cs="仿宋"/>
          <w:b/>
          <w:bCs/>
          <w:sz w:val="32"/>
          <w:szCs w:val="32"/>
        </w:rPr>
        <w:t>项目编号：</w:t>
      </w:r>
      <w:r>
        <w:rPr>
          <w:rFonts w:hint="eastAsia" w:ascii="仿宋" w:hAnsi="仿宋" w:eastAsia="仿宋" w:cs="仿宋"/>
          <w:b/>
          <w:sz w:val="32"/>
          <w:szCs w:val="32"/>
        </w:rPr>
        <w:t>ZSZC-FW-2022002</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b/>
          <w:sz w:val="32"/>
          <w:szCs w:val="32"/>
        </w:rPr>
      </w:pPr>
      <w:r>
        <w:rPr>
          <w:rFonts w:hint="eastAsia" w:ascii="仿宋" w:hAnsi="仿宋" w:eastAsia="仿宋" w:cs="仿宋"/>
          <w:b/>
          <w:sz w:val="32"/>
          <w:szCs w:val="32"/>
        </w:rPr>
        <w:t>招 标 人：中共乌鲁木齐市水磨沟区委员会政法委员会</w:t>
      </w:r>
    </w:p>
    <w:p>
      <w:pPr>
        <w:pStyle w:val="9"/>
        <w:ind w:left="0"/>
        <w:rPr>
          <w:rFonts w:ascii="仿宋" w:hAnsi="仿宋" w:eastAsia="仿宋" w:cs="仿宋"/>
          <w:b/>
          <w:sz w:val="32"/>
          <w:szCs w:val="32"/>
        </w:rPr>
      </w:pPr>
      <w:r>
        <w:rPr>
          <w:rFonts w:hint="eastAsia" w:ascii="仿宋" w:hAnsi="仿宋" w:eastAsia="仿宋" w:cs="仿宋"/>
          <w:b/>
          <w:sz w:val="32"/>
          <w:szCs w:val="32"/>
        </w:rPr>
        <w:t>联系人：王鹏</w:t>
      </w:r>
    </w:p>
    <w:p>
      <w:pPr>
        <w:rPr>
          <w:rFonts w:ascii="仿宋" w:hAnsi="仿宋" w:eastAsia="仿宋" w:cs="仿宋"/>
          <w:b/>
          <w:sz w:val="32"/>
          <w:szCs w:val="32"/>
        </w:rPr>
      </w:pPr>
      <w:r>
        <w:rPr>
          <w:rFonts w:hint="eastAsia" w:ascii="仿宋" w:hAnsi="仿宋" w:eastAsia="仿宋" w:cs="仿宋"/>
          <w:b/>
          <w:sz w:val="32"/>
          <w:szCs w:val="32"/>
        </w:rPr>
        <w:t>联系电话：0991-4186027</w:t>
      </w:r>
    </w:p>
    <w:p>
      <w:pPr>
        <w:rPr>
          <w:rFonts w:ascii="仿宋" w:hAnsi="仿宋" w:eastAsia="仿宋" w:cs="仿宋"/>
          <w:b/>
          <w:sz w:val="32"/>
          <w:szCs w:val="32"/>
        </w:rPr>
      </w:pPr>
    </w:p>
    <w:p>
      <w:pPr>
        <w:pStyle w:val="9"/>
        <w:rPr>
          <w:rFonts w:ascii="仿宋" w:hAnsi="仿宋" w:eastAsia="仿宋" w:cs="仿宋"/>
          <w:sz w:val="32"/>
          <w:szCs w:val="32"/>
        </w:rPr>
      </w:pPr>
    </w:p>
    <w:p>
      <w:pPr>
        <w:adjustRightInd w:val="0"/>
        <w:snapToGrid w:val="0"/>
        <w:spacing w:line="360" w:lineRule="auto"/>
        <w:rPr>
          <w:rFonts w:ascii="仿宋" w:hAnsi="仿宋" w:eastAsia="仿宋" w:cs="仿宋"/>
          <w:b/>
          <w:sz w:val="32"/>
          <w:szCs w:val="32"/>
          <w:lang w:eastAsia="zh-Hans"/>
        </w:rPr>
      </w:pPr>
      <w:r>
        <w:rPr>
          <w:rFonts w:hint="eastAsia" w:ascii="仿宋" w:hAnsi="仿宋" w:eastAsia="仿宋" w:cs="仿宋"/>
          <w:b/>
          <w:sz w:val="32"/>
          <w:szCs w:val="32"/>
        </w:rPr>
        <w:t>招标代理机构：</w:t>
      </w:r>
      <w:r>
        <w:rPr>
          <w:rFonts w:hint="eastAsia" w:ascii="仿宋" w:hAnsi="仿宋" w:eastAsia="仿宋" w:cs="仿宋"/>
          <w:b/>
          <w:sz w:val="32"/>
          <w:szCs w:val="32"/>
          <w:lang w:eastAsia="zh-Hans"/>
        </w:rPr>
        <w:t>新疆筑石工程项目管理有限公司</w:t>
      </w:r>
    </w:p>
    <w:p>
      <w:pPr>
        <w:pStyle w:val="9"/>
        <w:rPr>
          <w:rFonts w:ascii="仿宋" w:hAnsi="仿宋" w:eastAsia="仿宋" w:cs="仿宋"/>
          <w:b/>
          <w:sz w:val="32"/>
          <w:szCs w:val="32"/>
        </w:rPr>
      </w:pPr>
      <w:r>
        <w:rPr>
          <w:rFonts w:hint="eastAsia" w:ascii="仿宋" w:hAnsi="仿宋" w:eastAsia="仿宋" w:cs="仿宋"/>
          <w:b/>
          <w:sz w:val="32"/>
          <w:szCs w:val="32"/>
        </w:rPr>
        <w:t>联系人：刘婉璐</w:t>
      </w:r>
    </w:p>
    <w:p>
      <w:pPr>
        <w:rPr>
          <w:rFonts w:ascii="仿宋" w:hAnsi="仿宋" w:eastAsia="仿宋" w:cs="仿宋"/>
          <w:b/>
          <w:sz w:val="32"/>
          <w:szCs w:val="32"/>
        </w:rPr>
      </w:pPr>
      <w:r>
        <w:rPr>
          <w:rFonts w:hint="eastAsia" w:ascii="仿宋" w:hAnsi="仿宋" w:eastAsia="仿宋" w:cs="仿宋"/>
          <w:b/>
          <w:sz w:val="32"/>
          <w:szCs w:val="32"/>
        </w:rPr>
        <w:t>联系电话：0991-4180820</w:t>
      </w:r>
    </w:p>
    <w:p>
      <w:pPr>
        <w:pStyle w:val="9"/>
        <w:rPr>
          <w:rFonts w:ascii="仿宋" w:hAnsi="仿宋" w:eastAsia="仿宋" w:cs="仿宋"/>
          <w:sz w:val="28"/>
          <w:szCs w:val="28"/>
        </w:rPr>
      </w:pPr>
    </w:p>
    <w:p>
      <w:pPr>
        <w:adjustRightInd w:val="0"/>
        <w:snapToGrid w:val="0"/>
        <w:spacing w:line="360" w:lineRule="auto"/>
        <w:rPr>
          <w:rFonts w:ascii="仿宋" w:hAnsi="仿宋" w:eastAsia="仿宋" w:cs="仿宋"/>
          <w:b/>
          <w:sz w:val="28"/>
          <w:szCs w:val="28"/>
        </w:rPr>
      </w:pPr>
    </w:p>
    <w:p>
      <w:pPr>
        <w:adjustRightInd w:val="0"/>
        <w:snapToGrid w:val="0"/>
        <w:spacing w:line="360" w:lineRule="auto"/>
        <w:jc w:val="center"/>
        <w:rPr>
          <w:rFonts w:ascii="仿宋" w:hAnsi="仿宋" w:eastAsia="仿宋" w:cs="仿宋"/>
          <w:b/>
          <w:bCs/>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2022年4月</w:t>
      </w:r>
    </w:p>
    <w:p>
      <w:pPr>
        <w:adjustRightInd w:val="0"/>
        <w:snapToGrid w:val="0"/>
        <w:spacing w:line="360" w:lineRule="auto"/>
        <w:jc w:val="center"/>
        <w:rPr>
          <w:rFonts w:ascii="仿宋" w:hAnsi="仿宋" w:eastAsia="仿宋" w:cs="仿宋"/>
          <w:b/>
          <w:bCs/>
          <w:sz w:val="28"/>
          <w:szCs w:val="28"/>
          <w:lang w:eastAsia="zh-Hans"/>
        </w:rPr>
      </w:pPr>
      <w:r>
        <w:rPr>
          <w:rFonts w:hint="eastAsia" w:ascii="仿宋" w:hAnsi="仿宋" w:eastAsia="仿宋" w:cs="仿宋"/>
          <w:b/>
          <w:bCs/>
          <w:sz w:val="28"/>
          <w:szCs w:val="28"/>
          <w:lang w:eastAsia="zh-Hans"/>
        </w:rPr>
        <w:t>招标文件须知</w:t>
      </w:r>
    </w:p>
    <w:p>
      <w:pPr>
        <w:adjustRightInd w:val="0"/>
        <w:snapToGrid w:val="0"/>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一、全文</w:t>
      </w:r>
      <w:r>
        <w:rPr>
          <w:rFonts w:hint="eastAsia" w:ascii="仿宋" w:hAnsi="仿宋" w:eastAsia="仿宋" w:cs="仿宋"/>
          <w:b/>
          <w:color w:val="000000"/>
          <w:sz w:val="28"/>
          <w:szCs w:val="28"/>
          <w:lang w:eastAsia="zh-Hans"/>
        </w:rPr>
        <w:t>招标文件</w:t>
      </w:r>
      <w:r>
        <w:rPr>
          <w:rFonts w:hint="eastAsia" w:ascii="仿宋" w:hAnsi="仿宋" w:eastAsia="仿宋" w:cs="仿宋"/>
          <w:b/>
          <w:color w:val="000000"/>
          <w:sz w:val="28"/>
          <w:szCs w:val="28"/>
        </w:rPr>
        <w:t>中重点加粗突出字体为重要内容，请投标人认真详细阅读，按照招标文件中的要求认真编制投标文件。</w:t>
      </w:r>
    </w:p>
    <w:p>
      <w:pPr>
        <w:adjustRightInd w:val="0"/>
        <w:snapToGrid w:val="0"/>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二、严禁弄虚作假、提供虚假材料和资质证明资料，一经发现，依照《中华人民共和国</w:t>
      </w:r>
      <w:r>
        <w:rPr>
          <w:rFonts w:hint="eastAsia" w:ascii="仿宋" w:hAnsi="仿宋" w:eastAsia="仿宋" w:cs="仿宋"/>
          <w:b/>
          <w:color w:val="000000"/>
          <w:sz w:val="28"/>
          <w:szCs w:val="28"/>
          <w:lang w:eastAsia="zh-Hans"/>
        </w:rPr>
        <w:t>政府采购法</w:t>
      </w:r>
      <w:r>
        <w:rPr>
          <w:rFonts w:hint="eastAsia" w:ascii="仿宋" w:hAnsi="仿宋" w:eastAsia="仿宋" w:cs="仿宋"/>
          <w:b/>
          <w:color w:val="000000"/>
          <w:sz w:val="28"/>
          <w:szCs w:val="28"/>
        </w:rPr>
        <w:t>》及其实施条例之规定从严处理。</w:t>
      </w:r>
    </w:p>
    <w:p>
      <w:pPr>
        <w:adjustRightInd w:val="0"/>
        <w:snapToGrid w:val="0"/>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三、投标人</w:t>
      </w:r>
      <w:r>
        <w:rPr>
          <w:rFonts w:hint="eastAsia" w:ascii="仿宋" w:hAnsi="仿宋" w:eastAsia="仿宋" w:cs="仿宋"/>
          <w:b/>
          <w:color w:val="000000"/>
          <w:sz w:val="28"/>
          <w:szCs w:val="28"/>
          <w:lang w:eastAsia="zh-Hans"/>
        </w:rPr>
        <w:t>获取</w:t>
      </w:r>
      <w:r>
        <w:rPr>
          <w:rFonts w:hint="eastAsia" w:ascii="仿宋" w:hAnsi="仿宋" w:eastAsia="仿宋" w:cs="仿宋"/>
          <w:b/>
          <w:color w:val="000000"/>
          <w:sz w:val="28"/>
          <w:szCs w:val="28"/>
        </w:rPr>
        <w:t>招标文件后即核查是否有遗漏，并请于领取招标文件后3日内立即与招标代理公司联系，否则因此而产生的后果，均由投标人自行承担。</w:t>
      </w:r>
    </w:p>
    <w:p>
      <w:pPr>
        <w:adjustRightInd w:val="0"/>
        <w:snapToGrid w:val="0"/>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四、严禁个人以现金或转账等形式递交投标保证金。</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color w:val="000000"/>
          <w:sz w:val="28"/>
          <w:szCs w:val="28"/>
        </w:rPr>
        <w:t>五、建议各投标人在投标截止时间前3日，按招标文件的要求向指定的账户递交投标保证金。投标保证金请以投标人的对公帐户汇入“保证金专用账户”，</w:t>
      </w:r>
      <w:r>
        <w:rPr>
          <w:rFonts w:hint="eastAsia" w:ascii="仿宋" w:hAnsi="仿宋" w:eastAsia="仿宋" w:cs="仿宋"/>
          <w:b/>
          <w:sz w:val="28"/>
          <w:szCs w:val="28"/>
        </w:rPr>
        <w:t xml:space="preserve"> 务必</w:t>
      </w:r>
      <w:r>
        <w:rPr>
          <w:rFonts w:hint="eastAsia" w:ascii="仿宋" w:hAnsi="仿宋" w:eastAsia="仿宋" w:cs="仿宋"/>
          <w:b/>
          <w:color w:val="000000"/>
          <w:sz w:val="28"/>
          <w:szCs w:val="28"/>
        </w:rPr>
        <w:t>将项目编</w:t>
      </w:r>
      <w:r>
        <w:rPr>
          <w:rFonts w:hint="eastAsia" w:ascii="仿宋" w:hAnsi="仿宋" w:eastAsia="仿宋" w:cs="仿宋"/>
          <w:b/>
          <w:sz w:val="28"/>
          <w:szCs w:val="28"/>
        </w:rPr>
        <w:t>号“ZSZC-FW-2022002标项X”投标保证金”字</w:t>
      </w:r>
      <w:r>
        <w:rPr>
          <w:rFonts w:hint="eastAsia" w:ascii="仿宋" w:hAnsi="仿宋" w:eastAsia="仿宋" w:cs="仿宋"/>
          <w:b/>
          <w:color w:val="000000"/>
          <w:sz w:val="28"/>
          <w:szCs w:val="28"/>
        </w:rPr>
        <w:t>样写在汇款用途栏里，</w:t>
      </w:r>
      <w:r>
        <w:rPr>
          <w:rFonts w:hint="eastAsia" w:ascii="仿宋" w:hAnsi="仿宋" w:eastAsia="仿宋" w:cs="仿宋"/>
          <w:b/>
          <w:sz w:val="28"/>
          <w:szCs w:val="28"/>
        </w:rPr>
        <w:t>否则，因款项用途不明导致投标无效等后果由投标人自行承担。投标截止时间之后递交的投标保证金将被拒绝。</w:t>
      </w:r>
    </w:p>
    <w:p>
      <w:pPr>
        <w:adjustRightInd w:val="0"/>
        <w:snapToGrid w:val="0"/>
        <w:spacing w:line="360" w:lineRule="auto"/>
        <w:ind w:firstLine="562" w:firstLineChars="200"/>
        <w:rPr>
          <w:rFonts w:ascii="仿宋" w:hAnsi="仿宋" w:eastAsia="仿宋" w:cs="仿宋"/>
          <w:b/>
          <w:sz w:val="28"/>
          <w:szCs w:val="28"/>
          <w:u w:val="single"/>
        </w:rPr>
      </w:pPr>
      <w:r>
        <w:rPr>
          <w:rFonts w:hint="eastAsia" w:ascii="仿宋" w:hAnsi="仿宋" w:eastAsia="仿宋" w:cs="仿宋"/>
          <w:b/>
          <w:bCs/>
          <w:sz w:val="28"/>
          <w:szCs w:val="28"/>
          <w:u w:val="single"/>
          <w:lang w:eastAsia="zh-Hans"/>
        </w:rPr>
        <w:t>汇款</w:t>
      </w:r>
      <w:r>
        <w:rPr>
          <w:rFonts w:hint="eastAsia" w:ascii="仿宋" w:hAnsi="仿宋" w:eastAsia="仿宋" w:cs="仿宋"/>
          <w:b/>
          <w:bCs/>
          <w:sz w:val="28"/>
          <w:szCs w:val="28"/>
          <w:u w:val="single"/>
        </w:rPr>
        <w:t>账户</w:t>
      </w:r>
    </w:p>
    <w:p>
      <w:pPr>
        <w:adjustRightInd w:val="0"/>
        <w:snapToGrid w:val="0"/>
        <w:spacing w:line="360" w:lineRule="auto"/>
        <w:ind w:firstLine="562" w:firstLineChars="200"/>
        <w:rPr>
          <w:rFonts w:ascii="仿宋" w:hAnsi="仿宋" w:eastAsia="仿宋" w:cs="仿宋"/>
          <w:b/>
          <w:sz w:val="28"/>
          <w:szCs w:val="28"/>
          <w:lang w:eastAsia="zh-Hans"/>
        </w:rPr>
      </w:pPr>
      <w:r>
        <w:rPr>
          <w:rFonts w:hint="eastAsia" w:ascii="仿宋" w:hAnsi="仿宋" w:eastAsia="仿宋" w:cs="仿宋"/>
          <w:b/>
          <w:sz w:val="28"/>
          <w:szCs w:val="28"/>
          <w:u w:val="single"/>
        </w:rPr>
        <w:t>单位名称：</w:t>
      </w:r>
      <w:r>
        <w:rPr>
          <w:rFonts w:hint="eastAsia" w:ascii="仿宋" w:hAnsi="仿宋" w:eastAsia="仿宋" w:cs="仿宋"/>
          <w:b/>
          <w:sz w:val="28"/>
          <w:szCs w:val="28"/>
          <w:u w:val="single"/>
          <w:lang w:eastAsia="zh-Hans"/>
        </w:rPr>
        <w:t>新疆筑石工程项目管理有限公司</w:t>
      </w:r>
    </w:p>
    <w:p>
      <w:pPr>
        <w:adjustRightInd w:val="0"/>
        <w:snapToGrid w:val="0"/>
        <w:spacing w:line="360" w:lineRule="auto"/>
        <w:ind w:firstLine="562" w:firstLineChars="200"/>
        <w:rPr>
          <w:rFonts w:ascii="仿宋" w:hAnsi="仿宋" w:eastAsia="仿宋" w:cs="仿宋"/>
          <w:b/>
          <w:sz w:val="28"/>
          <w:szCs w:val="28"/>
          <w:u w:val="single"/>
        </w:rPr>
      </w:pPr>
      <w:r>
        <w:rPr>
          <w:rFonts w:hint="eastAsia" w:ascii="仿宋" w:hAnsi="仿宋" w:eastAsia="仿宋" w:cs="仿宋"/>
          <w:b/>
          <w:sz w:val="28"/>
          <w:szCs w:val="28"/>
          <w:u w:val="single"/>
        </w:rPr>
        <w:t>开 户 行：</w:t>
      </w:r>
      <w:r>
        <w:rPr>
          <w:rFonts w:hint="eastAsia" w:ascii="仿宋" w:hAnsi="仿宋" w:eastAsia="仿宋" w:cs="仿宋"/>
          <w:b/>
          <w:sz w:val="28"/>
          <w:szCs w:val="28"/>
          <w:u w:val="single"/>
          <w:lang w:eastAsia="zh-Hans"/>
        </w:rPr>
        <w:t>中国农业银行股份有限公司乌鲁木齐七道湾支行</w:t>
      </w:r>
    </w:p>
    <w:p>
      <w:pPr>
        <w:adjustRightInd w:val="0"/>
        <w:snapToGrid w:val="0"/>
        <w:spacing w:line="360" w:lineRule="auto"/>
        <w:ind w:firstLine="562" w:firstLineChars="200"/>
        <w:rPr>
          <w:rFonts w:ascii="仿宋" w:hAnsi="仿宋" w:eastAsia="仿宋" w:cs="仿宋"/>
          <w:b/>
          <w:sz w:val="28"/>
          <w:szCs w:val="28"/>
          <w:u w:val="single"/>
        </w:rPr>
      </w:pPr>
      <w:r>
        <w:rPr>
          <w:rFonts w:hint="eastAsia" w:ascii="仿宋" w:hAnsi="仿宋" w:eastAsia="仿宋" w:cs="仿宋"/>
          <w:b/>
          <w:sz w:val="28"/>
          <w:szCs w:val="28"/>
          <w:u w:val="single"/>
        </w:rPr>
        <w:t xml:space="preserve">开户行号：103881001270 </w:t>
      </w:r>
    </w:p>
    <w:p>
      <w:pPr>
        <w:adjustRightInd w:val="0"/>
        <w:snapToGrid w:val="0"/>
        <w:spacing w:line="360" w:lineRule="auto"/>
        <w:ind w:firstLine="562" w:firstLineChars="200"/>
        <w:rPr>
          <w:rFonts w:ascii="仿宋" w:hAnsi="仿宋" w:eastAsia="仿宋" w:cs="仿宋"/>
          <w:b/>
          <w:sz w:val="28"/>
          <w:szCs w:val="28"/>
          <w:u w:val="single"/>
        </w:rPr>
      </w:pPr>
      <w:r>
        <w:rPr>
          <w:rFonts w:hint="eastAsia" w:ascii="仿宋" w:hAnsi="仿宋" w:eastAsia="仿宋" w:cs="仿宋"/>
          <w:b/>
          <w:sz w:val="28"/>
          <w:szCs w:val="28"/>
          <w:u w:val="single"/>
        </w:rPr>
        <w:t>账    号：30012701040007741</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六、填写投标单位名称、公章、汇款单位账户名称三者必须一致。否则，因此造成不便由投标人自行承担。</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七、投标人代表请务必填写真实、有效的联系人、联系电话及邮箱信息，以便后续工作及时与投标方取得联系。</w:t>
      </w:r>
    </w:p>
    <w:p>
      <w:pPr>
        <w:adjustRightInd w:val="0"/>
        <w:snapToGrid w:val="0"/>
        <w:spacing w:line="360" w:lineRule="auto"/>
        <w:jc w:val="center"/>
        <w:rPr>
          <w:rFonts w:ascii="仿宋" w:hAnsi="仿宋" w:eastAsia="仿宋" w:cs="仿宋"/>
          <w:b/>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adjustRightInd w:val="0"/>
        <w:snapToGrid w:val="0"/>
        <w:spacing w:line="360" w:lineRule="auto"/>
        <w:jc w:val="center"/>
        <w:rPr>
          <w:rFonts w:ascii="仿宋" w:hAnsi="仿宋" w:eastAsia="仿宋" w:cs="仿宋"/>
          <w:b/>
          <w:bCs/>
          <w:sz w:val="28"/>
          <w:szCs w:val="28"/>
          <w:lang w:eastAsia="zh-Hans"/>
        </w:rPr>
      </w:pPr>
      <w:r>
        <w:rPr>
          <w:rFonts w:hint="eastAsia" w:ascii="仿宋" w:hAnsi="仿宋" w:eastAsia="仿宋" w:cs="仿宋"/>
          <w:b/>
          <w:bCs/>
          <w:sz w:val="28"/>
          <w:szCs w:val="28"/>
          <w:lang w:eastAsia="zh-Hans"/>
        </w:rPr>
        <w:t>目录</w:t>
      </w:r>
    </w:p>
    <w:p>
      <w:pPr>
        <w:adjustRightInd w:val="0"/>
        <w:snapToGrid w:val="0"/>
        <w:spacing w:line="360" w:lineRule="auto"/>
        <w:jc w:val="center"/>
        <w:rPr>
          <w:rFonts w:ascii="仿宋" w:hAnsi="仿宋" w:eastAsia="仿宋" w:cs="仿宋"/>
          <w:b/>
          <w:bCs/>
          <w:sz w:val="28"/>
          <w:szCs w:val="28"/>
          <w:lang w:eastAsia="zh-Hans"/>
        </w:rPr>
      </w:pPr>
    </w:p>
    <w:sdt>
      <w:sdtPr>
        <w:rPr>
          <w:rFonts w:hint="eastAsia" w:ascii="仿宋" w:hAnsi="仿宋" w:eastAsia="仿宋" w:cs="仿宋"/>
          <w:b/>
          <w:bCs/>
          <w:kern w:val="2"/>
          <w:sz w:val="28"/>
          <w:szCs w:val="28"/>
        </w:rPr>
        <w:id w:val="873039943"/>
      </w:sdtPr>
      <w:sdtEndPr>
        <w:rPr>
          <w:rFonts w:hint="eastAsia" w:ascii="仿宋" w:hAnsi="仿宋" w:eastAsia="仿宋" w:cs="仿宋"/>
          <w:b/>
          <w:bCs/>
          <w:kern w:val="2"/>
          <w:sz w:val="28"/>
          <w:szCs w:val="28"/>
        </w:rPr>
      </w:sdtEndPr>
      <w:sdtContent>
        <w:p>
          <w:pPr>
            <w:pStyle w:val="35"/>
            <w:tabs>
              <w:tab w:val="right" w:leader="dot" w:pos="8306"/>
            </w:tabs>
            <w:adjustRightInd w:val="0"/>
            <w:snapToGrid w:val="0"/>
            <w:spacing w:line="360" w:lineRule="auto"/>
            <w:rPr>
              <w:rFonts w:ascii="仿宋" w:hAnsi="仿宋" w:eastAsia="仿宋" w:cs="仿宋"/>
              <w:b/>
              <w:bCs/>
              <w:kern w:val="2"/>
              <w:sz w:val="28"/>
              <w:szCs w:val="28"/>
            </w:rPr>
          </w:pPr>
        </w:p>
        <w:sdt>
          <w:sdtPr>
            <w:rPr>
              <w:rFonts w:hint="eastAsia" w:ascii="仿宋" w:hAnsi="仿宋" w:eastAsia="仿宋" w:cs="仿宋"/>
              <w:b/>
              <w:bCs/>
              <w:sz w:val="28"/>
              <w:szCs w:val="28"/>
            </w:rPr>
            <w:id w:val="2"/>
          </w:sdtPr>
          <w:sdtEndPr>
            <w:rPr>
              <w:rFonts w:hint="eastAsia" w:ascii="仿宋" w:hAnsi="仿宋" w:eastAsia="仿宋" w:cs="仿宋"/>
              <w:b/>
              <w:bCs/>
              <w:sz w:val="28"/>
              <w:szCs w:val="28"/>
            </w:rPr>
          </w:sdtEndPr>
          <w:sdtContent>
            <w:p>
              <w:pPr>
                <w:adjustRightInd w:val="0"/>
                <w:snapToGrid w:val="0"/>
                <w:spacing w:line="360" w:lineRule="auto"/>
                <w:jc w:val="center"/>
                <w:rPr>
                  <w:rFonts w:ascii="仿宋" w:hAnsi="仿宋" w:eastAsia="仿宋" w:cs="仿宋"/>
                  <w:b/>
                  <w:bCs/>
                  <w:sz w:val="28"/>
                  <w:szCs w:val="28"/>
                </w:rPr>
              </w:pPr>
              <w:bookmarkStart w:id="0" w:name="_Toc916278269_WPSOffice_Type1"/>
            </w:p>
            <w:p>
              <w:pPr>
                <w:pStyle w:val="35"/>
                <w:tabs>
                  <w:tab w:val="right" w:leader="dot" w:pos="8306"/>
                </w:tabs>
                <w:adjustRightInd w:val="0"/>
                <w:snapToGrid w:val="0"/>
                <w:spacing w:line="360" w:lineRule="auto"/>
                <w:rPr>
                  <w:rFonts w:ascii="仿宋" w:hAnsi="仿宋" w:eastAsia="仿宋" w:cs="仿宋"/>
                  <w:b/>
                  <w:bCs/>
                  <w:sz w:val="28"/>
                  <w:szCs w:val="28"/>
                </w:rPr>
              </w:pPr>
              <w:r>
                <w:rPr>
                  <w:sz w:val="28"/>
                  <w:szCs w:val="28"/>
                </w:rPr>
                <w:fldChar w:fldCharType="begin"/>
              </w:r>
              <w:r>
                <w:rPr>
                  <w:sz w:val="28"/>
                  <w:szCs w:val="28"/>
                </w:rPr>
                <w:instrText xml:space="preserve"> HYPERLINK \l "_Toc2106484703_WPSOffice_Level1" </w:instrText>
              </w:r>
              <w:r>
                <w:rPr>
                  <w:sz w:val="28"/>
                  <w:szCs w:val="28"/>
                </w:rPr>
                <w:fldChar w:fldCharType="separate"/>
              </w:r>
              <w:sdt>
                <w:sdtPr>
                  <w:rPr>
                    <w:rFonts w:hint="eastAsia" w:ascii="仿宋" w:hAnsi="仿宋" w:eastAsia="仿宋" w:cs="仿宋"/>
                    <w:b/>
                    <w:bCs/>
                    <w:sz w:val="28"/>
                    <w:szCs w:val="28"/>
                  </w:rPr>
                  <w:id w:val="540634351"/>
                </w:sdtPr>
                <w:sdtEndPr>
                  <w:rPr>
                    <w:rFonts w:hint="eastAsia" w:ascii="仿宋" w:hAnsi="仿宋" w:eastAsia="仿宋" w:cs="仿宋"/>
                    <w:b/>
                    <w:bCs/>
                    <w:sz w:val="28"/>
                    <w:szCs w:val="28"/>
                  </w:rPr>
                </w:sdtEndPr>
                <w:sdtContent>
                  <w:r>
                    <w:rPr>
                      <w:rFonts w:hint="eastAsia" w:ascii="仿宋" w:hAnsi="仿宋" w:eastAsia="仿宋" w:cs="仿宋"/>
                      <w:b/>
                      <w:bCs/>
                      <w:sz w:val="28"/>
                      <w:szCs w:val="28"/>
                    </w:rPr>
                    <w:t>第一章 招标公告</w:t>
                  </w:r>
                </w:sdtContent>
              </w:sdt>
              <w:r>
                <w:rPr>
                  <w:rFonts w:hint="eastAsia" w:ascii="仿宋" w:hAnsi="仿宋" w:eastAsia="仿宋" w:cs="仿宋"/>
                  <w:b/>
                  <w:bCs/>
                  <w:sz w:val="28"/>
                  <w:szCs w:val="28"/>
                </w:rPr>
                <w:tab/>
              </w:r>
              <w:bookmarkStart w:id="1" w:name="_Toc2106484703_WPSOffice_Level1Page"/>
              <w:r>
                <w:rPr>
                  <w:rFonts w:hint="eastAsia" w:ascii="仿宋" w:hAnsi="仿宋" w:eastAsia="仿宋" w:cs="仿宋"/>
                  <w:b/>
                  <w:bCs/>
                  <w:sz w:val="28"/>
                  <w:szCs w:val="28"/>
                </w:rPr>
                <w:t>3</w:t>
              </w:r>
              <w:bookmarkEnd w:id="1"/>
              <w:r>
                <w:rPr>
                  <w:rFonts w:hint="eastAsia" w:ascii="仿宋" w:hAnsi="仿宋" w:eastAsia="仿宋" w:cs="仿宋"/>
                  <w:b/>
                  <w:bCs/>
                  <w:sz w:val="28"/>
                  <w:szCs w:val="28"/>
                </w:rPr>
                <w:fldChar w:fldCharType="end"/>
              </w:r>
            </w:p>
            <w:p>
              <w:pPr>
                <w:pStyle w:val="35"/>
                <w:tabs>
                  <w:tab w:val="right" w:leader="dot" w:pos="8306"/>
                </w:tabs>
                <w:adjustRightInd w:val="0"/>
                <w:snapToGrid w:val="0"/>
                <w:spacing w:line="360" w:lineRule="auto"/>
                <w:rPr>
                  <w:rFonts w:ascii="仿宋" w:hAnsi="仿宋" w:eastAsia="仿宋" w:cs="仿宋"/>
                  <w:b/>
                  <w:bCs/>
                  <w:sz w:val="28"/>
                  <w:szCs w:val="28"/>
                </w:rPr>
              </w:pPr>
              <w:r>
                <w:rPr>
                  <w:sz w:val="28"/>
                  <w:szCs w:val="28"/>
                </w:rPr>
                <w:fldChar w:fldCharType="begin"/>
              </w:r>
              <w:r>
                <w:rPr>
                  <w:sz w:val="28"/>
                  <w:szCs w:val="28"/>
                </w:rPr>
                <w:instrText xml:space="preserve"> HYPERLINK \l "_Toc916278269_WPSOffice_Level1" </w:instrText>
              </w:r>
              <w:r>
                <w:rPr>
                  <w:sz w:val="28"/>
                  <w:szCs w:val="28"/>
                </w:rPr>
                <w:fldChar w:fldCharType="separate"/>
              </w:r>
              <w:sdt>
                <w:sdtPr>
                  <w:rPr>
                    <w:rFonts w:hint="eastAsia" w:ascii="仿宋" w:hAnsi="仿宋" w:eastAsia="仿宋" w:cs="仿宋"/>
                    <w:b/>
                    <w:bCs/>
                    <w:sz w:val="28"/>
                    <w:szCs w:val="28"/>
                  </w:rPr>
                  <w:id w:val="1526826504"/>
                </w:sdtPr>
                <w:sdtEndPr>
                  <w:rPr>
                    <w:rFonts w:hint="eastAsia" w:ascii="仿宋" w:hAnsi="仿宋" w:eastAsia="仿宋" w:cs="仿宋"/>
                    <w:b/>
                    <w:bCs/>
                    <w:sz w:val="28"/>
                    <w:szCs w:val="28"/>
                  </w:rPr>
                </w:sdtEndPr>
                <w:sdtContent>
                  <w:r>
                    <w:rPr>
                      <w:rFonts w:hint="eastAsia" w:ascii="仿宋" w:hAnsi="仿宋" w:eastAsia="仿宋" w:cs="仿宋"/>
                      <w:b/>
                      <w:bCs/>
                      <w:sz w:val="28"/>
                      <w:szCs w:val="28"/>
                    </w:rPr>
                    <w:t>第二章 投标须知</w:t>
                  </w:r>
                </w:sdtContent>
              </w:sdt>
              <w:r>
                <w:rPr>
                  <w:rFonts w:hint="eastAsia" w:ascii="仿宋" w:hAnsi="仿宋" w:eastAsia="仿宋" w:cs="仿宋"/>
                  <w:b/>
                  <w:bCs/>
                  <w:sz w:val="28"/>
                  <w:szCs w:val="28"/>
                </w:rPr>
                <w:tab/>
              </w:r>
              <w:bookmarkStart w:id="2" w:name="_Toc916278269_WPSOffice_Level1Page"/>
              <w:r>
                <w:rPr>
                  <w:rFonts w:hint="eastAsia" w:ascii="仿宋" w:hAnsi="仿宋" w:eastAsia="仿宋" w:cs="仿宋"/>
                  <w:b/>
                  <w:bCs/>
                  <w:sz w:val="28"/>
                  <w:szCs w:val="28"/>
                </w:rPr>
                <w:t>7</w:t>
              </w:r>
              <w:bookmarkEnd w:id="2"/>
              <w:r>
                <w:rPr>
                  <w:rFonts w:hint="eastAsia" w:ascii="仿宋" w:hAnsi="仿宋" w:eastAsia="仿宋" w:cs="仿宋"/>
                  <w:b/>
                  <w:bCs/>
                  <w:sz w:val="28"/>
                  <w:szCs w:val="28"/>
                </w:rPr>
                <w:fldChar w:fldCharType="end"/>
              </w:r>
            </w:p>
            <w:p>
              <w:pPr>
                <w:pStyle w:val="35"/>
                <w:tabs>
                  <w:tab w:val="right" w:leader="dot" w:pos="8306"/>
                </w:tabs>
                <w:adjustRightInd w:val="0"/>
                <w:snapToGrid w:val="0"/>
                <w:spacing w:line="360" w:lineRule="auto"/>
                <w:rPr>
                  <w:rFonts w:ascii="仿宋" w:hAnsi="仿宋" w:eastAsia="仿宋" w:cs="仿宋"/>
                  <w:b/>
                  <w:bCs/>
                  <w:sz w:val="28"/>
                  <w:szCs w:val="28"/>
                </w:rPr>
              </w:pPr>
              <w:r>
                <w:rPr>
                  <w:sz w:val="28"/>
                  <w:szCs w:val="28"/>
                </w:rPr>
                <w:fldChar w:fldCharType="begin"/>
              </w:r>
              <w:r>
                <w:rPr>
                  <w:sz w:val="28"/>
                  <w:szCs w:val="28"/>
                </w:rPr>
                <w:instrText xml:space="preserve"> HYPERLINK \l "_Toc283634446_WPSOffice_Level1" </w:instrText>
              </w:r>
              <w:r>
                <w:rPr>
                  <w:sz w:val="28"/>
                  <w:szCs w:val="28"/>
                </w:rPr>
                <w:fldChar w:fldCharType="separate"/>
              </w:r>
              <w:sdt>
                <w:sdtPr>
                  <w:rPr>
                    <w:rStyle w:val="27"/>
                    <w:rFonts w:hint="eastAsia" w:ascii="仿宋" w:hAnsi="仿宋" w:eastAsia="仿宋" w:cs="仿宋"/>
                    <w:b/>
                    <w:bCs/>
                    <w:sz w:val="28"/>
                    <w:szCs w:val="28"/>
                    <w:u w:val="none"/>
                  </w:rPr>
                  <w:id w:val="791413605"/>
                </w:sdtPr>
                <w:sdtEndPr>
                  <w:rPr>
                    <w:rStyle w:val="27"/>
                    <w:rFonts w:hint="eastAsia" w:ascii="仿宋" w:hAnsi="仿宋" w:eastAsia="仿宋" w:cs="仿宋"/>
                    <w:b/>
                    <w:bCs/>
                    <w:sz w:val="28"/>
                    <w:szCs w:val="28"/>
                    <w:u w:val="none"/>
                  </w:rPr>
                </w:sdtEndPr>
                <w:sdtContent>
                  <w:r>
                    <w:rPr>
                      <w:rStyle w:val="27"/>
                      <w:rFonts w:hint="eastAsia" w:ascii="仿宋" w:hAnsi="仿宋" w:eastAsia="仿宋" w:cs="仿宋"/>
                      <w:b/>
                      <w:bCs/>
                      <w:sz w:val="28"/>
                      <w:szCs w:val="28"/>
                      <w:u w:val="none"/>
                    </w:rPr>
                    <w:t>第三章 评标办法（综合评分法）</w:t>
                  </w:r>
                </w:sdtContent>
              </w:sdt>
              <w:r>
                <w:rPr>
                  <w:rStyle w:val="27"/>
                  <w:rFonts w:hint="eastAsia" w:ascii="仿宋" w:hAnsi="仿宋" w:eastAsia="仿宋" w:cs="仿宋"/>
                  <w:b/>
                  <w:bCs/>
                  <w:sz w:val="28"/>
                  <w:szCs w:val="28"/>
                  <w:u w:val="none"/>
                </w:rPr>
                <w:tab/>
              </w:r>
              <w:bookmarkStart w:id="3" w:name="_Toc283634446_WPSOffice_Level1Page"/>
              <w:r>
                <w:rPr>
                  <w:rStyle w:val="27"/>
                  <w:rFonts w:hint="eastAsia" w:ascii="仿宋" w:hAnsi="仿宋" w:eastAsia="仿宋" w:cs="仿宋"/>
                  <w:b/>
                  <w:bCs/>
                  <w:sz w:val="28"/>
                  <w:szCs w:val="28"/>
                  <w:u w:val="none"/>
                </w:rPr>
                <w:t>31</w:t>
              </w:r>
              <w:bookmarkEnd w:id="3"/>
              <w:r>
                <w:rPr>
                  <w:rStyle w:val="27"/>
                  <w:rFonts w:hint="eastAsia" w:ascii="仿宋" w:hAnsi="仿宋" w:eastAsia="仿宋" w:cs="仿宋"/>
                  <w:b/>
                  <w:bCs/>
                  <w:sz w:val="28"/>
                  <w:szCs w:val="28"/>
                  <w:u w:val="none"/>
                </w:rPr>
                <w:fldChar w:fldCharType="end"/>
              </w:r>
            </w:p>
            <w:p>
              <w:pPr>
                <w:pStyle w:val="35"/>
                <w:tabs>
                  <w:tab w:val="right" w:leader="dot" w:pos="8306"/>
                </w:tabs>
                <w:adjustRightInd w:val="0"/>
                <w:snapToGrid w:val="0"/>
                <w:spacing w:line="360" w:lineRule="auto"/>
                <w:rPr>
                  <w:rFonts w:ascii="仿宋" w:hAnsi="仿宋" w:eastAsia="仿宋" w:cs="仿宋"/>
                  <w:b/>
                  <w:bCs/>
                  <w:sz w:val="28"/>
                  <w:szCs w:val="28"/>
                </w:rPr>
              </w:pPr>
              <w:r>
                <w:rPr>
                  <w:sz w:val="28"/>
                  <w:szCs w:val="28"/>
                </w:rPr>
                <w:fldChar w:fldCharType="begin"/>
              </w:r>
              <w:r>
                <w:rPr>
                  <w:sz w:val="28"/>
                  <w:szCs w:val="28"/>
                </w:rPr>
                <w:instrText xml:space="preserve"> HYPERLINK \l "_Toc1777921229_WPSOffice_Level1" </w:instrText>
              </w:r>
              <w:r>
                <w:rPr>
                  <w:sz w:val="28"/>
                  <w:szCs w:val="28"/>
                </w:rPr>
                <w:fldChar w:fldCharType="separate"/>
              </w:r>
              <w:sdt>
                <w:sdtPr>
                  <w:rPr>
                    <w:rFonts w:hint="eastAsia" w:ascii="仿宋" w:hAnsi="仿宋" w:eastAsia="仿宋" w:cs="仿宋"/>
                    <w:b/>
                    <w:bCs/>
                    <w:sz w:val="28"/>
                    <w:szCs w:val="28"/>
                  </w:rPr>
                  <w:id w:val="1988280200"/>
                </w:sdtPr>
                <w:sdtEndPr>
                  <w:rPr>
                    <w:rFonts w:hint="eastAsia" w:ascii="仿宋" w:hAnsi="仿宋" w:eastAsia="仿宋" w:cs="仿宋"/>
                    <w:b/>
                    <w:bCs/>
                    <w:sz w:val="28"/>
                    <w:szCs w:val="28"/>
                  </w:rPr>
                </w:sdtEndPr>
                <w:sdtContent>
                  <w:r>
                    <w:rPr>
                      <w:rFonts w:hint="eastAsia" w:ascii="仿宋" w:hAnsi="仿宋" w:eastAsia="仿宋" w:cs="仿宋"/>
                      <w:b/>
                      <w:bCs/>
                      <w:sz w:val="28"/>
                      <w:szCs w:val="28"/>
                    </w:rPr>
                    <w:t>第四章 合同主要条款</w:t>
                  </w:r>
                </w:sdtContent>
              </w:sdt>
              <w:r>
                <w:rPr>
                  <w:rFonts w:hint="eastAsia" w:ascii="仿宋" w:hAnsi="仿宋" w:eastAsia="仿宋" w:cs="仿宋"/>
                  <w:b/>
                  <w:bCs/>
                  <w:sz w:val="28"/>
                  <w:szCs w:val="28"/>
                </w:rPr>
                <w:tab/>
              </w:r>
              <w:bookmarkStart w:id="4" w:name="_Toc1777921229_WPSOffice_Level1Page"/>
              <w:r>
                <w:rPr>
                  <w:rFonts w:hint="eastAsia" w:ascii="仿宋" w:hAnsi="仿宋" w:eastAsia="仿宋" w:cs="仿宋"/>
                  <w:b/>
                  <w:bCs/>
                  <w:sz w:val="28"/>
                  <w:szCs w:val="28"/>
                </w:rPr>
                <w:t>40</w:t>
              </w:r>
              <w:bookmarkEnd w:id="4"/>
              <w:r>
                <w:rPr>
                  <w:rFonts w:hint="eastAsia" w:ascii="仿宋" w:hAnsi="仿宋" w:eastAsia="仿宋" w:cs="仿宋"/>
                  <w:b/>
                  <w:bCs/>
                  <w:sz w:val="28"/>
                  <w:szCs w:val="28"/>
                </w:rPr>
                <w:fldChar w:fldCharType="end"/>
              </w:r>
            </w:p>
            <w:p>
              <w:pPr>
                <w:pStyle w:val="35"/>
                <w:tabs>
                  <w:tab w:val="right" w:leader="dot" w:pos="8306"/>
                </w:tabs>
                <w:adjustRightInd w:val="0"/>
                <w:snapToGrid w:val="0"/>
                <w:spacing w:line="360" w:lineRule="auto"/>
                <w:rPr>
                  <w:rFonts w:ascii="仿宋" w:hAnsi="仿宋" w:eastAsia="仿宋" w:cs="仿宋"/>
                  <w:b/>
                  <w:bCs/>
                  <w:sz w:val="28"/>
                  <w:szCs w:val="28"/>
                </w:rPr>
              </w:pPr>
              <w:r>
                <w:rPr>
                  <w:sz w:val="28"/>
                  <w:szCs w:val="28"/>
                </w:rPr>
                <w:fldChar w:fldCharType="begin"/>
              </w:r>
              <w:r>
                <w:rPr>
                  <w:sz w:val="28"/>
                  <w:szCs w:val="28"/>
                </w:rPr>
                <w:instrText xml:space="preserve"> HYPERLINK \l "_Toc1434631445_WPSOffice_Level1" </w:instrText>
              </w:r>
              <w:r>
                <w:rPr>
                  <w:sz w:val="28"/>
                  <w:szCs w:val="28"/>
                </w:rPr>
                <w:fldChar w:fldCharType="separate"/>
              </w:r>
              <w:sdt>
                <w:sdtPr>
                  <w:rPr>
                    <w:rFonts w:hint="eastAsia" w:ascii="仿宋" w:hAnsi="仿宋" w:eastAsia="仿宋" w:cs="仿宋"/>
                    <w:b/>
                    <w:bCs/>
                    <w:sz w:val="28"/>
                    <w:szCs w:val="28"/>
                  </w:rPr>
                  <w:id w:val="597144901"/>
                </w:sdtPr>
                <w:sdtEndPr>
                  <w:rPr>
                    <w:rFonts w:hint="eastAsia" w:ascii="仿宋" w:hAnsi="仿宋" w:eastAsia="仿宋" w:cs="仿宋"/>
                    <w:b/>
                    <w:bCs/>
                    <w:sz w:val="28"/>
                    <w:szCs w:val="28"/>
                  </w:rPr>
                </w:sdtEndPr>
                <w:sdtContent>
                  <w:r>
                    <w:rPr>
                      <w:rFonts w:hint="eastAsia" w:ascii="仿宋" w:hAnsi="仿宋" w:eastAsia="仿宋" w:cs="仿宋"/>
                      <w:b/>
                      <w:bCs/>
                      <w:sz w:val="28"/>
                      <w:szCs w:val="28"/>
                    </w:rPr>
                    <w:t>第五章 采购需求</w:t>
                  </w:r>
                </w:sdtContent>
              </w:sdt>
              <w:r>
                <w:rPr>
                  <w:rFonts w:hint="eastAsia" w:ascii="仿宋" w:hAnsi="仿宋" w:eastAsia="仿宋" w:cs="仿宋"/>
                  <w:b/>
                  <w:bCs/>
                  <w:sz w:val="28"/>
                  <w:szCs w:val="28"/>
                </w:rPr>
                <w:tab/>
              </w:r>
              <w:bookmarkStart w:id="5" w:name="_Toc1434631445_WPSOffice_Level1Page"/>
              <w:r>
                <w:rPr>
                  <w:rFonts w:hint="eastAsia" w:ascii="仿宋" w:hAnsi="仿宋" w:eastAsia="仿宋" w:cs="仿宋"/>
                  <w:b/>
                  <w:bCs/>
                  <w:sz w:val="28"/>
                  <w:szCs w:val="28"/>
                </w:rPr>
                <w:t>44</w:t>
              </w:r>
              <w:bookmarkEnd w:id="5"/>
              <w:r>
                <w:rPr>
                  <w:rFonts w:hint="eastAsia" w:ascii="仿宋" w:hAnsi="仿宋" w:eastAsia="仿宋" w:cs="仿宋"/>
                  <w:b/>
                  <w:bCs/>
                  <w:sz w:val="28"/>
                  <w:szCs w:val="28"/>
                </w:rPr>
                <w:fldChar w:fldCharType="end"/>
              </w:r>
            </w:p>
            <w:p>
              <w:pPr>
                <w:pStyle w:val="35"/>
                <w:tabs>
                  <w:tab w:val="right" w:leader="dot" w:pos="8306"/>
                </w:tabs>
                <w:adjustRightInd w:val="0"/>
                <w:snapToGrid w:val="0"/>
                <w:spacing w:line="360" w:lineRule="auto"/>
                <w:rPr>
                  <w:rFonts w:ascii="仿宋" w:hAnsi="仿宋" w:eastAsia="仿宋" w:cs="仿宋"/>
                  <w:b/>
                  <w:bCs/>
                  <w:sz w:val="28"/>
                  <w:szCs w:val="28"/>
                </w:rPr>
              </w:pPr>
              <w:r>
                <w:rPr>
                  <w:sz w:val="28"/>
                  <w:szCs w:val="28"/>
                </w:rPr>
                <w:fldChar w:fldCharType="begin"/>
              </w:r>
              <w:r>
                <w:rPr>
                  <w:sz w:val="28"/>
                  <w:szCs w:val="28"/>
                </w:rPr>
                <w:instrText xml:space="preserve"> HYPERLINK \l "_Toc2051791246_WPSOffice_Level1" </w:instrText>
              </w:r>
              <w:r>
                <w:rPr>
                  <w:sz w:val="28"/>
                  <w:szCs w:val="28"/>
                </w:rPr>
                <w:fldChar w:fldCharType="separate"/>
              </w:r>
              <w:sdt>
                <w:sdtPr>
                  <w:rPr>
                    <w:rFonts w:hint="eastAsia" w:ascii="仿宋" w:hAnsi="仿宋" w:eastAsia="仿宋" w:cs="仿宋"/>
                    <w:b/>
                    <w:bCs/>
                    <w:sz w:val="28"/>
                    <w:szCs w:val="28"/>
                  </w:rPr>
                  <w:id w:val="1899786271"/>
                </w:sdtPr>
                <w:sdtEndPr>
                  <w:rPr>
                    <w:rFonts w:hint="eastAsia" w:ascii="仿宋" w:hAnsi="仿宋" w:eastAsia="仿宋" w:cs="仿宋"/>
                    <w:b/>
                    <w:bCs/>
                    <w:sz w:val="28"/>
                    <w:szCs w:val="28"/>
                  </w:rPr>
                </w:sdtEndPr>
                <w:sdtContent>
                  <w:r>
                    <w:rPr>
                      <w:rFonts w:hint="eastAsia" w:ascii="仿宋" w:hAnsi="仿宋" w:eastAsia="仿宋" w:cs="仿宋"/>
                      <w:b/>
                      <w:bCs/>
                      <w:sz w:val="28"/>
                      <w:szCs w:val="28"/>
                    </w:rPr>
                    <w:t>第六章 投标文件主要参考格式</w:t>
                  </w:r>
                </w:sdtContent>
              </w:sdt>
              <w:r>
                <w:rPr>
                  <w:rFonts w:hint="eastAsia" w:ascii="仿宋" w:hAnsi="仿宋" w:eastAsia="仿宋" w:cs="仿宋"/>
                  <w:b/>
                  <w:bCs/>
                  <w:sz w:val="28"/>
                  <w:szCs w:val="28"/>
                </w:rPr>
                <w:tab/>
              </w:r>
              <w:bookmarkStart w:id="6" w:name="_Toc2051791246_WPSOffice_Level1Page"/>
              <w:r>
                <w:rPr>
                  <w:rFonts w:hint="eastAsia" w:ascii="仿宋" w:hAnsi="仿宋" w:eastAsia="仿宋" w:cs="仿宋"/>
                  <w:b/>
                  <w:bCs/>
                  <w:sz w:val="28"/>
                  <w:szCs w:val="28"/>
                </w:rPr>
                <w:t>75</w:t>
              </w:r>
              <w:bookmarkEnd w:id="6"/>
              <w:r>
                <w:rPr>
                  <w:rFonts w:hint="eastAsia" w:ascii="仿宋" w:hAnsi="仿宋" w:eastAsia="仿宋" w:cs="仿宋"/>
                  <w:b/>
                  <w:bCs/>
                  <w:sz w:val="28"/>
                  <w:szCs w:val="28"/>
                </w:rPr>
                <w:fldChar w:fldCharType="end"/>
              </w:r>
              <w:bookmarkEnd w:id="0"/>
            </w:p>
            <w:p>
              <w:pPr>
                <w:adjustRightInd w:val="0"/>
                <w:snapToGrid w:val="0"/>
                <w:spacing w:line="360" w:lineRule="auto"/>
                <w:jc w:val="center"/>
                <w:rPr>
                  <w:rFonts w:ascii="仿宋" w:hAnsi="仿宋" w:eastAsia="仿宋" w:cs="仿宋"/>
                  <w:b/>
                  <w:bCs/>
                  <w:sz w:val="28"/>
                  <w:szCs w:val="28"/>
                  <w:lang w:eastAsia="zh-Hans"/>
                </w:rPr>
                <w:sectPr>
                  <w:pgSz w:w="11906" w:h="16838"/>
                  <w:pgMar w:top="1440" w:right="1800" w:bottom="1440" w:left="1800" w:header="851" w:footer="992" w:gutter="0"/>
                  <w:cols w:space="425" w:num="1"/>
                  <w:docGrid w:type="lines" w:linePitch="312" w:charSpace="0"/>
                </w:sectPr>
              </w:pPr>
            </w:p>
          </w:sdtContent>
        </w:sdt>
      </w:sdtContent>
    </w:sdt>
    <w:p>
      <w:pPr>
        <w:pStyle w:val="3"/>
        <w:rPr>
          <w:rFonts w:ascii="仿宋" w:hAnsi="仿宋" w:eastAsia="仿宋" w:cs="仿宋"/>
          <w:sz w:val="28"/>
          <w:szCs w:val="28"/>
          <w:lang w:eastAsia="zh-Hans"/>
        </w:rPr>
      </w:pPr>
      <w:bookmarkStart w:id="7" w:name="_Toc2106484703_WPSOffice_Level1"/>
      <w:bookmarkStart w:id="8" w:name="_Toc823684507_WPSOffice_Level1"/>
      <w:r>
        <w:rPr>
          <w:rFonts w:hint="eastAsia" w:ascii="仿宋" w:hAnsi="仿宋" w:eastAsia="仿宋" w:cs="仿宋"/>
          <w:sz w:val="28"/>
          <w:szCs w:val="28"/>
          <w:lang w:eastAsia="zh-Hans"/>
        </w:rPr>
        <w:t>第一章 招标公告</w:t>
      </w:r>
      <w:bookmarkEnd w:id="7"/>
    </w:p>
    <w:p>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bCs/>
          <w:sz w:val="28"/>
          <w:szCs w:val="28"/>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663575</wp:posOffset>
                </wp:positionV>
                <wp:extent cx="5782310" cy="1755775"/>
                <wp:effectExtent l="4445" t="4445" r="23495" b="11430"/>
                <wp:wrapNone/>
                <wp:docPr id="5" name="文本框 5"/>
                <wp:cNvGraphicFramePr/>
                <a:graphic xmlns:a="http://schemas.openxmlformats.org/drawingml/2006/main">
                  <a:graphicData uri="http://schemas.microsoft.com/office/word/2010/wordprocessingShape">
                    <wps:wsp>
                      <wps:cNvSpPr txBox="1"/>
                      <wps:spPr>
                        <a:xfrm>
                          <a:off x="1030605" y="1481455"/>
                          <a:ext cx="5782310" cy="175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ascii="仿宋" w:hAnsi="仿宋" w:eastAsia="仿宋" w:cs="仿宋"/>
                                <w:b/>
                                <w:bCs/>
                                <w:sz w:val="28"/>
                                <w:szCs w:val="28"/>
                              </w:rPr>
                            </w:pPr>
                            <w:r>
                              <w:rPr>
                                <w:rFonts w:hint="eastAsia" w:ascii="仿宋" w:hAnsi="仿宋" w:eastAsia="仿宋" w:cs="仿宋"/>
                                <w:b/>
                                <w:bCs/>
                                <w:sz w:val="28"/>
                                <w:szCs w:val="28"/>
                              </w:rPr>
                              <w:t>项目概况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水磨沟区</w:t>
                            </w:r>
                            <w:r>
                              <w:rPr>
                                <w:rFonts w:hint="eastAsia" w:ascii="仿宋" w:hAnsi="仿宋" w:eastAsia="仿宋" w:cs="仿宋"/>
                                <w:sz w:val="28"/>
                                <w:szCs w:val="28"/>
                                <w:lang w:eastAsia="zh-CN" w:bidi="ar"/>
                              </w:rPr>
                              <w:t xml:space="preserve"> </w:t>
                            </w:r>
                            <w:r>
                              <w:rPr>
                                <w:rFonts w:hint="eastAsia" w:ascii="仿宋" w:hAnsi="仿宋" w:eastAsia="仿宋" w:cs="仿宋"/>
                                <w:sz w:val="28"/>
                                <w:szCs w:val="28"/>
                                <w:lang w:bidi="ar"/>
                              </w:rPr>
                              <w:t>相关设备专线链路租赁</w:t>
                            </w:r>
                            <w:r>
                              <w:rPr>
                                <w:rFonts w:hint="eastAsia" w:ascii="仿宋" w:hAnsi="仿宋" w:eastAsia="仿宋" w:cs="仿宋"/>
                                <w:sz w:val="28"/>
                                <w:szCs w:val="28"/>
                              </w:rPr>
                              <w:t>采购的潜在投标人应在</w:t>
                            </w:r>
                            <w:r>
                              <w:rPr>
                                <w:rFonts w:hint="eastAsia" w:ascii="仿宋" w:hAnsi="仿宋" w:eastAsia="仿宋" w:cs="仿宋"/>
                                <w:sz w:val="28"/>
                                <w:szCs w:val="28"/>
                                <w:lang w:bidi="ar"/>
                              </w:rPr>
                              <w:t>新疆乌鲁木齐市</w:t>
                            </w:r>
                            <w:r>
                              <w:rPr>
                                <w:rFonts w:hint="eastAsia" w:ascii="仿宋" w:hAnsi="仿宋" w:eastAsia="仿宋" w:cs="仿宋"/>
                                <w:sz w:val="28"/>
                                <w:szCs w:val="28"/>
                                <w:lang w:eastAsia="zh-Hans" w:bidi="ar"/>
                              </w:rPr>
                              <w:t>水磨沟区鸿泰路66号万科大都会9号楼506</w:t>
                            </w:r>
                            <w:r>
                              <w:rPr>
                                <w:rFonts w:hint="eastAsia" w:ascii="仿宋" w:hAnsi="仿宋" w:eastAsia="仿宋" w:cs="仿宋"/>
                                <w:sz w:val="28"/>
                                <w:szCs w:val="28"/>
                              </w:rPr>
                              <w:t>获取招标文件，并于2022年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日11:00（北京时间）前递交投标文件。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pt;margin-top:52.25pt;height:138.25pt;width:455.3pt;z-index:251661312;mso-width-relative:page;mso-height-relative:page;" fillcolor="#FFFFFF [3201]" filled="t" stroked="t" coordsize="21600,21600" o:gfxdata="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YDrCn2AAAAAsBAAAPAAAAAAAAAAEAIAAAACIAAABkcnMvZG93bnJldi54bWxQSwEC&#10;FAAUAAAACACHTuJAp+SgtmYCAADEBAAADgAAAAAAAAABACAAAAAnAQAAZHJzL2Uyb0RvYy54bWxQ&#10;SwUGAAAAAAYABgBZAQAA/wUAAAAA&#10;">
                <v:fill on="t" focussize="0,0"/>
                <v:stroke weight="0.5pt" color="#000000 [3204]" joinstyle="round"/>
                <v:imagedata o:title=""/>
                <o:lock v:ext="edit" aspectratio="f"/>
                <v:textbox>
                  <w:txbxContent>
                    <w:p>
                      <w:pPr>
                        <w:spacing w:line="360" w:lineRule="auto"/>
                        <w:rPr>
                          <w:rFonts w:ascii="仿宋" w:hAnsi="仿宋" w:eastAsia="仿宋" w:cs="仿宋"/>
                          <w:b/>
                          <w:bCs/>
                          <w:sz w:val="28"/>
                          <w:szCs w:val="28"/>
                        </w:rPr>
                      </w:pPr>
                      <w:r>
                        <w:rPr>
                          <w:rFonts w:hint="eastAsia" w:ascii="仿宋" w:hAnsi="仿宋" w:eastAsia="仿宋" w:cs="仿宋"/>
                          <w:b/>
                          <w:bCs/>
                          <w:sz w:val="28"/>
                          <w:szCs w:val="28"/>
                        </w:rPr>
                        <w:t>项目概况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水磨沟区</w:t>
                      </w:r>
                      <w:r>
                        <w:rPr>
                          <w:rFonts w:hint="eastAsia" w:ascii="仿宋" w:hAnsi="仿宋" w:eastAsia="仿宋" w:cs="仿宋"/>
                          <w:sz w:val="28"/>
                          <w:szCs w:val="28"/>
                          <w:lang w:eastAsia="zh-CN" w:bidi="ar"/>
                        </w:rPr>
                        <w:t xml:space="preserve"> </w:t>
                      </w:r>
                      <w:r>
                        <w:rPr>
                          <w:rFonts w:hint="eastAsia" w:ascii="仿宋" w:hAnsi="仿宋" w:eastAsia="仿宋" w:cs="仿宋"/>
                          <w:sz w:val="28"/>
                          <w:szCs w:val="28"/>
                          <w:lang w:bidi="ar"/>
                        </w:rPr>
                        <w:t>相关设备专线链路租赁</w:t>
                      </w:r>
                      <w:r>
                        <w:rPr>
                          <w:rFonts w:hint="eastAsia" w:ascii="仿宋" w:hAnsi="仿宋" w:eastAsia="仿宋" w:cs="仿宋"/>
                          <w:sz w:val="28"/>
                          <w:szCs w:val="28"/>
                        </w:rPr>
                        <w:t>采购的潜在投标人应在</w:t>
                      </w:r>
                      <w:r>
                        <w:rPr>
                          <w:rFonts w:hint="eastAsia" w:ascii="仿宋" w:hAnsi="仿宋" w:eastAsia="仿宋" w:cs="仿宋"/>
                          <w:sz w:val="28"/>
                          <w:szCs w:val="28"/>
                          <w:lang w:bidi="ar"/>
                        </w:rPr>
                        <w:t>新疆乌鲁木齐市</w:t>
                      </w:r>
                      <w:r>
                        <w:rPr>
                          <w:rFonts w:hint="eastAsia" w:ascii="仿宋" w:hAnsi="仿宋" w:eastAsia="仿宋" w:cs="仿宋"/>
                          <w:sz w:val="28"/>
                          <w:szCs w:val="28"/>
                          <w:lang w:eastAsia="zh-Hans" w:bidi="ar"/>
                        </w:rPr>
                        <w:t>水磨沟区鸿泰路66号万科大都会9号楼506</w:t>
                      </w:r>
                      <w:r>
                        <w:rPr>
                          <w:rFonts w:hint="eastAsia" w:ascii="仿宋" w:hAnsi="仿宋" w:eastAsia="仿宋" w:cs="仿宋"/>
                          <w:sz w:val="28"/>
                          <w:szCs w:val="28"/>
                        </w:rPr>
                        <w:t>获取招标文件，并于2022年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日11:00（北京时间）前递交投标文件。</w:t>
                      </w:r>
                    </w:p>
                  </w:txbxContent>
                </v:textbox>
              </v:shape>
            </w:pict>
          </mc:Fallback>
        </mc:AlternateContent>
      </w:r>
      <w:r>
        <w:rPr>
          <w:rFonts w:hint="eastAsia" w:ascii="仿宋" w:hAnsi="仿宋" w:eastAsia="仿宋" w:cs="仿宋"/>
          <w:b/>
          <w:bCs/>
          <w:sz w:val="28"/>
          <w:szCs w:val="28"/>
          <w:lang w:eastAsia="zh-Hans"/>
        </w:rPr>
        <w:t>新疆筑石工程项目管理有限公司</w:t>
      </w:r>
      <w:r>
        <w:rPr>
          <w:rFonts w:hint="eastAsia" w:ascii="仿宋" w:hAnsi="仿宋" w:eastAsia="仿宋" w:cs="仿宋"/>
          <w:b/>
          <w:bCs/>
          <w:sz w:val="28"/>
          <w:szCs w:val="28"/>
        </w:rPr>
        <w:t>关</w:t>
      </w:r>
      <w:r>
        <w:rPr>
          <w:rFonts w:hint="eastAsia" w:ascii="仿宋" w:hAnsi="仿宋" w:eastAsia="仿宋" w:cs="仿宋"/>
          <w:b/>
          <w:bCs/>
          <w:sz w:val="28"/>
          <w:szCs w:val="28"/>
          <w:lang w:eastAsia="zh-Hans"/>
        </w:rPr>
        <w:t>于</w:t>
      </w:r>
      <w:r>
        <w:rPr>
          <w:rFonts w:hint="eastAsia" w:ascii="仿宋" w:hAnsi="仿宋" w:eastAsia="仿宋" w:cs="仿宋"/>
          <w:b/>
          <w:bCs/>
          <w:sz w:val="28"/>
          <w:szCs w:val="28"/>
        </w:rPr>
        <w:t>水磨沟区</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rPr>
        <w:t>相关设备专线链路租赁公开招标公告</w:t>
      </w:r>
    </w:p>
    <w:p>
      <w:pPr>
        <w:adjustRightInd w:val="0"/>
        <w:snapToGrid w:val="0"/>
        <w:spacing w:line="360" w:lineRule="auto"/>
        <w:jc w:val="center"/>
        <w:rPr>
          <w:rFonts w:ascii="仿宋" w:hAnsi="仿宋" w:eastAsia="仿宋" w:cs="仿宋"/>
          <w:b/>
          <w:bCs/>
          <w:sz w:val="28"/>
          <w:szCs w:val="28"/>
        </w:rPr>
      </w:pPr>
      <w:r>
        <w:rPr>
          <w:rFonts w:hint="eastAsia" w:ascii="仿宋" w:hAnsi="仿宋" w:eastAsia="仿宋" w:cs="仿宋"/>
          <w:b/>
          <w:sz w:val="28"/>
          <w:szCs w:val="28"/>
        </w:rPr>
        <w:t>公开招标公告</w:t>
      </w:r>
    </w:p>
    <w:p>
      <w:pPr>
        <w:spacing w:line="360" w:lineRule="auto"/>
        <w:jc w:val="center"/>
        <w:rPr>
          <w:rFonts w:ascii="仿宋" w:hAnsi="仿宋" w:eastAsia="仿宋" w:cs="仿宋"/>
          <w:b/>
          <w:bCs/>
          <w:sz w:val="28"/>
          <w:szCs w:val="28"/>
        </w:rPr>
      </w:pPr>
    </w:p>
    <w:p>
      <w:pPr>
        <w:spacing w:line="440" w:lineRule="exact"/>
        <w:jc w:val="center"/>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p>
    <w:p>
      <w:pPr>
        <w:spacing w:line="360" w:lineRule="auto"/>
        <w:rPr>
          <w:rFonts w:ascii="仿宋" w:hAnsi="仿宋" w:eastAsia="仿宋" w:cs="仿宋"/>
          <w:b/>
          <w:bCs/>
          <w:sz w:val="28"/>
          <w:szCs w:val="28"/>
        </w:rPr>
      </w:pPr>
      <w:r>
        <w:rPr>
          <w:rFonts w:hint="eastAsia" w:ascii="仿宋" w:hAnsi="仿宋" w:eastAsia="仿宋" w:cs="仿宋"/>
          <w:b/>
          <w:bCs/>
          <w:sz w:val="28"/>
          <w:szCs w:val="28"/>
        </w:rPr>
        <w:t>一、项目基本情况</w:t>
      </w:r>
    </w:p>
    <w:p>
      <w:pPr>
        <w:spacing w:line="360" w:lineRule="auto"/>
        <w:rPr>
          <w:rFonts w:ascii="仿宋" w:hAnsi="仿宋" w:eastAsia="仿宋" w:cs="仿宋"/>
          <w:sz w:val="28"/>
          <w:szCs w:val="28"/>
        </w:rPr>
      </w:pPr>
      <w:r>
        <w:rPr>
          <w:rFonts w:hint="eastAsia" w:ascii="仿宋" w:hAnsi="仿宋" w:eastAsia="仿宋" w:cs="仿宋"/>
          <w:sz w:val="28"/>
          <w:szCs w:val="28"/>
        </w:rPr>
        <w:t>项目编号：ZSZC-FW-2022002</w:t>
      </w:r>
    </w:p>
    <w:p>
      <w:pPr>
        <w:spacing w:line="360" w:lineRule="auto"/>
        <w:rPr>
          <w:rFonts w:ascii="仿宋" w:hAnsi="仿宋" w:eastAsia="仿宋" w:cs="仿宋"/>
          <w:sz w:val="28"/>
          <w:szCs w:val="28"/>
        </w:rPr>
      </w:pPr>
      <w:r>
        <w:rPr>
          <w:rFonts w:hint="eastAsia" w:ascii="仿宋" w:hAnsi="仿宋" w:eastAsia="仿宋" w:cs="仿宋"/>
          <w:sz w:val="28"/>
          <w:szCs w:val="28"/>
        </w:rPr>
        <w:t>项目名称：水磨沟区</w:t>
      </w:r>
      <w:r>
        <w:rPr>
          <w:rFonts w:hint="eastAsia" w:ascii="仿宋" w:hAnsi="仿宋" w:eastAsia="仿宋" w:cs="仿宋"/>
          <w:sz w:val="28"/>
          <w:szCs w:val="28"/>
          <w:lang w:eastAsia="zh-CN"/>
        </w:rPr>
        <w:t xml:space="preserve"> </w:t>
      </w:r>
      <w:r>
        <w:rPr>
          <w:rFonts w:hint="eastAsia" w:ascii="仿宋" w:hAnsi="仿宋" w:eastAsia="仿宋" w:cs="仿宋"/>
          <w:sz w:val="28"/>
          <w:szCs w:val="28"/>
        </w:rPr>
        <w:t>相关设备专线链路租赁</w:t>
      </w:r>
    </w:p>
    <w:p>
      <w:pPr>
        <w:spacing w:line="360" w:lineRule="auto"/>
        <w:rPr>
          <w:rFonts w:ascii="仿宋" w:hAnsi="仿宋" w:eastAsia="仿宋" w:cs="仿宋"/>
          <w:sz w:val="28"/>
          <w:szCs w:val="28"/>
        </w:rPr>
      </w:pPr>
      <w:r>
        <w:rPr>
          <w:rFonts w:hint="eastAsia" w:ascii="仿宋" w:hAnsi="仿宋" w:eastAsia="仿宋" w:cs="仿宋"/>
          <w:sz w:val="28"/>
          <w:szCs w:val="28"/>
        </w:rPr>
        <w:t>采购方式：公开招标</w:t>
      </w:r>
    </w:p>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rPr>
        <w:t>预算金额（元）：</w:t>
      </w:r>
      <w:r>
        <w:rPr>
          <w:rFonts w:hint="eastAsia" w:ascii="仿宋" w:hAnsi="仿宋" w:eastAsia="仿宋" w:cs="仿宋"/>
          <w:sz w:val="28"/>
          <w:szCs w:val="28"/>
          <w:lang w:val="en-US" w:eastAsia="zh-CN"/>
        </w:rPr>
        <w:t>11,821,200.00</w:t>
      </w:r>
    </w:p>
    <w:p>
      <w:pPr>
        <w:spacing w:line="360" w:lineRule="auto"/>
        <w:rPr>
          <w:rFonts w:ascii="仿宋" w:hAnsi="仿宋" w:eastAsia="仿宋" w:cs="仿宋"/>
          <w:sz w:val="28"/>
          <w:szCs w:val="28"/>
          <w:lang w:eastAsia="zh-Hans"/>
        </w:rPr>
      </w:pPr>
      <w:r>
        <w:rPr>
          <w:rFonts w:hint="eastAsia" w:ascii="仿宋" w:hAnsi="仿宋" w:eastAsia="仿宋" w:cs="仿宋"/>
          <w:sz w:val="28"/>
          <w:szCs w:val="28"/>
        </w:rPr>
        <w:t>采购需求：</w:t>
      </w:r>
      <w:r>
        <w:rPr>
          <w:rFonts w:hint="eastAsia" w:ascii="仿宋" w:hAnsi="仿宋" w:eastAsia="仿宋" w:cs="仿宋"/>
          <w:sz w:val="28"/>
          <w:szCs w:val="28"/>
          <w:lang w:eastAsia="zh-Hans"/>
        </w:rPr>
        <w:t>详见招标文件</w:t>
      </w:r>
    </w:p>
    <w:p>
      <w:pPr>
        <w:spacing w:line="360" w:lineRule="auto"/>
        <w:rPr>
          <w:rFonts w:ascii="仿宋" w:hAnsi="仿宋" w:eastAsia="仿宋" w:cs="仿宋"/>
          <w:sz w:val="28"/>
          <w:szCs w:val="28"/>
          <w:lang w:eastAsia="zh-Hans"/>
        </w:rPr>
      </w:pPr>
      <w:r>
        <w:rPr>
          <w:rFonts w:hint="eastAsia" w:ascii="仿宋" w:hAnsi="仿宋" w:eastAsia="仿宋" w:cs="仿宋"/>
          <w:sz w:val="28"/>
          <w:szCs w:val="28"/>
          <w:lang w:eastAsia="zh-Hans"/>
        </w:rPr>
        <w:t>标项名称:</w:t>
      </w:r>
    </w:p>
    <w:p>
      <w:p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标项1：水磨沟区相关设备专线链路租赁</w:t>
      </w:r>
      <w:r>
        <w:rPr>
          <w:rFonts w:hint="eastAsia" w:ascii="仿宋" w:hAnsi="仿宋" w:eastAsia="仿宋" w:cs="仿宋"/>
          <w:sz w:val="28"/>
          <w:szCs w:val="28"/>
          <w:highlight w:val="none"/>
          <w:lang w:val="en-US" w:eastAsia="zh-CN"/>
        </w:rPr>
        <w:t>1</w:t>
      </w:r>
    </w:p>
    <w:p>
      <w:pPr>
        <w:spacing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预算金额（元）：</w:t>
      </w:r>
      <w:r>
        <w:rPr>
          <w:rFonts w:hint="eastAsia" w:ascii="仿宋" w:hAnsi="仿宋" w:eastAsia="仿宋" w:cs="仿宋"/>
          <w:sz w:val="28"/>
          <w:szCs w:val="28"/>
          <w:highlight w:val="none"/>
          <w:lang w:val="en-US" w:eastAsia="zh-CN"/>
        </w:rPr>
        <w:t>7,412,200.00</w:t>
      </w:r>
    </w:p>
    <w:p>
      <w:pPr>
        <w:spacing w:line="36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标项2：水磨沟区相关设备专线链路租赁</w:t>
      </w:r>
      <w:r>
        <w:rPr>
          <w:rFonts w:hint="eastAsia" w:ascii="仿宋" w:hAnsi="仿宋" w:eastAsia="仿宋" w:cs="仿宋"/>
          <w:sz w:val="28"/>
          <w:szCs w:val="28"/>
          <w:highlight w:val="none"/>
          <w:lang w:val="en-US" w:eastAsia="zh-CN"/>
        </w:rPr>
        <w:t>2</w:t>
      </w:r>
    </w:p>
    <w:p>
      <w:pPr>
        <w:spacing w:line="360" w:lineRule="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预算金额（元）：</w:t>
      </w:r>
      <w:r>
        <w:rPr>
          <w:rFonts w:hint="eastAsia" w:ascii="仿宋" w:hAnsi="仿宋" w:eastAsia="仿宋" w:cs="仿宋"/>
          <w:sz w:val="28"/>
          <w:szCs w:val="28"/>
          <w:highlight w:val="none"/>
          <w:lang w:val="en-US" w:eastAsia="zh-CN"/>
        </w:rPr>
        <w:t>4,409,000.00</w:t>
      </w:r>
    </w:p>
    <w:p>
      <w:pPr>
        <w:spacing w:line="360" w:lineRule="auto"/>
        <w:rPr>
          <w:rFonts w:ascii="仿宋" w:hAnsi="仿宋" w:eastAsia="仿宋" w:cs="仿宋"/>
          <w:sz w:val="28"/>
          <w:szCs w:val="28"/>
        </w:rPr>
      </w:pPr>
      <w:r>
        <w:rPr>
          <w:rFonts w:hint="eastAsia" w:ascii="仿宋" w:hAnsi="仿宋" w:eastAsia="仿宋" w:cs="仿宋"/>
          <w:sz w:val="28"/>
          <w:szCs w:val="28"/>
          <w:lang w:eastAsia="zh-Hans"/>
        </w:rPr>
        <w:t>单位:</w:t>
      </w:r>
      <w:r>
        <w:rPr>
          <w:rFonts w:hint="eastAsia" w:ascii="仿宋" w:hAnsi="仿宋" w:eastAsia="仿宋" w:cs="仿宋"/>
          <w:sz w:val="28"/>
          <w:szCs w:val="28"/>
        </w:rPr>
        <w:t>条</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Hans"/>
        </w:rPr>
        <w:t>简要规格描述或项目基本概况介绍、用途：</w:t>
      </w:r>
      <w:r>
        <w:rPr>
          <w:rFonts w:hint="eastAsia" w:ascii="仿宋" w:hAnsi="仿宋" w:eastAsia="仿宋" w:cs="仿宋"/>
          <w:sz w:val="28"/>
          <w:szCs w:val="28"/>
          <w:lang w:eastAsia="zh-CN"/>
        </w:rPr>
        <w:t>水磨沟区视频监控专网使用</w:t>
      </w:r>
    </w:p>
    <w:p>
      <w:pPr>
        <w:spacing w:line="360" w:lineRule="auto"/>
        <w:rPr>
          <w:rFonts w:ascii="仿宋" w:hAnsi="仿宋" w:eastAsia="仿宋" w:cs="仿宋"/>
          <w:sz w:val="28"/>
          <w:szCs w:val="28"/>
        </w:rPr>
      </w:pPr>
      <w:r>
        <w:rPr>
          <w:rFonts w:hint="eastAsia" w:ascii="仿宋" w:hAnsi="仿宋" w:eastAsia="仿宋" w:cs="仿宋"/>
          <w:sz w:val="28"/>
          <w:szCs w:val="28"/>
        </w:rPr>
        <w:t>合同履行期限：一年。</w:t>
      </w:r>
    </w:p>
    <w:p>
      <w:pPr>
        <w:spacing w:line="360" w:lineRule="auto"/>
        <w:rPr>
          <w:rFonts w:ascii="仿宋" w:hAnsi="仿宋" w:eastAsia="仿宋" w:cs="仿宋"/>
          <w:sz w:val="28"/>
          <w:szCs w:val="28"/>
        </w:rPr>
      </w:pPr>
      <w:r>
        <w:rPr>
          <w:rFonts w:hint="eastAsia" w:ascii="仿宋" w:hAnsi="仿宋" w:eastAsia="仿宋" w:cs="仿宋"/>
          <w:sz w:val="28"/>
          <w:szCs w:val="28"/>
        </w:rPr>
        <w:t>本项目(不接受)联合体投标。</w:t>
      </w:r>
    </w:p>
    <w:p>
      <w:pPr>
        <w:spacing w:line="360" w:lineRule="auto"/>
        <w:rPr>
          <w:rFonts w:ascii="仿宋" w:hAnsi="仿宋" w:eastAsia="仿宋" w:cs="仿宋"/>
          <w:b/>
          <w:bCs/>
          <w:sz w:val="28"/>
          <w:szCs w:val="28"/>
        </w:rPr>
      </w:pPr>
      <w:r>
        <w:rPr>
          <w:rFonts w:hint="eastAsia" w:ascii="仿宋" w:hAnsi="仿宋" w:eastAsia="仿宋" w:cs="仿宋"/>
          <w:b/>
          <w:bCs/>
          <w:sz w:val="28"/>
          <w:szCs w:val="28"/>
        </w:rPr>
        <w:t>二、申请人的资格要求：</w:t>
      </w:r>
    </w:p>
    <w:p>
      <w:pPr>
        <w:spacing w:line="360" w:lineRule="auto"/>
        <w:rPr>
          <w:rFonts w:ascii="仿宋" w:hAnsi="仿宋" w:eastAsia="仿宋" w:cs="仿宋"/>
          <w:sz w:val="28"/>
          <w:szCs w:val="28"/>
        </w:rPr>
      </w:pPr>
      <w:r>
        <w:rPr>
          <w:rFonts w:hint="eastAsia" w:ascii="仿宋" w:hAnsi="仿宋" w:eastAsia="仿宋" w:cs="仿宋"/>
          <w:sz w:val="28"/>
          <w:szCs w:val="28"/>
        </w:rPr>
        <w:t>1、具有独立承担民事责任的能力</w:t>
      </w:r>
    </w:p>
    <w:p>
      <w:pPr>
        <w:spacing w:line="360" w:lineRule="auto"/>
        <w:rPr>
          <w:rFonts w:ascii="仿宋" w:hAnsi="仿宋" w:eastAsia="仿宋" w:cs="仿宋"/>
          <w:sz w:val="28"/>
          <w:szCs w:val="28"/>
        </w:rPr>
      </w:pPr>
      <w:r>
        <w:rPr>
          <w:rFonts w:hint="eastAsia" w:ascii="仿宋" w:hAnsi="仿宋" w:eastAsia="仿宋" w:cs="仿宋"/>
          <w:sz w:val="28"/>
          <w:szCs w:val="28"/>
        </w:rPr>
        <w:t>2、满足《中华人民共和国政府采购法》第二十二条规定，符合法律、法规和本采购文件规定的其他条件</w:t>
      </w:r>
    </w:p>
    <w:p>
      <w:pPr>
        <w:spacing w:line="360" w:lineRule="auto"/>
        <w:rPr>
          <w:rFonts w:ascii="仿宋" w:hAnsi="仿宋" w:eastAsia="仿宋" w:cs="仿宋"/>
          <w:sz w:val="28"/>
          <w:szCs w:val="28"/>
        </w:rPr>
      </w:pPr>
      <w:r>
        <w:rPr>
          <w:rFonts w:hint="eastAsia" w:ascii="仿宋" w:hAnsi="仿宋" w:eastAsia="仿宋" w:cs="仿宋"/>
          <w:sz w:val="28"/>
          <w:szCs w:val="28"/>
        </w:rPr>
        <w:t>3、本项目的特定资格要求：</w:t>
      </w:r>
    </w:p>
    <w:p>
      <w:pPr>
        <w:spacing w:line="360" w:lineRule="auto"/>
        <w:rPr>
          <w:rFonts w:ascii="仿宋" w:hAnsi="仿宋" w:eastAsia="仿宋" w:cs="仿宋"/>
          <w:sz w:val="28"/>
          <w:szCs w:val="28"/>
        </w:rPr>
      </w:pPr>
      <w:r>
        <w:rPr>
          <w:rFonts w:hint="eastAsia" w:ascii="仿宋" w:hAnsi="仿宋" w:eastAsia="仿宋" w:cs="仿宋"/>
          <w:sz w:val="28"/>
          <w:szCs w:val="28"/>
        </w:rPr>
        <w:t>（1）具有有效的法人营业执照；</w:t>
      </w:r>
    </w:p>
    <w:p>
      <w:pPr>
        <w:spacing w:line="360" w:lineRule="auto"/>
        <w:rPr>
          <w:rFonts w:ascii="仿宋" w:hAnsi="仿宋" w:eastAsia="仿宋" w:cs="仿宋"/>
          <w:sz w:val="28"/>
          <w:szCs w:val="28"/>
        </w:rPr>
      </w:pPr>
      <w:r>
        <w:rPr>
          <w:rFonts w:hint="eastAsia" w:ascii="仿宋" w:hAnsi="仿宋" w:eastAsia="仿宋" w:cs="仿宋"/>
          <w:sz w:val="28"/>
          <w:szCs w:val="28"/>
        </w:rPr>
        <w:t>（2）投标</w:t>
      </w:r>
      <w:r>
        <w:rPr>
          <w:rFonts w:hint="eastAsia" w:ascii="仿宋" w:hAnsi="仿宋" w:eastAsia="仿宋" w:cs="仿宋"/>
          <w:sz w:val="28"/>
          <w:szCs w:val="28"/>
          <w:lang w:eastAsia="zh-Hans"/>
        </w:rPr>
        <w:t>供应商</w:t>
      </w:r>
      <w:r>
        <w:rPr>
          <w:rFonts w:hint="eastAsia" w:ascii="仿宋" w:hAnsi="仿宋" w:eastAsia="仿宋" w:cs="仿宋"/>
          <w:sz w:val="28"/>
          <w:szCs w:val="28"/>
        </w:rPr>
        <w:t>未在“信用中国”网站（www.creditchina.gov.cn ）、中国政府采购网（www.ccgp.gov.cn）等渠道列入失信被执行人、重大税收违法案件当事人名单、政府采购严重违法失信行为记录名单；</w:t>
      </w:r>
    </w:p>
    <w:p>
      <w:pPr>
        <w:spacing w:line="360" w:lineRule="auto"/>
        <w:rPr>
          <w:rFonts w:ascii="仿宋" w:hAnsi="仿宋" w:eastAsia="仿宋" w:cs="仿宋"/>
          <w:sz w:val="28"/>
          <w:szCs w:val="28"/>
        </w:rPr>
      </w:pPr>
      <w:r>
        <w:rPr>
          <w:rFonts w:hint="eastAsia" w:ascii="仿宋" w:hAnsi="仿宋" w:eastAsia="仿宋" w:cs="仿宋"/>
          <w:sz w:val="28"/>
          <w:szCs w:val="28"/>
        </w:rPr>
        <w:t>（3）单位负责人为同一人或者存在直接控股、管理关系的不同供应商，不得参加同一合同项下的政府采购活动。</w:t>
      </w:r>
    </w:p>
    <w:p>
      <w:pPr>
        <w:spacing w:line="360" w:lineRule="auto"/>
        <w:rPr>
          <w:rFonts w:ascii="仿宋" w:hAnsi="仿宋" w:eastAsia="仿宋" w:cs="仿宋"/>
          <w:b/>
          <w:bCs/>
          <w:sz w:val="28"/>
          <w:szCs w:val="28"/>
        </w:rPr>
      </w:pPr>
      <w:r>
        <w:rPr>
          <w:rFonts w:hint="eastAsia" w:ascii="仿宋" w:hAnsi="仿宋" w:eastAsia="仿宋" w:cs="仿宋"/>
          <w:b/>
          <w:bCs/>
          <w:sz w:val="28"/>
          <w:szCs w:val="28"/>
        </w:rPr>
        <w:t>三、获取招标文件</w:t>
      </w:r>
    </w:p>
    <w:p>
      <w:pPr>
        <w:spacing w:line="360" w:lineRule="auto"/>
        <w:jc w:val="both"/>
        <w:rPr>
          <w:rFonts w:ascii="仿宋" w:hAnsi="仿宋" w:eastAsia="仿宋" w:cs="仿宋"/>
          <w:sz w:val="28"/>
          <w:szCs w:val="28"/>
        </w:rPr>
      </w:pPr>
      <w:r>
        <w:rPr>
          <w:rFonts w:hint="eastAsia" w:ascii="仿宋" w:hAnsi="仿宋" w:eastAsia="仿宋" w:cs="仿宋"/>
          <w:sz w:val="28"/>
          <w:szCs w:val="28"/>
        </w:rPr>
        <w:t>时间：2022年4月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日至2022年4月</w:t>
      </w:r>
      <w:r>
        <w:rPr>
          <w:rFonts w:hint="eastAsia" w:ascii="仿宋" w:hAnsi="仿宋" w:eastAsia="仿宋" w:cs="仿宋"/>
          <w:sz w:val="28"/>
          <w:szCs w:val="28"/>
          <w:lang w:val="en-US" w:eastAsia="zh-CN"/>
        </w:rPr>
        <w:t>21</w:t>
      </w:r>
      <w:r>
        <w:rPr>
          <w:rFonts w:hint="eastAsia" w:ascii="仿宋" w:hAnsi="仿宋" w:eastAsia="仿宋" w:cs="仿宋"/>
          <w:sz w:val="28"/>
          <w:szCs w:val="28"/>
        </w:rPr>
        <w:t>日，每天上午10:00至14:00，</w:t>
      </w:r>
    </w:p>
    <w:p>
      <w:pPr>
        <w:spacing w:line="360" w:lineRule="auto"/>
        <w:rPr>
          <w:rFonts w:ascii="仿宋" w:hAnsi="仿宋" w:eastAsia="仿宋" w:cs="仿宋"/>
          <w:sz w:val="28"/>
          <w:szCs w:val="28"/>
        </w:rPr>
      </w:pPr>
      <w:r>
        <w:rPr>
          <w:rFonts w:hint="eastAsia" w:ascii="仿宋" w:hAnsi="仿宋" w:eastAsia="仿宋" w:cs="仿宋"/>
          <w:sz w:val="28"/>
          <w:szCs w:val="28"/>
        </w:rPr>
        <w:t>下午15:00至19:00。（北京时间，法定节假日除外）</w:t>
      </w:r>
    </w:p>
    <w:p>
      <w:pPr>
        <w:spacing w:line="360" w:lineRule="auto"/>
        <w:rPr>
          <w:rFonts w:ascii="仿宋" w:hAnsi="仿宋" w:eastAsia="仿宋" w:cs="仿宋"/>
          <w:sz w:val="28"/>
          <w:szCs w:val="28"/>
        </w:rPr>
      </w:pPr>
      <w:r>
        <w:rPr>
          <w:rFonts w:hint="eastAsia" w:ascii="仿宋" w:hAnsi="仿宋" w:eastAsia="仿宋" w:cs="仿宋"/>
          <w:sz w:val="28"/>
          <w:szCs w:val="28"/>
        </w:rPr>
        <w:t>地点：新疆乌鲁木齐市</w:t>
      </w:r>
      <w:r>
        <w:rPr>
          <w:rFonts w:hint="eastAsia" w:ascii="仿宋" w:hAnsi="仿宋" w:eastAsia="仿宋" w:cs="仿宋"/>
          <w:sz w:val="28"/>
          <w:szCs w:val="28"/>
          <w:lang w:eastAsia="zh-Hans"/>
        </w:rPr>
        <w:t>水磨沟区鸿泰路66号万科大都会9号楼506室</w:t>
      </w:r>
    </w:p>
    <w:p>
      <w:pPr>
        <w:spacing w:line="360" w:lineRule="auto"/>
        <w:rPr>
          <w:rFonts w:ascii="仿宋" w:hAnsi="仿宋" w:eastAsia="仿宋" w:cs="仿宋"/>
          <w:sz w:val="28"/>
          <w:szCs w:val="28"/>
        </w:rPr>
      </w:pPr>
      <w:r>
        <w:rPr>
          <w:rFonts w:hint="eastAsia" w:ascii="仿宋" w:hAnsi="仿宋" w:eastAsia="仿宋" w:cs="仿宋"/>
          <w:sz w:val="28"/>
          <w:szCs w:val="28"/>
        </w:rPr>
        <w:t>方式：现场购买,报名时间须提交的资料：</w:t>
      </w:r>
    </w:p>
    <w:p>
      <w:pPr>
        <w:spacing w:line="360" w:lineRule="auto"/>
        <w:rPr>
          <w:rFonts w:ascii="仿宋" w:hAnsi="仿宋" w:eastAsia="仿宋" w:cs="仿宋"/>
          <w:sz w:val="28"/>
          <w:szCs w:val="28"/>
        </w:rPr>
      </w:pPr>
      <w:r>
        <w:rPr>
          <w:rFonts w:hint="eastAsia" w:ascii="仿宋" w:hAnsi="仿宋" w:eastAsia="仿宋" w:cs="仿宋"/>
          <w:sz w:val="28"/>
          <w:szCs w:val="28"/>
        </w:rPr>
        <w:t>（1）法定代表人授权委托书及被授权人的身份证原件（法人授权委托书中须包含法定代表人及被授权人身份证正反面、所投项目名称及包件编号、联系人、联系方式、电子邮箱号并加盖公章及法定代表人签章）；</w:t>
      </w:r>
    </w:p>
    <w:p>
      <w:pPr>
        <w:spacing w:line="360" w:lineRule="auto"/>
        <w:rPr>
          <w:rFonts w:ascii="仿宋" w:hAnsi="仿宋" w:eastAsia="仿宋" w:cs="仿宋"/>
          <w:sz w:val="28"/>
          <w:szCs w:val="28"/>
        </w:rPr>
      </w:pPr>
      <w:r>
        <w:rPr>
          <w:rFonts w:hint="eastAsia" w:ascii="仿宋" w:hAnsi="仿宋" w:eastAsia="仿宋" w:cs="仿宋"/>
          <w:sz w:val="28"/>
          <w:szCs w:val="28"/>
        </w:rPr>
        <w:t>（2）“一证一码”或“三证合一”的营业执照副本原件</w:t>
      </w:r>
      <w:r>
        <w:rPr>
          <w:rFonts w:hint="eastAsia" w:ascii="仿宋" w:hAnsi="仿宋" w:eastAsia="仿宋" w:cs="仿宋"/>
          <w:sz w:val="28"/>
          <w:szCs w:val="28"/>
          <w:lang w:eastAsia="zh-Hans"/>
        </w:rPr>
        <w:t>；</w:t>
      </w:r>
    </w:p>
    <w:p>
      <w:pPr>
        <w:spacing w:line="360" w:lineRule="auto"/>
        <w:rPr>
          <w:rFonts w:ascii="仿宋" w:hAnsi="仿宋" w:eastAsia="仿宋" w:cs="仿宋"/>
          <w:sz w:val="28"/>
          <w:szCs w:val="28"/>
        </w:rPr>
      </w:pPr>
      <w:r>
        <w:rPr>
          <w:rFonts w:hint="eastAsia" w:ascii="仿宋" w:hAnsi="仿宋" w:eastAsia="仿宋" w:cs="仿宋"/>
          <w:sz w:val="28"/>
          <w:szCs w:val="28"/>
        </w:rPr>
        <w:t>（3）通过“信用中国”网站（www.creditchina.gov.cn）和中国政府采购网（www.ccgp.gov.cn）渠道查询的本单位信用记录的网页，并加盖投标单位公章。</w:t>
      </w:r>
    </w:p>
    <w:p>
      <w:pPr>
        <w:spacing w:line="360" w:lineRule="auto"/>
        <w:rPr>
          <w:rFonts w:ascii="仿宋" w:hAnsi="仿宋" w:eastAsia="仿宋" w:cs="仿宋"/>
          <w:sz w:val="28"/>
          <w:szCs w:val="28"/>
        </w:rPr>
      </w:pPr>
      <w:r>
        <w:rPr>
          <w:rFonts w:hint="eastAsia" w:ascii="仿宋" w:hAnsi="仿宋" w:eastAsia="仿宋" w:cs="仿宋"/>
          <w:sz w:val="28"/>
          <w:szCs w:val="28"/>
        </w:rPr>
        <w:t>以上所有资料提供加盖投标单位公章的扫描件壹套留存，资料不齐不予受理。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售价：￥</w:t>
      </w:r>
      <w:r>
        <w:rPr>
          <w:rFonts w:hint="eastAsia" w:ascii="仿宋" w:hAnsi="仿宋" w:eastAsia="仿宋" w:cs="仿宋"/>
          <w:sz w:val="28"/>
          <w:szCs w:val="28"/>
          <w:lang w:val="en-US" w:eastAsia="zh-CN"/>
        </w:rPr>
        <w:t>2</w:t>
      </w:r>
      <w:r>
        <w:rPr>
          <w:rFonts w:hint="eastAsia" w:ascii="仿宋" w:hAnsi="仿宋" w:eastAsia="仿宋" w:cs="仿宋"/>
          <w:sz w:val="28"/>
          <w:szCs w:val="28"/>
        </w:rPr>
        <w:t>00.00元</w:t>
      </w:r>
    </w:p>
    <w:p>
      <w:pPr>
        <w:spacing w:line="360" w:lineRule="auto"/>
        <w:rPr>
          <w:rFonts w:ascii="仿宋" w:hAnsi="仿宋" w:eastAsia="仿宋" w:cs="仿宋"/>
          <w:sz w:val="28"/>
          <w:szCs w:val="28"/>
        </w:rPr>
      </w:pPr>
      <w:r>
        <w:rPr>
          <w:rFonts w:hint="eastAsia" w:ascii="仿宋" w:hAnsi="仿宋" w:eastAsia="仿宋" w:cs="仿宋"/>
          <w:b/>
          <w:bCs/>
          <w:sz w:val="28"/>
          <w:szCs w:val="28"/>
        </w:rPr>
        <w:t>四、提交投标文件截止时间、开标时间和地点</w:t>
      </w: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提交投标文件截止时间：</w:t>
      </w:r>
      <w:r>
        <w:rPr>
          <w:rFonts w:hint="eastAsia" w:ascii="仿宋" w:hAnsi="仿宋" w:eastAsia="仿宋" w:cs="仿宋"/>
          <w:sz w:val="28"/>
          <w:szCs w:val="28"/>
          <w:lang w:eastAsia="zh-CN"/>
        </w:rPr>
        <w:t>2022年5月6日</w:t>
      </w:r>
      <w:r>
        <w:rPr>
          <w:rFonts w:hint="eastAsia" w:ascii="仿宋" w:hAnsi="仿宋" w:eastAsia="仿宋" w:cs="仿宋"/>
          <w:sz w:val="28"/>
          <w:szCs w:val="28"/>
        </w:rPr>
        <w:t>11：00（北京时间）</w:t>
      </w:r>
    </w:p>
    <w:p>
      <w:pPr>
        <w:spacing w:line="360" w:lineRule="auto"/>
        <w:rPr>
          <w:rFonts w:ascii="仿宋" w:hAnsi="仿宋" w:eastAsia="仿宋" w:cs="仿宋"/>
          <w:sz w:val="28"/>
          <w:szCs w:val="28"/>
        </w:rPr>
      </w:pPr>
      <w:r>
        <w:rPr>
          <w:rFonts w:hint="eastAsia" w:ascii="仿宋" w:hAnsi="仿宋" w:eastAsia="仿宋" w:cs="仿宋"/>
          <w:sz w:val="28"/>
          <w:szCs w:val="28"/>
        </w:rPr>
        <w:t>投标地点：新疆乌鲁木齐市</w:t>
      </w:r>
      <w:r>
        <w:rPr>
          <w:rFonts w:hint="eastAsia" w:ascii="仿宋" w:hAnsi="仿宋" w:eastAsia="仿宋" w:cs="仿宋"/>
          <w:sz w:val="28"/>
          <w:szCs w:val="28"/>
          <w:lang w:eastAsia="zh-Hans"/>
        </w:rPr>
        <w:t>水磨沟区鸿泰路66号万科大都会9号楼506室</w:t>
      </w:r>
    </w:p>
    <w:p>
      <w:pPr>
        <w:spacing w:line="360" w:lineRule="auto"/>
        <w:rPr>
          <w:rFonts w:ascii="仿宋" w:hAnsi="仿宋" w:eastAsia="仿宋" w:cs="仿宋"/>
          <w:sz w:val="28"/>
          <w:szCs w:val="28"/>
        </w:rPr>
      </w:pPr>
      <w:r>
        <w:rPr>
          <w:rFonts w:hint="eastAsia" w:ascii="仿宋" w:hAnsi="仿宋" w:eastAsia="仿宋" w:cs="仿宋"/>
          <w:sz w:val="28"/>
          <w:szCs w:val="28"/>
        </w:rPr>
        <w:t>开标时间：</w:t>
      </w:r>
      <w:r>
        <w:rPr>
          <w:rFonts w:hint="eastAsia" w:ascii="仿宋" w:hAnsi="仿宋" w:eastAsia="仿宋" w:cs="仿宋"/>
          <w:sz w:val="28"/>
          <w:szCs w:val="28"/>
          <w:lang w:eastAsia="zh-CN"/>
        </w:rPr>
        <w:t>2022年5月6日</w:t>
      </w:r>
      <w:r>
        <w:rPr>
          <w:rFonts w:hint="eastAsia" w:ascii="仿宋" w:hAnsi="仿宋" w:eastAsia="仿宋" w:cs="仿宋"/>
          <w:sz w:val="28"/>
          <w:szCs w:val="28"/>
        </w:rPr>
        <w:t>11：00（北京时间）</w:t>
      </w:r>
    </w:p>
    <w:p>
      <w:pPr>
        <w:spacing w:line="360" w:lineRule="auto"/>
        <w:rPr>
          <w:rFonts w:ascii="仿宋" w:hAnsi="仿宋" w:eastAsia="仿宋" w:cs="仿宋"/>
          <w:sz w:val="28"/>
          <w:szCs w:val="28"/>
        </w:rPr>
      </w:pPr>
      <w:r>
        <w:rPr>
          <w:rFonts w:hint="eastAsia" w:ascii="仿宋" w:hAnsi="仿宋" w:eastAsia="仿宋" w:cs="仿宋"/>
          <w:sz w:val="28"/>
          <w:szCs w:val="28"/>
        </w:rPr>
        <w:t>开标地点：新疆乌鲁木齐市</w:t>
      </w:r>
      <w:r>
        <w:rPr>
          <w:rFonts w:hint="eastAsia" w:ascii="仿宋" w:hAnsi="仿宋" w:eastAsia="仿宋" w:cs="仿宋"/>
          <w:sz w:val="28"/>
          <w:szCs w:val="28"/>
          <w:lang w:eastAsia="zh-Hans"/>
        </w:rPr>
        <w:t>水磨沟区鸿泰路66号万科大都会9号楼506室</w:t>
      </w:r>
    </w:p>
    <w:p>
      <w:pPr>
        <w:spacing w:line="360" w:lineRule="auto"/>
        <w:rPr>
          <w:rFonts w:ascii="仿宋" w:hAnsi="仿宋" w:eastAsia="仿宋" w:cs="仿宋"/>
          <w:b/>
          <w:bCs/>
          <w:sz w:val="28"/>
          <w:szCs w:val="28"/>
        </w:rPr>
      </w:pPr>
      <w:r>
        <w:rPr>
          <w:rFonts w:hint="eastAsia" w:ascii="仿宋" w:hAnsi="仿宋" w:eastAsia="仿宋" w:cs="仿宋"/>
          <w:b/>
          <w:bCs/>
          <w:sz w:val="28"/>
          <w:szCs w:val="28"/>
        </w:rPr>
        <w:t>五、公告期限</w:t>
      </w:r>
    </w:p>
    <w:p>
      <w:pPr>
        <w:widowControl/>
        <w:jc w:val="left"/>
        <w:rPr>
          <w:rFonts w:ascii="仿宋" w:hAnsi="仿宋" w:eastAsia="仿宋" w:cs="仿宋"/>
          <w:sz w:val="28"/>
          <w:szCs w:val="28"/>
        </w:rPr>
      </w:pPr>
      <w:r>
        <w:rPr>
          <w:rFonts w:hint="eastAsia" w:ascii="仿宋" w:hAnsi="仿宋" w:eastAsia="仿宋" w:cs="仿宋"/>
          <w:sz w:val="28"/>
          <w:szCs w:val="28"/>
        </w:rPr>
        <w:t>自本公告发布之日起5个工作日。</w:t>
      </w:r>
    </w:p>
    <w:p>
      <w:pPr>
        <w:spacing w:line="360" w:lineRule="auto"/>
        <w:rPr>
          <w:rFonts w:ascii="仿宋" w:hAnsi="仿宋" w:eastAsia="仿宋" w:cs="仿宋"/>
          <w:b/>
          <w:bCs/>
          <w:sz w:val="28"/>
          <w:szCs w:val="28"/>
        </w:rPr>
      </w:pPr>
      <w:r>
        <w:rPr>
          <w:rFonts w:hint="eastAsia" w:ascii="仿宋" w:hAnsi="仿宋" w:eastAsia="仿宋" w:cs="仿宋"/>
          <w:b/>
          <w:bCs/>
          <w:sz w:val="28"/>
          <w:szCs w:val="28"/>
        </w:rPr>
        <w:t>六、其他补充事宜</w:t>
      </w:r>
    </w:p>
    <w:p>
      <w:pPr>
        <w:spacing w:line="360" w:lineRule="auto"/>
        <w:rPr>
          <w:rFonts w:ascii="仿宋" w:hAnsi="仿宋" w:eastAsia="仿宋" w:cs="仿宋"/>
          <w:sz w:val="28"/>
          <w:szCs w:val="28"/>
        </w:rPr>
      </w:pPr>
      <w:r>
        <w:rPr>
          <w:rFonts w:hint="eastAsia" w:ascii="仿宋" w:hAnsi="仿宋" w:eastAsia="仿宋" w:cs="仿宋"/>
          <w:sz w:val="28"/>
          <w:szCs w:val="28"/>
        </w:rPr>
        <w:t>无</w:t>
      </w:r>
    </w:p>
    <w:p>
      <w:pPr>
        <w:spacing w:line="360" w:lineRule="auto"/>
        <w:rPr>
          <w:rFonts w:ascii="仿宋" w:hAnsi="仿宋" w:eastAsia="仿宋" w:cs="仿宋"/>
          <w:b/>
          <w:bCs/>
          <w:sz w:val="28"/>
          <w:szCs w:val="28"/>
        </w:rPr>
      </w:pPr>
      <w:r>
        <w:rPr>
          <w:rFonts w:hint="eastAsia" w:ascii="仿宋" w:hAnsi="仿宋" w:eastAsia="仿宋" w:cs="仿宋"/>
          <w:b/>
          <w:bCs/>
          <w:sz w:val="28"/>
          <w:szCs w:val="28"/>
        </w:rPr>
        <w:t>七、对本次招标提出询问，请按以下方式联系。</w:t>
      </w:r>
    </w:p>
    <w:p>
      <w:pPr>
        <w:spacing w:line="360" w:lineRule="auto"/>
        <w:rPr>
          <w:rFonts w:ascii="仿宋" w:hAnsi="仿宋" w:eastAsia="仿宋" w:cs="仿宋"/>
          <w:sz w:val="28"/>
          <w:szCs w:val="28"/>
        </w:rPr>
      </w:pPr>
      <w:r>
        <w:rPr>
          <w:rFonts w:hint="eastAsia" w:ascii="仿宋" w:hAnsi="仿宋" w:eastAsia="仿宋" w:cs="仿宋"/>
          <w:sz w:val="28"/>
          <w:szCs w:val="28"/>
        </w:rPr>
        <w:t>1.采购人信息</w:t>
      </w:r>
    </w:p>
    <w:p>
      <w:pPr>
        <w:spacing w:line="360" w:lineRule="auto"/>
        <w:rPr>
          <w:rFonts w:ascii="仿宋" w:hAnsi="仿宋" w:eastAsia="仿宋" w:cs="仿宋"/>
          <w:sz w:val="28"/>
          <w:szCs w:val="28"/>
        </w:rPr>
      </w:pPr>
      <w:r>
        <w:rPr>
          <w:rFonts w:hint="eastAsia" w:ascii="仿宋" w:hAnsi="仿宋" w:eastAsia="仿宋" w:cs="仿宋"/>
          <w:sz w:val="28"/>
          <w:szCs w:val="28"/>
        </w:rPr>
        <w:t>名 称：中共乌鲁木齐市水磨沟区委员会政法委员会</w:t>
      </w:r>
    </w:p>
    <w:p>
      <w:pPr>
        <w:spacing w:line="360" w:lineRule="auto"/>
        <w:rPr>
          <w:rFonts w:ascii="仿宋" w:hAnsi="仿宋" w:eastAsia="仿宋" w:cs="仿宋"/>
          <w:sz w:val="28"/>
          <w:szCs w:val="28"/>
        </w:rPr>
      </w:pPr>
      <w:r>
        <w:rPr>
          <w:rFonts w:hint="eastAsia" w:ascii="仿宋" w:hAnsi="仿宋" w:eastAsia="仿宋" w:cs="仿宋"/>
          <w:sz w:val="28"/>
          <w:szCs w:val="28"/>
        </w:rPr>
        <w:t>地 址：乌鲁木齐市水磨沟区温泉西路68号</w:t>
      </w:r>
    </w:p>
    <w:p>
      <w:pPr>
        <w:spacing w:line="360" w:lineRule="auto"/>
        <w:rPr>
          <w:rFonts w:ascii="仿宋" w:hAnsi="仿宋" w:eastAsia="仿宋" w:cs="仿宋"/>
          <w:sz w:val="28"/>
          <w:szCs w:val="28"/>
        </w:rPr>
      </w:pPr>
      <w:r>
        <w:rPr>
          <w:rFonts w:hint="eastAsia" w:ascii="仿宋" w:hAnsi="仿宋" w:eastAsia="仿宋" w:cs="仿宋"/>
          <w:sz w:val="28"/>
          <w:szCs w:val="28"/>
          <w:lang w:eastAsia="zh-Hans"/>
        </w:rPr>
        <w:t>联系人：</w:t>
      </w:r>
      <w:r>
        <w:rPr>
          <w:rFonts w:hint="eastAsia" w:ascii="仿宋" w:hAnsi="仿宋" w:eastAsia="仿宋" w:cs="仿宋"/>
          <w:sz w:val="28"/>
          <w:szCs w:val="28"/>
        </w:rPr>
        <w:t>王鹏</w:t>
      </w:r>
    </w:p>
    <w:p>
      <w:pPr>
        <w:spacing w:line="360" w:lineRule="auto"/>
        <w:rPr>
          <w:rFonts w:ascii="仿宋" w:hAnsi="仿宋" w:eastAsia="仿宋" w:cs="仿宋"/>
          <w:sz w:val="28"/>
          <w:szCs w:val="28"/>
        </w:rPr>
      </w:pPr>
      <w:r>
        <w:rPr>
          <w:rFonts w:hint="eastAsia" w:ascii="仿宋" w:hAnsi="仿宋" w:eastAsia="仿宋" w:cs="仿宋"/>
          <w:sz w:val="28"/>
          <w:szCs w:val="28"/>
        </w:rPr>
        <w:t>联系方式：0991-41860</w:t>
      </w:r>
      <w:r>
        <w:rPr>
          <w:rFonts w:hint="eastAsia" w:ascii="仿宋" w:hAnsi="仿宋" w:eastAsia="仿宋" w:cs="仿宋"/>
          <w:sz w:val="28"/>
          <w:szCs w:val="28"/>
          <w:lang w:val="en-US" w:eastAsia="zh-CN"/>
        </w:rPr>
        <w:t>0</w:t>
      </w:r>
      <w:r>
        <w:rPr>
          <w:rFonts w:hint="eastAsia" w:ascii="仿宋" w:hAnsi="仿宋" w:eastAsia="仿宋" w:cs="仿宋"/>
          <w:sz w:val="28"/>
          <w:szCs w:val="28"/>
        </w:rPr>
        <w:t>7</w:t>
      </w:r>
    </w:p>
    <w:p>
      <w:pPr>
        <w:spacing w:line="360" w:lineRule="auto"/>
        <w:rPr>
          <w:rFonts w:ascii="仿宋" w:hAnsi="仿宋" w:eastAsia="仿宋" w:cs="仿宋"/>
          <w:sz w:val="28"/>
          <w:szCs w:val="28"/>
        </w:rPr>
      </w:pPr>
      <w:r>
        <w:rPr>
          <w:rFonts w:hint="eastAsia" w:ascii="仿宋" w:hAnsi="仿宋" w:eastAsia="仿宋" w:cs="仿宋"/>
          <w:sz w:val="28"/>
          <w:szCs w:val="28"/>
        </w:rPr>
        <w:t>2.采购代理机构信息</w:t>
      </w:r>
    </w:p>
    <w:p>
      <w:pPr>
        <w:spacing w:line="360" w:lineRule="auto"/>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lang w:eastAsia="zh-Hans"/>
        </w:rPr>
        <w:t>新疆筑石工程项目管理有限公司</w:t>
      </w:r>
    </w:p>
    <w:p>
      <w:pPr>
        <w:spacing w:line="360" w:lineRule="auto"/>
        <w:rPr>
          <w:rFonts w:ascii="仿宋" w:hAnsi="仿宋" w:eastAsia="仿宋" w:cs="仿宋"/>
          <w:sz w:val="28"/>
          <w:szCs w:val="28"/>
        </w:rPr>
      </w:pPr>
      <w:r>
        <w:rPr>
          <w:rFonts w:hint="eastAsia" w:ascii="仿宋" w:hAnsi="仿宋" w:eastAsia="仿宋" w:cs="仿宋"/>
          <w:sz w:val="28"/>
          <w:szCs w:val="28"/>
        </w:rPr>
        <w:t>地 址：乌鲁木齐市</w:t>
      </w:r>
      <w:r>
        <w:rPr>
          <w:rFonts w:hint="eastAsia" w:ascii="仿宋" w:hAnsi="仿宋" w:eastAsia="仿宋" w:cs="仿宋"/>
          <w:sz w:val="28"/>
          <w:szCs w:val="28"/>
          <w:lang w:eastAsia="zh-Hans"/>
        </w:rPr>
        <w:t>水磨沟区鸿泰路66号万科大都会9号楼506室</w:t>
      </w:r>
    </w:p>
    <w:p>
      <w:pPr>
        <w:spacing w:line="360" w:lineRule="auto"/>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Hans"/>
        </w:rPr>
        <w:t>刘婉璐</w:t>
      </w:r>
    </w:p>
    <w:p>
      <w:pPr>
        <w:widowControl/>
        <w:adjustRightInd w:val="0"/>
        <w:snapToGrid w:val="0"/>
        <w:spacing w:line="360" w:lineRule="auto"/>
        <w:rPr>
          <w:rFonts w:ascii="仿宋" w:hAnsi="仿宋" w:eastAsia="仿宋" w:cs="仿宋"/>
          <w:b/>
          <w:sz w:val="28"/>
          <w:szCs w:val="28"/>
          <w:lang w:bidi="ar"/>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lang w:eastAsia="zh-Hans"/>
        </w:rPr>
        <w:t>联系方式</w:t>
      </w:r>
      <w:r>
        <w:rPr>
          <w:rFonts w:hint="eastAsia" w:ascii="仿宋" w:hAnsi="仿宋" w:eastAsia="仿宋" w:cs="仿宋"/>
          <w:sz w:val="28"/>
          <w:szCs w:val="28"/>
        </w:rPr>
        <w:t>：18167895336</w:t>
      </w:r>
    </w:p>
    <w:p>
      <w:pPr>
        <w:pStyle w:val="3"/>
        <w:rPr>
          <w:rFonts w:ascii="仿宋" w:hAnsi="仿宋" w:eastAsia="仿宋" w:cs="仿宋"/>
          <w:sz w:val="28"/>
          <w:szCs w:val="28"/>
          <w:lang w:eastAsia="zh-Hans"/>
        </w:rPr>
      </w:pPr>
      <w:bookmarkStart w:id="9" w:name="_Toc916278269_WPSOffice_Level1"/>
      <w:r>
        <w:rPr>
          <w:rFonts w:hint="eastAsia" w:ascii="仿宋" w:hAnsi="仿宋" w:eastAsia="仿宋" w:cs="仿宋"/>
          <w:sz w:val="28"/>
          <w:szCs w:val="28"/>
          <w:lang w:eastAsia="zh-Hans"/>
        </w:rPr>
        <w:t>第二章 投标须知</w:t>
      </w:r>
      <w:bookmarkEnd w:id="8"/>
      <w:bookmarkEnd w:id="9"/>
    </w:p>
    <w:p>
      <w:pPr>
        <w:numPr>
          <w:ilvl w:val="0"/>
          <w:numId w:val="3"/>
        </w:numPr>
        <w:adjustRightInd w:val="0"/>
        <w:snapToGrid w:val="0"/>
        <w:spacing w:line="360" w:lineRule="auto"/>
        <w:rPr>
          <w:rFonts w:ascii="仿宋" w:hAnsi="仿宋" w:eastAsia="仿宋" w:cs="仿宋"/>
          <w:sz w:val="28"/>
          <w:szCs w:val="28"/>
          <w:lang w:eastAsia="zh-Hans"/>
        </w:rPr>
      </w:pPr>
      <w:r>
        <w:rPr>
          <w:rFonts w:hint="eastAsia" w:ascii="仿宋" w:hAnsi="仿宋" w:eastAsia="仿宋" w:cs="仿宋"/>
          <w:b/>
          <w:bCs/>
          <w:sz w:val="28"/>
          <w:szCs w:val="28"/>
          <w:lang w:eastAsia="zh-Hans"/>
        </w:rPr>
        <w:t>投标须知前</w:t>
      </w:r>
      <w:r>
        <w:rPr>
          <w:rFonts w:hint="eastAsia" w:ascii="仿宋" w:hAnsi="仿宋" w:eastAsia="仿宋" w:cs="仿宋"/>
          <w:b/>
          <w:bCs/>
          <w:sz w:val="28"/>
          <w:szCs w:val="28"/>
        </w:rPr>
        <w:t>附表</w:t>
      </w:r>
    </w:p>
    <w:tbl>
      <w:tblPr>
        <w:tblStyle w:val="23"/>
        <w:tblpPr w:leftFromText="180" w:rightFromText="180" w:vertAnchor="text" w:horzAnchor="page" w:tblpX="1793" w:tblpY="624"/>
        <w:tblOverlap w:val="never"/>
        <w:tblW w:w="4998" w:type="pct"/>
        <w:tblInd w:w="0" w:type="dxa"/>
        <w:tblLayout w:type="autofit"/>
        <w:tblCellMar>
          <w:top w:w="15" w:type="dxa"/>
          <w:left w:w="15" w:type="dxa"/>
          <w:bottom w:w="15" w:type="dxa"/>
          <w:right w:w="15" w:type="dxa"/>
        </w:tblCellMar>
      </w:tblPr>
      <w:tblGrid>
        <w:gridCol w:w="610"/>
        <w:gridCol w:w="892"/>
        <w:gridCol w:w="1992"/>
        <w:gridCol w:w="4839"/>
      </w:tblGrid>
      <w:tr>
        <w:tblPrEx>
          <w:tblCellMar>
            <w:top w:w="15" w:type="dxa"/>
            <w:left w:w="15" w:type="dxa"/>
            <w:bottom w:w="15" w:type="dxa"/>
            <w:right w:w="15"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bookmarkStart w:id="10" w:name="_Toc406782584_WPSOffice_Level2"/>
            <w:r>
              <w:rPr>
                <w:rFonts w:hint="eastAsia" w:ascii="仿宋" w:hAnsi="仿宋" w:eastAsia="仿宋" w:cs="仿宋"/>
                <w:color w:val="000000"/>
                <w:kern w:val="0"/>
                <w:sz w:val="24"/>
                <w:szCs w:val="24"/>
                <w:lang w:bidi="ar"/>
              </w:rPr>
              <w:t>序号</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条款号</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条款名称</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编列内容</w:t>
            </w:r>
          </w:p>
        </w:tc>
      </w:tr>
      <w:tr>
        <w:tblPrEx>
          <w:tblCellMar>
            <w:top w:w="15" w:type="dxa"/>
            <w:left w:w="15" w:type="dxa"/>
            <w:bottom w:w="15" w:type="dxa"/>
            <w:right w:w="15" w:type="dxa"/>
          </w:tblCellMar>
        </w:tblPrEx>
        <w:trPr>
          <w:trHeight w:val="67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招标人</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招标人名称：中共乌鲁木齐市水磨沟区委员会政法委员会</w:t>
            </w:r>
          </w:p>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联系方式：详见招标公告</w:t>
            </w:r>
          </w:p>
        </w:tc>
      </w:tr>
      <w:tr>
        <w:tblPrEx>
          <w:tblCellMar>
            <w:top w:w="15" w:type="dxa"/>
            <w:left w:w="15" w:type="dxa"/>
            <w:bottom w:w="15" w:type="dxa"/>
            <w:right w:w="15"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招标代理机构</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招标代理机构名称：新疆筑石工程项目管理有限公司</w:t>
            </w:r>
          </w:p>
          <w:p>
            <w:pPr>
              <w:widowControl/>
              <w:adjustRightInd w:val="0"/>
              <w:snapToGrid w:val="0"/>
              <w:spacing w:line="36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联系方式：详见招标公告</w:t>
            </w:r>
          </w:p>
        </w:tc>
      </w:tr>
      <w:tr>
        <w:tblPrEx>
          <w:tblCellMar>
            <w:top w:w="15" w:type="dxa"/>
            <w:left w:w="15" w:type="dxa"/>
            <w:bottom w:w="15" w:type="dxa"/>
            <w:right w:w="15" w:type="dxa"/>
          </w:tblCellMar>
        </w:tblPrEx>
        <w:trPr>
          <w:trHeight w:val="57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招标项目名称</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sz w:val="24"/>
                <w:szCs w:val="24"/>
              </w:rPr>
              <w:t>水磨沟区</w:t>
            </w:r>
            <w:r>
              <w:rPr>
                <w:rFonts w:hint="eastAsia" w:ascii="仿宋" w:hAnsi="仿宋" w:eastAsia="仿宋" w:cs="仿宋"/>
                <w:sz w:val="24"/>
                <w:szCs w:val="24"/>
                <w:lang w:eastAsia="zh-CN"/>
              </w:rPr>
              <w:t xml:space="preserve"> </w:t>
            </w:r>
            <w:r>
              <w:rPr>
                <w:rFonts w:hint="eastAsia" w:ascii="仿宋" w:hAnsi="仿宋" w:eastAsia="仿宋" w:cs="仿宋"/>
                <w:sz w:val="24"/>
                <w:szCs w:val="24"/>
              </w:rPr>
              <w:t>相关设备专线链路租赁</w:t>
            </w:r>
          </w:p>
        </w:tc>
      </w:tr>
      <w:tr>
        <w:tblPrEx>
          <w:tblCellMar>
            <w:top w:w="15" w:type="dxa"/>
            <w:left w:w="15" w:type="dxa"/>
            <w:bottom w:w="15" w:type="dxa"/>
            <w:right w:w="15" w:type="dxa"/>
          </w:tblCellMar>
        </w:tblPrEx>
        <w:trPr>
          <w:trHeight w:val="438"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项目预算金额</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11,821,200.00</w:t>
            </w:r>
            <w:r>
              <w:rPr>
                <w:rFonts w:hint="eastAsia" w:ascii="仿宋" w:hAnsi="仿宋" w:eastAsia="仿宋" w:cs="仿宋"/>
                <w:color w:val="000000"/>
                <w:sz w:val="24"/>
                <w:szCs w:val="24"/>
              </w:rPr>
              <w:t>元</w:t>
            </w:r>
          </w:p>
        </w:tc>
      </w:tr>
      <w:tr>
        <w:tblPrEx>
          <w:tblCellMar>
            <w:top w:w="15" w:type="dxa"/>
            <w:left w:w="15" w:type="dxa"/>
            <w:bottom w:w="15" w:type="dxa"/>
            <w:right w:w="15" w:type="dxa"/>
          </w:tblCellMar>
        </w:tblPrEx>
        <w:trPr>
          <w:trHeight w:val="438"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资金来源</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sz w:val="24"/>
                <w:szCs w:val="24"/>
              </w:rPr>
              <w:t>区级财政资金</w:t>
            </w:r>
          </w:p>
        </w:tc>
      </w:tr>
      <w:tr>
        <w:tblPrEx>
          <w:tblCellMar>
            <w:top w:w="15" w:type="dxa"/>
            <w:left w:w="15" w:type="dxa"/>
            <w:bottom w:w="15" w:type="dxa"/>
            <w:right w:w="15" w:type="dxa"/>
          </w:tblCellMar>
        </w:tblPrEx>
        <w:trPr>
          <w:trHeight w:val="40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资金落实情况</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已落实</w:t>
            </w:r>
          </w:p>
        </w:tc>
      </w:tr>
      <w:tr>
        <w:tblPrEx>
          <w:tblCellMar>
            <w:top w:w="15" w:type="dxa"/>
            <w:left w:w="15" w:type="dxa"/>
            <w:bottom w:w="15" w:type="dxa"/>
            <w:right w:w="15" w:type="dxa"/>
          </w:tblCellMar>
        </w:tblPrEx>
        <w:trPr>
          <w:trHeight w:val="40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服务期限</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sz w:val="24"/>
                <w:szCs w:val="24"/>
              </w:rPr>
              <w:t>一年</w:t>
            </w:r>
          </w:p>
        </w:tc>
      </w:tr>
      <w:tr>
        <w:tblPrEx>
          <w:tblCellMar>
            <w:top w:w="15" w:type="dxa"/>
            <w:left w:w="15" w:type="dxa"/>
            <w:bottom w:w="15" w:type="dxa"/>
            <w:right w:w="15" w:type="dxa"/>
          </w:tblCellMar>
        </w:tblPrEx>
        <w:trPr>
          <w:trHeight w:val="40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招标范围</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sz w:val="24"/>
                <w:szCs w:val="24"/>
                <w:highlight w:val="none"/>
              </w:rPr>
              <w:t>水磨沟区</w:t>
            </w:r>
            <w:r>
              <w:rPr>
                <w:rFonts w:hint="eastAsia" w:ascii="仿宋" w:hAnsi="仿宋" w:eastAsia="仿宋" w:cs="仿宋"/>
                <w:sz w:val="24"/>
                <w:szCs w:val="24"/>
                <w:highlight w:val="none"/>
                <w:lang w:eastAsia="zh-CN"/>
              </w:rPr>
              <w:t xml:space="preserve"> </w:t>
            </w:r>
            <w:r>
              <w:rPr>
                <w:rFonts w:hint="eastAsia" w:ascii="仿宋" w:hAnsi="仿宋" w:eastAsia="仿宋" w:cs="仿宋"/>
                <w:sz w:val="24"/>
                <w:szCs w:val="24"/>
                <w:highlight w:val="none"/>
              </w:rPr>
              <w:t>相关设备专线链路租赁</w:t>
            </w:r>
          </w:p>
        </w:tc>
      </w:tr>
      <w:tr>
        <w:tblPrEx>
          <w:tblCellMar>
            <w:top w:w="15" w:type="dxa"/>
            <w:left w:w="15" w:type="dxa"/>
            <w:bottom w:w="15" w:type="dxa"/>
            <w:right w:w="15" w:type="dxa"/>
          </w:tblCellMar>
        </w:tblPrEx>
        <w:trPr>
          <w:trHeight w:val="501"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1.4.1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投标人资质条件、能力、信誉</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1、具有独立承担民事责任的能力</w:t>
            </w:r>
          </w:p>
          <w:p>
            <w:pPr>
              <w:widowControl/>
              <w:adjustRightInd w:val="0"/>
              <w:snapToGrid w:val="0"/>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2、满足《中华人民共和国政府采购法》第二十二条规定，符合法律、法规和本采购文件规定的其他条件</w:t>
            </w:r>
          </w:p>
          <w:p>
            <w:pPr>
              <w:widowControl/>
              <w:adjustRightInd w:val="0"/>
              <w:snapToGrid w:val="0"/>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3、本项目的特定资格要求：</w:t>
            </w:r>
          </w:p>
          <w:p>
            <w:pPr>
              <w:widowControl/>
              <w:adjustRightInd w:val="0"/>
              <w:snapToGrid w:val="0"/>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（1）具有有效的法人营业执照；</w:t>
            </w:r>
          </w:p>
          <w:p>
            <w:pPr>
              <w:widowControl/>
              <w:adjustRightInd w:val="0"/>
              <w:snapToGrid w:val="0"/>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（2）投标</w:t>
            </w:r>
            <w:r>
              <w:rPr>
                <w:rFonts w:hint="eastAsia" w:ascii="仿宋" w:hAnsi="仿宋" w:eastAsia="仿宋" w:cs="仿宋"/>
                <w:color w:val="000000"/>
                <w:kern w:val="0"/>
                <w:sz w:val="24"/>
                <w:szCs w:val="24"/>
                <w:lang w:eastAsia="zh-Hans" w:bidi="ar"/>
              </w:rPr>
              <w:t>供应商</w:t>
            </w:r>
            <w:r>
              <w:rPr>
                <w:rFonts w:hint="eastAsia" w:ascii="仿宋" w:hAnsi="仿宋" w:eastAsia="仿宋" w:cs="仿宋"/>
                <w:color w:val="000000"/>
                <w:kern w:val="0"/>
                <w:sz w:val="24"/>
                <w:szCs w:val="24"/>
                <w:lang w:bidi="ar"/>
              </w:rPr>
              <w:t>未在“信用中国”网站（www.creditchina.gov.cn ）、中国政府采购网（www.ccgp.gov.cn）等渠道列入失信被执行人、重大税收违法案件当事人名单、政府采购严重违法失信行为记录名单；</w:t>
            </w:r>
          </w:p>
          <w:p>
            <w:pPr>
              <w:widowControl/>
              <w:adjustRightInd w:val="0"/>
              <w:snapToGrid w:val="0"/>
              <w:spacing w:line="360" w:lineRule="auto"/>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（3）单位负责人为同一人或者存在直接控股、管理关系的不同供应商，不得参加同一合同项下的政府采购活动。</w:t>
            </w:r>
          </w:p>
        </w:tc>
      </w:tr>
      <w:tr>
        <w:tblPrEx>
          <w:tblCellMar>
            <w:top w:w="15" w:type="dxa"/>
            <w:left w:w="15" w:type="dxa"/>
            <w:bottom w:w="15" w:type="dxa"/>
            <w:right w:w="15"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是否接受联合体投标</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不接受</w:t>
            </w:r>
          </w:p>
        </w:tc>
      </w:tr>
      <w:tr>
        <w:tblPrEx>
          <w:tblCellMar>
            <w:top w:w="15" w:type="dxa"/>
            <w:left w:w="15" w:type="dxa"/>
            <w:bottom w:w="15" w:type="dxa"/>
            <w:right w:w="15" w:type="dxa"/>
          </w:tblCellMar>
        </w:tblPrEx>
        <w:trPr>
          <w:trHeight w:val="58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投标人不得存在的其他情形</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详见投标人须知1.4.4款</w:t>
            </w:r>
          </w:p>
        </w:tc>
      </w:tr>
      <w:tr>
        <w:tblPrEx>
          <w:tblCellMar>
            <w:top w:w="15" w:type="dxa"/>
            <w:left w:w="15" w:type="dxa"/>
            <w:bottom w:w="15" w:type="dxa"/>
            <w:right w:w="15" w:type="dxa"/>
          </w:tblCellMar>
        </w:tblPrEx>
        <w:trPr>
          <w:trHeight w:val="37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投标预备会</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不召开</w:t>
            </w:r>
          </w:p>
        </w:tc>
      </w:tr>
      <w:tr>
        <w:tblPrEx>
          <w:tblCellMar>
            <w:top w:w="15" w:type="dxa"/>
            <w:left w:w="15" w:type="dxa"/>
            <w:bottom w:w="15" w:type="dxa"/>
            <w:right w:w="15" w:type="dxa"/>
          </w:tblCellMar>
        </w:tblPrEx>
        <w:trPr>
          <w:trHeight w:val="94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投标人在投标预备会前提出问题</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w:t>
            </w:r>
          </w:p>
        </w:tc>
      </w:tr>
      <w:tr>
        <w:tblPrEx>
          <w:tblCellMar>
            <w:top w:w="15" w:type="dxa"/>
            <w:left w:w="15" w:type="dxa"/>
            <w:bottom w:w="15" w:type="dxa"/>
            <w:right w:w="15"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1.9.3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招标文件澄清发出的形式</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tblPrEx>
          <w:tblCellMar>
            <w:top w:w="15" w:type="dxa"/>
            <w:left w:w="15" w:type="dxa"/>
            <w:bottom w:w="15" w:type="dxa"/>
            <w:right w:w="15"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1.10.1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分包</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tblPrEx>
          <w:tblCellMar>
            <w:top w:w="15" w:type="dxa"/>
            <w:left w:w="15" w:type="dxa"/>
            <w:bottom w:w="15" w:type="dxa"/>
            <w:right w:w="15"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16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1.11.3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技术支持资料</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tblPrEx>
          <w:tblCellMar>
            <w:top w:w="15" w:type="dxa"/>
            <w:left w:w="15" w:type="dxa"/>
            <w:bottom w:w="15" w:type="dxa"/>
            <w:right w:w="15" w:type="dxa"/>
          </w:tblCellMar>
        </w:tblPrEx>
        <w:trPr>
          <w:trHeight w:val="1642"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投标文件的组成、份数</w:t>
            </w:r>
          </w:p>
        </w:tc>
        <w:tc>
          <w:tcPr>
            <w:tcW w:w="2902" w:type="pct"/>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360" w:lineRule="auto"/>
              <w:jc w:val="left"/>
              <w:textAlignment w:val="top"/>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投标文件</w:t>
            </w:r>
            <w:r>
              <w:rPr>
                <w:rFonts w:hint="eastAsia" w:ascii="仿宋" w:hAnsi="仿宋" w:eastAsia="仿宋" w:cs="仿宋"/>
                <w:color w:val="000000"/>
                <w:kern w:val="0"/>
                <w:sz w:val="24"/>
                <w:szCs w:val="24"/>
                <w:lang w:eastAsia="zh-Hans" w:bidi="ar"/>
              </w:rPr>
              <w:t>组成：</w:t>
            </w:r>
            <w:r>
              <w:rPr>
                <w:rFonts w:hint="eastAsia" w:ascii="仿宋" w:hAnsi="仿宋" w:eastAsia="仿宋" w:cs="仿宋"/>
                <w:color w:val="000000"/>
                <w:kern w:val="0"/>
                <w:sz w:val="24"/>
                <w:szCs w:val="24"/>
                <w:lang w:bidi="ar"/>
              </w:rPr>
              <w:t>开标一览表、资格审查资料信封、投标文件</w:t>
            </w:r>
            <w:r>
              <w:rPr>
                <w:rFonts w:hint="eastAsia" w:ascii="仿宋" w:hAnsi="仿宋" w:eastAsia="仿宋" w:cs="仿宋"/>
                <w:color w:val="000000"/>
                <w:kern w:val="0"/>
                <w:sz w:val="24"/>
                <w:szCs w:val="24"/>
                <w:lang w:eastAsia="zh-Hans" w:bidi="ar"/>
              </w:rPr>
              <w:t>正副本</w:t>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eastAsia="zh-Hans" w:bidi="ar"/>
              </w:rPr>
              <w:t>上述文件除资格审查</w:t>
            </w:r>
            <w:r>
              <w:rPr>
                <w:rFonts w:hint="eastAsia" w:ascii="仿宋" w:hAnsi="仿宋" w:eastAsia="仿宋" w:cs="仿宋"/>
                <w:color w:val="000000"/>
                <w:kern w:val="0"/>
                <w:sz w:val="24"/>
                <w:szCs w:val="24"/>
                <w:lang w:bidi="ar"/>
              </w:rPr>
              <w:t>资料</w:t>
            </w:r>
            <w:r>
              <w:rPr>
                <w:rFonts w:hint="eastAsia" w:ascii="仿宋" w:hAnsi="仿宋" w:eastAsia="仿宋" w:cs="仿宋"/>
                <w:color w:val="000000"/>
                <w:kern w:val="0"/>
                <w:sz w:val="24"/>
                <w:szCs w:val="24"/>
                <w:lang w:eastAsia="zh-Hans" w:bidi="ar"/>
              </w:rPr>
              <w:t>信封均</w:t>
            </w:r>
            <w:r>
              <w:rPr>
                <w:rFonts w:hint="eastAsia" w:ascii="仿宋" w:hAnsi="仿宋" w:eastAsia="仿宋" w:cs="仿宋"/>
                <w:color w:val="000000"/>
                <w:kern w:val="0"/>
                <w:sz w:val="24"/>
                <w:szCs w:val="24"/>
                <w:lang w:bidi="ar"/>
              </w:rPr>
              <w:t>单独密封</w:t>
            </w:r>
            <w:r>
              <w:rPr>
                <w:rFonts w:hint="eastAsia" w:ascii="仿宋" w:hAnsi="仿宋" w:eastAsia="仿宋" w:cs="仿宋"/>
                <w:color w:val="000000"/>
                <w:kern w:val="0"/>
                <w:sz w:val="24"/>
                <w:szCs w:val="24"/>
                <w:lang w:eastAsia="zh-Hans" w:bidi="ar"/>
              </w:rPr>
              <w:t>且提供投标文件电子版，</w:t>
            </w:r>
            <w:r>
              <w:rPr>
                <w:rFonts w:hint="eastAsia" w:ascii="仿宋" w:hAnsi="仿宋" w:eastAsia="仿宋" w:cs="仿宋"/>
                <w:sz w:val="24"/>
                <w:szCs w:val="24"/>
              </w:rPr>
              <w:t>投标文件电子版（u盘）可以</w:t>
            </w:r>
            <w:r>
              <w:rPr>
                <w:rFonts w:hint="eastAsia" w:ascii="仿宋" w:hAnsi="仿宋" w:eastAsia="仿宋" w:cs="仿宋"/>
                <w:sz w:val="24"/>
                <w:szCs w:val="24"/>
                <w:lang w:eastAsia="zh-Hans"/>
              </w:rPr>
              <w:t>和投标文件正副本</w:t>
            </w:r>
            <w:r>
              <w:rPr>
                <w:rFonts w:hint="eastAsia" w:ascii="仿宋" w:hAnsi="仿宋" w:eastAsia="仿宋" w:cs="仿宋"/>
                <w:sz w:val="24"/>
                <w:szCs w:val="24"/>
              </w:rPr>
              <w:t>密封在同一投标文件袋中</w:t>
            </w:r>
            <w:r>
              <w:rPr>
                <w:rFonts w:hint="eastAsia" w:ascii="仿宋" w:hAnsi="仿宋" w:eastAsia="仿宋" w:cs="仿宋"/>
                <w:color w:val="000000"/>
                <w:kern w:val="0"/>
                <w:sz w:val="24"/>
                <w:szCs w:val="24"/>
                <w:lang w:bidi="ar"/>
              </w:rPr>
              <w:t>）。</w:t>
            </w:r>
          </w:p>
          <w:p>
            <w:pPr>
              <w:widowControl/>
              <w:adjustRightInd w:val="0"/>
              <w:snapToGrid w:val="0"/>
              <w:spacing w:line="360" w:lineRule="auto"/>
              <w:jc w:val="left"/>
              <w:textAlignment w:val="top"/>
              <w:rPr>
                <w:rFonts w:ascii="仿宋" w:hAnsi="仿宋" w:eastAsia="仿宋" w:cs="仿宋"/>
                <w:b/>
                <w:color w:val="000000"/>
                <w:sz w:val="24"/>
                <w:szCs w:val="24"/>
              </w:rPr>
            </w:pPr>
            <w:r>
              <w:rPr>
                <w:rFonts w:hint="eastAsia" w:ascii="仿宋" w:hAnsi="仿宋" w:eastAsia="仿宋" w:cs="仿宋"/>
                <w:color w:val="000000"/>
                <w:kern w:val="0"/>
                <w:sz w:val="24"/>
                <w:szCs w:val="24"/>
                <w:lang w:eastAsia="zh-Hans" w:bidi="ar"/>
              </w:rPr>
              <w:t>投标文件份数：</w:t>
            </w:r>
            <w:r>
              <w:rPr>
                <w:rFonts w:hint="eastAsia" w:ascii="仿宋" w:hAnsi="仿宋" w:eastAsia="仿宋" w:cs="仿宋"/>
                <w:color w:val="000000"/>
                <w:kern w:val="0"/>
                <w:sz w:val="24"/>
                <w:szCs w:val="24"/>
                <w:lang w:bidi="ar"/>
              </w:rPr>
              <w:t>正本一份、副本</w:t>
            </w:r>
            <w:r>
              <w:rPr>
                <w:rFonts w:hint="eastAsia" w:ascii="仿宋" w:hAnsi="仿宋" w:eastAsia="仿宋" w:cs="仿宋"/>
                <w:color w:val="000000"/>
                <w:kern w:val="0"/>
                <w:sz w:val="24"/>
                <w:szCs w:val="24"/>
                <w:lang w:val="en-US" w:eastAsia="zh-CN" w:bidi="ar"/>
              </w:rPr>
              <w:t>六</w:t>
            </w:r>
            <w:r>
              <w:rPr>
                <w:rFonts w:hint="eastAsia" w:ascii="仿宋" w:hAnsi="仿宋" w:eastAsia="仿宋" w:cs="仿宋"/>
                <w:color w:val="000000"/>
                <w:kern w:val="0"/>
                <w:sz w:val="24"/>
                <w:szCs w:val="24"/>
                <w:lang w:bidi="ar"/>
              </w:rPr>
              <w:t>份</w:t>
            </w:r>
          </w:p>
        </w:tc>
      </w:tr>
      <w:tr>
        <w:tblPrEx>
          <w:tblCellMar>
            <w:top w:w="15" w:type="dxa"/>
            <w:left w:w="15" w:type="dxa"/>
            <w:bottom w:w="15" w:type="dxa"/>
            <w:right w:w="15" w:type="dxa"/>
          </w:tblCellMar>
        </w:tblPrEx>
        <w:trPr>
          <w:trHeight w:val="15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Hans"/>
              </w:rPr>
              <w:t>.2.1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投标人要求澄清招标文件</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sz w:val="24"/>
                <w:szCs w:val="24"/>
              </w:rPr>
            </w:pPr>
            <w:r>
              <w:rPr>
                <w:sz w:val="24"/>
                <w:szCs w:val="24"/>
              </w:rPr>
              <w:fldChar w:fldCharType="begin"/>
            </w:r>
            <w:r>
              <w:rPr>
                <w:sz w:val="24"/>
                <w:szCs w:val="24"/>
              </w:rPr>
              <w:instrText xml:space="preserve"> HYPERLINK "mailto:将答疑问题发送至gx85239977@163.com" </w:instrText>
            </w:r>
            <w:r>
              <w:rPr>
                <w:sz w:val="24"/>
                <w:szCs w:val="24"/>
              </w:rPr>
              <w:fldChar w:fldCharType="separate"/>
            </w:r>
            <w:r>
              <w:rPr>
                <w:rStyle w:val="28"/>
                <w:rFonts w:hint="eastAsia" w:ascii="仿宋" w:hAnsi="仿宋" w:eastAsia="仿宋" w:cs="仿宋"/>
                <w:color w:val="auto"/>
                <w:sz w:val="24"/>
                <w:szCs w:val="24"/>
              </w:rPr>
              <w:t>在递交投标文件截止时间十五日前，将答疑问题发送至xjzs420@163.com邮箱（需提供所需答疑问题盖章的扫描件一份和word版本一份），并通知招标代理机构。逾期的或未按本款要求形式提出的或未以书面形式通知招标代理机构的解答要求将不被接受或答复。</w:t>
            </w:r>
            <w:r>
              <w:rPr>
                <w:rStyle w:val="28"/>
                <w:rFonts w:hint="eastAsia" w:ascii="仿宋" w:hAnsi="仿宋" w:eastAsia="仿宋" w:cs="仿宋"/>
                <w:color w:val="auto"/>
                <w:sz w:val="24"/>
                <w:szCs w:val="24"/>
              </w:rPr>
              <w:fldChar w:fldCharType="end"/>
            </w:r>
          </w:p>
        </w:tc>
      </w:tr>
      <w:tr>
        <w:tblPrEx>
          <w:tblCellMar>
            <w:top w:w="15" w:type="dxa"/>
            <w:left w:w="15" w:type="dxa"/>
            <w:bottom w:w="15" w:type="dxa"/>
            <w:right w:w="15"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4.2.2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投标人确认收到招标文件修改</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应在收到澄清后48小时内书面回复，确认已收到该澄清。</w:t>
            </w:r>
          </w:p>
        </w:tc>
      </w:tr>
      <w:tr>
        <w:tblPrEx>
          <w:tblCellMar>
            <w:top w:w="15" w:type="dxa"/>
            <w:left w:w="15" w:type="dxa"/>
            <w:bottom w:w="15" w:type="dxa"/>
            <w:right w:w="15"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Hans"/>
              </w:rPr>
              <w:t>.5.</w:t>
            </w:r>
            <w:r>
              <w:rPr>
                <w:rFonts w:hint="eastAsia" w:ascii="仿宋" w:hAnsi="仿宋" w:eastAsia="仿宋" w:cs="仿宋"/>
                <w:color w:val="000000"/>
                <w:sz w:val="24"/>
                <w:szCs w:val="24"/>
              </w:rPr>
              <w:t>4</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最高投标限价</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本项目最高投标限价。</w:t>
            </w:r>
          </w:p>
          <w:p>
            <w:pPr>
              <w:widowControl/>
              <w:adjustRightInd w:val="0"/>
              <w:snapToGrid w:val="0"/>
              <w:spacing w:line="360" w:lineRule="auto"/>
              <w:textAlignment w:val="center"/>
              <w:rPr>
                <w:rFonts w:hint="eastAsia" w:ascii="仿宋" w:hAnsi="仿宋" w:eastAsia="仿宋" w:cs="仿宋"/>
                <w:b/>
                <w:bCs/>
                <w:color w:val="000000"/>
                <w:sz w:val="24"/>
                <w:szCs w:val="24"/>
                <w:highlight w:val="none"/>
                <w:u w:val="single"/>
                <w:lang w:eastAsia="zh-CN"/>
              </w:rPr>
            </w:pPr>
            <w:r>
              <w:rPr>
                <w:rFonts w:hint="eastAsia" w:ascii="仿宋" w:hAnsi="仿宋" w:eastAsia="仿宋" w:cs="仿宋"/>
                <w:b/>
                <w:bCs/>
                <w:color w:val="000000"/>
                <w:sz w:val="24"/>
                <w:szCs w:val="24"/>
                <w:highlight w:val="none"/>
              </w:rPr>
              <w:t>标项一：</w:t>
            </w:r>
            <w:r>
              <w:rPr>
                <w:rFonts w:hint="eastAsia" w:ascii="仿宋" w:hAnsi="仿宋" w:eastAsia="仿宋" w:cs="仿宋"/>
                <w:b/>
                <w:bCs/>
                <w:color w:val="000000"/>
                <w:sz w:val="24"/>
                <w:szCs w:val="24"/>
                <w:highlight w:val="none"/>
                <w:u w:val="single"/>
                <w:lang w:eastAsia="zh-CN"/>
              </w:rPr>
              <w:t>柒佰肆拾壹万贰仟贰佰元整（小写：</w:t>
            </w:r>
            <w:r>
              <w:rPr>
                <w:rFonts w:hint="eastAsia" w:ascii="仿宋" w:hAnsi="仿宋" w:eastAsia="仿宋" w:cs="仿宋"/>
                <w:b/>
                <w:bCs/>
                <w:color w:val="000000"/>
                <w:sz w:val="24"/>
                <w:szCs w:val="24"/>
                <w:highlight w:val="none"/>
                <w:u w:val="single"/>
              </w:rPr>
              <w:t>7</w:t>
            </w:r>
            <w:r>
              <w:rPr>
                <w:rFonts w:hint="eastAsia" w:ascii="仿宋" w:hAnsi="仿宋" w:eastAsia="仿宋" w:cs="仿宋"/>
                <w:b/>
                <w:bCs/>
                <w:color w:val="000000"/>
                <w:sz w:val="24"/>
                <w:szCs w:val="24"/>
                <w:highlight w:val="none"/>
                <w:u w:val="single"/>
                <w:lang w:val="en-US" w:eastAsia="zh-CN"/>
              </w:rPr>
              <w:t>,</w:t>
            </w:r>
            <w:r>
              <w:rPr>
                <w:rFonts w:hint="eastAsia" w:ascii="仿宋" w:hAnsi="仿宋" w:eastAsia="仿宋" w:cs="仿宋"/>
                <w:b/>
                <w:bCs/>
                <w:color w:val="000000"/>
                <w:sz w:val="24"/>
                <w:szCs w:val="24"/>
                <w:highlight w:val="none"/>
                <w:u w:val="single"/>
              </w:rPr>
              <w:t>412</w:t>
            </w:r>
            <w:r>
              <w:rPr>
                <w:rFonts w:hint="eastAsia" w:ascii="仿宋" w:hAnsi="仿宋" w:eastAsia="仿宋" w:cs="仿宋"/>
                <w:b/>
                <w:bCs/>
                <w:color w:val="000000"/>
                <w:sz w:val="24"/>
                <w:szCs w:val="24"/>
                <w:highlight w:val="none"/>
                <w:u w:val="single"/>
                <w:lang w:eastAsia="zh-CN"/>
              </w:rPr>
              <w:t>，</w:t>
            </w:r>
            <w:r>
              <w:rPr>
                <w:rFonts w:hint="eastAsia" w:ascii="仿宋" w:hAnsi="仿宋" w:eastAsia="仿宋" w:cs="仿宋"/>
                <w:b/>
                <w:bCs/>
                <w:color w:val="000000"/>
                <w:sz w:val="24"/>
                <w:szCs w:val="24"/>
                <w:highlight w:val="none"/>
                <w:u w:val="single"/>
              </w:rPr>
              <w:t>200</w:t>
            </w:r>
            <w:r>
              <w:rPr>
                <w:rFonts w:hint="eastAsia" w:ascii="仿宋" w:hAnsi="仿宋" w:eastAsia="仿宋" w:cs="仿宋"/>
                <w:b/>
                <w:bCs/>
                <w:color w:val="000000"/>
                <w:sz w:val="24"/>
                <w:szCs w:val="24"/>
                <w:highlight w:val="none"/>
                <w:u w:val="single"/>
                <w:lang w:val="en-US" w:eastAsia="zh-CN"/>
              </w:rPr>
              <w:t>.00</w:t>
            </w:r>
            <w:r>
              <w:rPr>
                <w:rFonts w:hint="eastAsia" w:ascii="仿宋" w:hAnsi="仿宋" w:eastAsia="仿宋" w:cs="仿宋"/>
                <w:b/>
                <w:bCs/>
                <w:color w:val="000000"/>
                <w:sz w:val="24"/>
                <w:szCs w:val="24"/>
                <w:highlight w:val="none"/>
                <w:u w:val="single"/>
              </w:rPr>
              <w:t>元</w:t>
            </w:r>
            <w:r>
              <w:rPr>
                <w:rFonts w:hint="eastAsia" w:ascii="仿宋" w:hAnsi="仿宋" w:eastAsia="仿宋" w:cs="仿宋"/>
                <w:b/>
                <w:bCs/>
                <w:color w:val="000000"/>
                <w:sz w:val="24"/>
                <w:szCs w:val="24"/>
                <w:highlight w:val="none"/>
                <w:u w:val="single"/>
                <w:lang w:eastAsia="zh-CN"/>
              </w:rPr>
              <w:t>）</w:t>
            </w:r>
          </w:p>
          <w:p>
            <w:pPr>
              <w:widowControl/>
              <w:adjustRightInd w:val="0"/>
              <w:snapToGrid w:val="0"/>
              <w:spacing w:line="360" w:lineRule="auto"/>
              <w:textAlignment w:val="center"/>
              <w:rPr>
                <w:rFonts w:ascii="仿宋" w:hAnsi="仿宋" w:eastAsia="仿宋" w:cs="仿宋"/>
                <w:b/>
                <w:bCs/>
                <w:color w:val="000000"/>
                <w:sz w:val="24"/>
                <w:szCs w:val="24"/>
                <w:highlight w:val="none"/>
                <w:u w:val="single"/>
              </w:rPr>
            </w:pPr>
            <w:r>
              <w:rPr>
                <w:rFonts w:hint="eastAsia" w:ascii="仿宋" w:hAnsi="仿宋" w:eastAsia="仿宋" w:cs="仿宋"/>
                <w:b/>
                <w:bCs/>
                <w:color w:val="000000"/>
                <w:sz w:val="24"/>
                <w:szCs w:val="24"/>
                <w:highlight w:val="none"/>
              </w:rPr>
              <w:t>标项二：</w:t>
            </w:r>
            <w:r>
              <w:rPr>
                <w:rFonts w:hint="eastAsia" w:ascii="仿宋" w:hAnsi="仿宋" w:eastAsia="仿宋" w:cs="仿宋"/>
                <w:b/>
                <w:bCs/>
                <w:color w:val="000000"/>
                <w:sz w:val="24"/>
                <w:szCs w:val="24"/>
                <w:highlight w:val="none"/>
                <w:u w:val="single"/>
                <w:lang w:eastAsia="zh-CN"/>
              </w:rPr>
              <w:t>肆佰肆拾万零玖仟</w:t>
            </w:r>
            <w:r>
              <w:rPr>
                <w:rFonts w:hint="eastAsia" w:ascii="仿宋" w:hAnsi="仿宋" w:eastAsia="仿宋" w:cs="仿宋"/>
                <w:b/>
                <w:bCs/>
                <w:color w:val="000000"/>
                <w:sz w:val="24"/>
                <w:szCs w:val="24"/>
                <w:highlight w:val="none"/>
                <w:u w:val="single"/>
              </w:rPr>
              <w:t>元整（小写：4</w:t>
            </w:r>
            <w:r>
              <w:rPr>
                <w:rFonts w:hint="eastAsia" w:ascii="仿宋" w:hAnsi="仿宋" w:eastAsia="仿宋" w:cs="仿宋"/>
                <w:b/>
                <w:bCs/>
                <w:color w:val="000000"/>
                <w:sz w:val="24"/>
                <w:szCs w:val="24"/>
                <w:highlight w:val="none"/>
                <w:u w:val="single"/>
                <w:lang w:val="en-US" w:eastAsia="zh-CN"/>
              </w:rPr>
              <w:t>,</w:t>
            </w:r>
            <w:r>
              <w:rPr>
                <w:rFonts w:hint="eastAsia" w:ascii="仿宋" w:hAnsi="仿宋" w:eastAsia="仿宋" w:cs="仿宋"/>
                <w:b/>
                <w:bCs/>
                <w:color w:val="000000"/>
                <w:sz w:val="24"/>
                <w:szCs w:val="24"/>
                <w:highlight w:val="none"/>
                <w:u w:val="single"/>
              </w:rPr>
              <w:t>409</w:t>
            </w:r>
            <w:r>
              <w:rPr>
                <w:rFonts w:hint="eastAsia" w:ascii="仿宋" w:hAnsi="仿宋" w:eastAsia="仿宋" w:cs="仿宋"/>
                <w:b/>
                <w:bCs/>
                <w:color w:val="000000"/>
                <w:sz w:val="24"/>
                <w:szCs w:val="24"/>
                <w:highlight w:val="none"/>
                <w:u w:val="single"/>
                <w:lang w:val="en-US" w:eastAsia="zh-CN"/>
              </w:rPr>
              <w:t>,</w:t>
            </w:r>
            <w:r>
              <w:rPr>
                <w:rFonts w:hint="eastAsia" w:ascii="仿宋" w:hAnsi="仿宋" w:eastAsia="仿宋" w:cs="仿宋"/>
                <w:b/>
                <w:bCs/>
                <w:color w:val="000000"/>
                <w:sz w:val="24"/>
                <w:szCs w:val="24"/>
                <w:highlight w:val="none"/>
                <w:u w:val="single"/>
              </w:rPr>
              <w:t>000</w:t>
            </w:r>
            <w:r>
              <w:rPr>
                <w:rFonts w:hint="eastAsia" w:ascii="仿宋" w:hAnsi="仿宋" w:eastAsia="仿宋" w:cs="仿宋"/>
                <w:b/>
                <w:bCs/>
                <w:color w:val="000000"/>
                <w:sz w:val="24"/>
                <w:szCs w:val="24"/>
                <w:highlight w:val="none"/>
                <w:u w:val="single"/>
                <w:lang w:val="en-US" w:eastAsia="zh-CN"/>
              </w:rPr>
              <w:t>.00</w:t>
            </w:r>
            <w:r>
              <w:rPr>
                <w:rFonts w:hint="eastAsia" w:ascii="仿宋" w:hAnsi="仿宋" w:eastAsia="仿宋" w:cs="仿宋"/>
                <w:b/>
                <w:bCs/>
                <w:color w:val="000000"/>
                <w:sz w:val="24"/>
                <w:szCs w:val="24"/>
                <w:highlight w:val="none"/>
                <w:u w:val="single"/>
              </w:rPr>
              <w:t>元）</w:t>
            </w:r>
          </w:p>
          <w:p>
            <w:pPr>
              <w:widowControl/>
              <w:adjustRightInd w:val="0"/>
              <w:snapToGrid w:val="0"/>
              <w:spacing w:line="360" w:lineRule="auto"/>
              <w:textAlignment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投标人的投标报价不得超过最高投标限价，否则否决其投标</w:t>
            </w:r>
          </w:p>
        </w:tc>
      </w:tr>
      <w:tr>
        <w:tblPrEx>
          <w:tblCellMar>
            <w:top w:w="15" w:type="dxa"/>
            <w:left w:w="15" w:type="dxa"/>
            <w:bottom w:w="15" w:type="dxa"/>
            <w:right w:w="15" w:type="dxa"/>
          </w:tblCellMar>
        </w:tblPrEx>
        <w:trPr>
          <w:trHeight w:val="49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eastAsia="zh-Hans" w:bidi="ar"/>
              </w:rPr>
              <w:t>.6</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kern w:val="0"/>
                <w:sz w:val="24"/>
                <w:szCs w:val="24"/>
                <w:lang w:eastAsia="zh-Hans" w:bidi="ar"/>
              </w:rPr>
            </w:pPr>
            <w:r>
              <w:rPr>
                <w:rFonts w:hint="eastAsia" w:ascii="仿宋" w:hAnsi="仿宋" w:eastAsia="仿宋" w:cs="仿宋"/>
                <w:color w:val="000000"/>
                <w:kern w:val="0"/>
                <w:sz w:val="24"/>
                <w:szCs w:val="24"/>
                <w:lang w:eastAsia="zh-Hans" w:bidi="ar"/>
              </w:rPr>
              <w:t>低于成本价不正当竞争措施</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在评标过程中，评标小组认为投标人的报价明显低于其他通过符合性审查投标人的报价，有可能影响服务品质或者不能诚信履约的，评标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widowControl/>
              <w:adjustRightInd w:val="0"/>
              <w:snapToGrid w:val="0"/>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widowControl/>
              <w:adjustRightInd w:val="0"/>
              <w:snapToGrid w:val="0"/>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评标小组应当将其投标文件作为无效处理。</w:t>
            </w:r>
          </w:p>
        </w:tc>
      </w:tr>
      <w:tr>
        <w:tblPrEx>
          <w:tblCellMar>
            <w:top w:w="15" w:type="dxa"/>
            <w:left w:w="15" w:type="dxa"/>
            <w:bottom w:w="15" w:type="dxa"/>
            <w:right w:w="15" w:type="dxa"/>
          </w:tblCellMar>
        </w:tblPrEx>
        <w:trPr>
          <w:trHeight w:val="49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3.7.1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投标有效期</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投标截止之日起90个日历天。</w:t>
            </w:r>
          </w:p>
        </w:tc>
      </w:tr>
      <w:tr>
        <w:tblPrEx>
          <w:tblCellMar>
            <w:top w:w="15" w:type="dxa"/>
            <w:left w:w="15" w:type="dxa"/>
            <w:bottom w:w="15" w:type="dxa"/>
            <w:right w:w="15" w:type="dxa"/>
          </w:tblCellMar>
        </w:tblPrEx>
        <w:trPr>
          <w:trHeight w:val="35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3.8</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投标保证金</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投标保证金的金额：</w:t>
            </w:r>
          </w:p>
          <w:p>
            <w:pPr>
              <w:widowControl/>
              <w:adjustRightInd w:val="0"/>
              <w:snapToGrid w:val="0"/>
              <w:spacing w:line="360" w:lineRule="auto"/>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标项一：人民币捌</w:t>
            </w:r>
            <w:r>
              <w:rPr>
                <w:rFonts w:hint="eastAsia" w:ascii="仿宋" w:hAnsi="仿宋" w:eastAsia="仿宋" w:cs="仿宋"/>
                <w:color w:val="000000"/>
                <w:kern w:val="0"/>
                <w:sz w:val="24"/>
                <w:szCs w:val="24"/>
                <w:highlight w:val="none"/>
                <w:lang w:eastAsia="zh-Hans" w:bidi="ar"/>
              </w:rPr>
              <w:t>万</w:t>
            </w:r>
            <w:r>
              <w:rPr>
                <w:rFonts w:hint="eastAsia" w:ascii="仿宋" w:hAnsi="仿宋" w:eastAsia="仿宋" w:cs="仿宋"/>
                <w:color w:val="000000"/>
                <w:kern w:val="0"/>
                <w:sz w:val="24"/>
                <w:szCs w:val="24"/>
                <w:highlight w:val="none"/>
                <w:lang w:bidi="ar"/>
              </w:rPr>
              <w:t>元（￥80,000.00元）。</w:t>
            </w:r>
          </w:p>
          <w:p>
            <w:pPr>
              <w:widowControl/>
              <w:adjustRightInd w:val="0"/>
              <w:snapToGrid w:val="0"/>
              <w:spacing w:line="360" w:lineRule="auto"/>
              <w:jc w:val="left"/>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标项二：人民币</w:t>
            </w:r>
            <w:r>
              <w:rPr>
                <w:rFonts w:hint="eastAsia" w:ascii="仿宋" w:hAnsi="仿宋" w:eastAsia="仿宋" w:cs="仿宋"/>
                <w:color w:val="000000"/>
                <w:kern w:val="0"/>
                <w:sz w:val="24"/>
                <w:szCs w:val="24"/>
                <w:highlight w:val="none"/>
                <w:lang w:val="en-US" w:eastAsia="zh-CN" w:bidi="ar"/>
              </w:rPr>
              <w:t>伍</w:t>
            </w:r>
            <w:r>
              <w:rPr>
                <w:rFonts w:hint="eastAsia" w:ascii="仿宋" w:hAnsi="仿宋" w:eastAsia="仿宋" w:cs="仿宋"/>
                <w:color w:val="000000"/>
                <w:kern w:val="0"/>
                <w:sz w:val="24"/>
                <w:szCs w:val="24"/>
                <w:highlight w:val="none"/>
                <w:lang w:eastAsia="zh-Hans" w:bidi="ar"/>
              </w:rPr>
              <w:t>万</w:t>
            </w:r>
            <w:r>
              <w:rPr>
                <w:rFonts w:hint="eastAsia" w:ascii="仿宋" w:hAnsi="仿宋" w:eastAsia="仿宋" w:cs="仿宋"/>
                <w:color w:val="000000"/>
                <w:kern w:val="0"/>
                <w:sz w:val="24"/>
                <w:szCs w:val="24"/>
                <w:highlight w:val="none"/>
                <w:lang w:bidi="ar"/>
              </w:rPr>
              <w:t>元（￥</w:t>
            </w:r>
            <w:r>
              <w:rPr>
                <w:rFonts w:hint="eastAsia" w:ascii="仿宋" w:hAnsi="仿宋" w:eastAsia="仿宋" w:cs="仿宋"/>
                <w:color w:val="000000"/>
                <w:kern w:val="0"/>
                <w:sz w:val="24"/>
                <w:szCs w:val="24"/>
                <w:highlight w:val="none"/>
                <w:lang w:val="en-US" w:eastAsia="zh-CN" w:bidi="ar"/>
              </w:rPr>
              <w:t>5</w:t>
            </w:r>
            <w:r>
              <w:rPr>
                <w:rFonts w:hint="eastAsia" w:ascii="仿宋" w:hAnsi="仿宋" w:eastAsia="仿宋" w:cs="仿宋"/>
                <w:color w:val="000000"/>
                <w:kern w:val="0"/>
                <w:sz w:val="24"/>
                <w:szCs w:val="24"/>
                <w:highlight w:val="none"/>
                <w:lang w:bidi="ar"/>
              </w:rPr>
              <w:t>0,000.00元）</w:t>
            </w:r>
          </w:p>
          <w:p>
            <w:pPr>
              <w:widowControl/>
              <w:adjustRightInd w:val="0"/>
              <w:snapToGrid w:val="0"/>
              <w:spacing w:line="360" w:lineRule="auto"/>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投标保证金的缴纳形式：银行电汇</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1、投标保证金须以投标单位名义递交，电汇递交投标保证金须注意：投标保证金交纳单位必须与投标单位名称保持一致，并注明“ZSZC-FW-2022002-标项1或2投标保证金”字样，否则，因款项用途不明导致投标无效等后果由投标人自行承担。</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2、建议各投标单位在投标截止时间前，按招标文件的要求向新疆筑石工程项目管理有限公司财务部递交投标保证金，投标截止时间后提交投标保证金将被拒绝。</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汇款账户如下：</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单位名称：新疆筑石工程项目管理有限公司</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开 户 行：中国农业银行股份有限公司乌鲁木齐七道湾支行</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 xml:space="preserve">开户行号：103881001270 </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账   号：30012701040007741</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请投标人在汇款时务必按要求</w:t>
            </w:r>
            <w:r>
              <w:rPr>
                <w:rFonts w:hint="eastAsia" w:ascii="仿宋" w:hAnsi="仿宋" w:eastAsia="仿宋" w:cs="仿宋"/>
                <w:color w:val="000000"/>
                <w:kern w:val="0"/>
                <w:sz w:val="24"/>
                <w:szCs w:val="24"/>
                <w:highlight w:val="none"/>
                <w:lang w:eastAsia="zh-Hans" w:bidi="ar"/>
              </w:rPr>
              <w:t>将项目编号</w:t>
            </w:r>
            <w:r>
              <w:rPr>
                <w:rFonts w:hint="eastAsia" w:ascii="仿宋" w:hAnsi="仿宋" w:eastAsia="仿宋" w:cs="仿宋"/>
                <w:color w:val="000000"/>
                <w:kern w:val="0"/>
                <w:sz w:val="24"/>
                <w:szCs w:val="24"/>
                <w:highlight w:val="none"/>
                <w:lang w:bidi="ar"/>
              </w:rPr>
              <w:t>“ZSZC-FW-2022002-标项1或2投标保证金”</w:t>
            </w:r>
            <w:r>
              <w:rPr>
                <w:rFonts w:hint="eastAsia" w:ascii="仿宋" w:hAnsi="仿宋" w:eastAsia="仿宋" w:cs="仿宋"/>
                <w:color w:val="000000"/>
                <w:kern w:val="0"/>
                <w:sz w:val="24"/>
                <w:szCs w:val="24"/>
                <w:highlight w:val="none"/>
                <w:lang w:eastAsia="zh-Hans" w:bidi="ar"/>
              </w:rPr>
              <w:t>字样写在汇款用途栏里，</w:t>
            </w:r>
            <w:r>
              <w:rPr>
                <w:rFonts w:hint="eastAsia" w:ascii="仿宋" w:hAnsi="仿宋" w:eastAsia="仿宋" w:cs="仿宋"/>
                <w:color w:val="000000"/>
                <w:kern w:val="0"/>
                <w:sz w:val="24"/>
                <w:szCs w:val="24"/>
                <w:highlight w:val="none"/>
                <w:lang w:bidi="ar"/>
              </w:rPr>
              <w:t>否则，因款项用途不明导致投标无效等后果由投标人自行承担。</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投标保证金，最迟在中标人签订合同后5日内退还；</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发生以下情形，投标保证金不予退还：（1）投标截</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止后投标人撤销投标文件的；（2）中标后无正当理</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由不签订合同的；（3）在签订合同时向招标人提出</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附加条件，或者不按照招标文件要求提交履约保证金</w:t>
            </w:r>
            <w:r>
              <w:rPr>
                <w:rFonts w:hint="eastAsia" w:ascii="仿宋" w:hAnsi="仿宋" w:eastAsia="仿宋" w:cs="仿宋"/>
                <w:color w:val="000000"/>
                <w:kern w:val="0"/>
                <w:sz w:val="24"/>
                <w:szCs w:val="24"/>
                <w:highlight w:val="none"/>
                <w:lang w:bidi="ar"/>
              </w:rPr>
              <w:br w:type="textWrapping"/>
            </w:r>
            <w:r>
              <w:rPr>
                <w:rFonts w:hint="eastAsia" w:ascii="仿宋" w:hAnsi="仿宋" w:eastAsia="仿宋" w:cs="仿宋"/>
                <w:color w:val="000000"/>
                <w:kern w:val="0"/>
                <w:sz w:val="24"/>
                <w:szCs w:val="24"/>
                <w:highlight w:val="none"/>
                <w:lang w:bidi="ar"/>
              </w:rPr>
              <w:t>的，取消其中标资格，投标保证金不予退还。</w:t>
            </w:r>
          </w:p>
        </w:tc>
      </w:tr>
      <w:tr>
        <w:tblPrEx>
          <w:tblCellMar>
            <w:top w:w="15" w:type="dxa"/>
            <w:left w:w="15" w:type="dxa"/>
            <w:bottom w:w="15" w:type="dxa"/>
            <w:right w:w="15" w:type="dxa"/>
          </w:tblCellMar>
        </w:tblPrEx>
        <w:trPr>
          <w:trHeight w:val="8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3.9</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近年完成的类似业绩及时间要求</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Fonts w:ascii="仿宋" w:hAnsi="仿宋" w:eastAsia="仿宋" w:cs="仿宋"/>
                <w:color w:val="000000"/>
                <w:sz w:val="24"/>
                <w:szCs w:val="24"/>
              </w:rPr>
            </w:pPr>
            <w:r>
              <w:rPr>
                <w:rFonts w:hint="eastAsia" w:ascii="仿宋" w:hAnsi="仿宋" w:eastAsia="仿宋" w:cs="仿宋"/>
                <w:color w:val="000000"/>
                <w:sz w:val="24"/>
                <w:szCs w:val="24"/>
              </w:rPr>
              <w:t>2019年月1月1日至今完成的类似项目业绩。</w:t>
            </w:r>
          </w:p>
        </w:tc>
      </w:tr>
      <w:tr>
        <w:tblPrEx>
          <w:tblCellMar>
            <w:top w:w="15" w:type="dxa"/>
            <w:left w:w="15" w:type="dxa"/>
            <w:bottom w:w="15" w:type="dxa"/>
            <w:right w:w="15"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eastAsia="zh-Hans" w:bidi="ar"/>
              </w:rPr>
              <w:t>.11.1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是否允许递交备选投标方案</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否。招标文件要求的除外。</w:t>
            </w:r>
          </w:p>
        </w:tc>
      </w:tr>
      <w:tr>
        <w:tblPrEx>
          <w:tblCellMar>
            <w:top w:w="15" w:type="dxa"/>
            <w:left w:w="15" w:type="dxa"/>
            <w:bottom w:w="15" w:type="dxa"/>
            <w:right w:w="15" w:type="dxa"/>
          </w:tblCellMar>
        </w:tblPrEx>
        <w:trPr>
          <w:trHeight w:val="3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投标文件的编制</w:t>
            </w:r>
            <w:r>
              <w:rPr>
                <w:rFonts w:hint="eastAsia" w:ascii="仿宋" w:hAnsi="仿宋" w:eastAsia="仿宋" w:cs="仿宋"/>
                <w:color w:val="000000"/>
                <w:kern w:val="0"/>
                <w:sz w:val="24"/>
                <w:szCs w:val="24"/>
                <w:lang w:eastAsia="zh-Hans" w:bidi="ar"/>
              </w:rPr>
              <w:t>及密封要求</w:t>
            </w:r>
          </w:p>
        </w:tc>
        <w:tc>
          <w:tcPr>
            <w:tcW w:w="2902" w:type="pct"/>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1、投标文件分为开标一览表信封、资格审查资料信封和投标文件信封，应包括下列内容：</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1.1开标一览表信封：</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(1)开标一览表</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(2)投标保证金支付的凭证(也可以为网上银行汇款凭证)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1.2资格审查资料信封：根据投标人须知3</w:t>
            </w:r>
            <w:r>
              <w:rPr>
                <w:rFonts w:hint="eastAsia" w:ascii="仿宋" w:hAnsi="仿宋" w:eastAsia="仿宋" w:cs="仿宋"/>
                <w:sz w:val="24"/>
                <w:szCs w:val="24"/>
                <w:lang w:eastAsia="zh-Hans"/>
              </w:rPr>
              <w:t>.10.1</w:t>
            </w:r>
            <w:r>
              <w:rPr>
                <w:rFonts w:hint="eastAsia" w:ascii="仿宋" w:hAnsi="仿宋" w:eastAsia="仿宋" w:cs="仿宋"/>
                <w:sz w:val="24"/>
                <w:szCs w:val="24"/>
              </w:rPr>
              <w:t>要求的开标资格审查资料的内容提供</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1.3投标文件袋信封（投标文件正副本）：</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(1)投标文件(文件编制详见第二章4.2)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(2)投标文件正本扫描电子版（PDF格式）</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2、投标文件信封封面和《开标一览表》信封封面和资格审查资料信封封面上应写明：</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采购人：</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项目名称：（项目名称第几包）</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项目编号：</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投标单位名称：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（“正本”或“副本”、开标一览表、资格审查资料）</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联系人和联系电话：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3、投标文件密封</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投标文件正副本及投标文件电子版（u盘）可以密封在同一投标文件袋中。u盘请载明项目名称、项目编号、公司名称）。u盘与投标文件恕不退还。</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4、开标一览表密封</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投标人必须单独制作“开标一览表”，并单独密封提交，开标一览表密封在一个信封内。</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5、投标文件信封及开标一览表信封密封盖章</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投标文件信封及开标一览表信封封口处须加盖投标公司公章及法人章，并注明“开标时启封”字样。</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若投标人参与多个包投标，投标文件信封及开标一览表信封按招标文件要求以包为单位分开制作并密封提交。否则其投标被拒绝。资格审查资料信封可不按包制作，但法定代表人身份证明书或法定代表人授权委托书需以包为单位分开制作装在资格审查资料信封里递交。</w:t>
            </w:r>
          </w:p>
          <w:p>
            <w:pPr>
              <w:pStyle w:val="7"/>
              <w:snapToGrid w:val="0"/>
              <w:spacing w:line="360" w:lineRule="auto"/>
              <w:ind w:firstLine="0"/>
              <w:rPr>
                <w:rFonts w:ascii="仿宋" w:hAnsi="仿宋" w:eastAsia="仿宋" w:cs="仿宋"/>
                <w:sz w:val="24"/>
                <w:szCs w:val="24"/>
              </w:rPr>
            </w:pPr>
            <w:r>
              <w:rPr>
                <w:rFonts w:hint="eastAsia" w:ascii="仿宋" w:hAnsi="仿宋" w:eastAsia="仿宋" w:cs="仿宋"/>
                <w:b/>
                <w:bCs/>
                <w:sz w:val="24"/>
                <w:szCs w:val="24"/>
              </w:rPr>
              <w:t>未按招标文件前附表投标文件制作及密封要求的，投标被拒绝。</w:t>
            </w:r>
          </w:p>
        </w:tc>
      </w:tr>
      <w:tr>
        <w:tblPrEx>
          <w:tblCellMar>
            <w:top w:w="15" w:type="dxa"/>
            <w:left w:w="15" w:type="dxa"/>
            <w:bottom w:w="15" w:type="dxa"/>
            <w:right w:w="15" w:type="dxa"/>
          </w:tblCellMar>
        </w:tblPrEx>
        <w:trPr>
          <w:trHeight w:val="37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eastAsia="zh-Hans" w:bidi="ar"/>
              </w:rPr>
              <w:t>.3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kern w:val="0"/>
                <w:sz w:val="24"/>
                <w:szCs w:val="24"/>
                <w:lang w:eastAsia="zh-Hans" w:bidi="ar"/>
              </w:rPr>
            </w:pPr>
            <w:r>
              <w:rPr>
                <w:rFonts w:hint="eastAsia" w:ascii="仿宋" w:hAnsi="仿宋" w:eastAsia="仿宋" w:cs="仿宋"/>
                <w:color w:val="000000"/>
                <w:kern w:val="0"/>
                <w:sz w:val="24"/>
                <w:szCs w:val="24"/>
                <w:lang w:eastAsia="zh-Hans" w:bidi="ar"/>
              </w:rPr>
              <w:t>投标文件的签署规定</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1.投标文件的页面必须用印刷体打印。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2.投标文件应清楚工整，一般不准修改。个别非实质性修改之处必须由投标人的法定代表人（负责人）或经其正式授权的代表在修改的每一页上签字或盖投标单位公章后才有效。</w:t>
            </w:r>
          </w:p>
          <w:p>
            <w:pPr>
              <w:adjustRightInd w:val="0"/>
              <w:snapToGrid w:val="0"/>
              <w:spacing w:line="360" w:lineRule="auto"/>
              <w:rPr>
                <w:rFonts w:ascii="仿宋" w:hAnsi="仿宋" w:eastAsia="仿宋" w:cs="仿宋"/>
                <w:bCs/>
                <w:sz w:val="24"/>
                <w:szCs w:val="24"/>
              </w:rPr>
            </w:pPr>
            <w:r>
              <w:rPr>
                <w:rFonts w:hint="eastAsia" w:ascii="仿宋" w:hAnsi="仿宋" w:eastAsia="仿宋" w:cs="仿宋"/>
                <w:sz w:val="24"/>
                <w:szCs w:val="24"/>
              </w:rPr>
              <w:t>3.投标文件应由法定代表人或法人授权代表在规定的签章处逐一签署或加盖单位公章</w:t>
            </w:r>
            <w:r>
              <w:rPr>
                <w:rFonts w:hint="eastAsia" w:ascii="仿宋" w:hAnsi="仿宋" w:eastAsia="仿宋" w:cs="仿宋"/>
                <w:bCs/>
                <w:sz w:val="24"/>
                <w:szCs w:val="24"/>
              </w:rPr>
              <w:t>，投标文件方为有效。</w:t>
            </w:r>
          </w:p>
          <w:p>
            <w:pPr>
              <w:adjustRightInd w:val="0"/>
              <w:snapToGrid w:val="0"/>
              <w:spacing w:line="360" w:lineRule="auto"/>
              <w:rPr>
                <w:rFonts w:ascii="仿宋" w:hAnsi="仿宋" w:eastAsia="仿宋" w:cs="仿宋"/>
                <w:b/>
                <w:sz w:val="24"/>
                <w:szCs w:val="24"/>
              </w:rPr>
            </w:pPr>
            <w:r>
              <w:rPr>
                <w:rFonts w:hint="eastAsia" w:ascii="仿宋" w:hAnsi="仿宋" w:eastAsia="仿宋" w:cs="仿宋"/>
                <w:sz w:val="24"/>
                <w:szCs w:val="24"/>
              </w:rPr>
              <w:t>4.</w:t>
            </w:r>
            <w:r>
              <w:rPr>
                <w:rFonts w:hint="eastAsia" w:ascii="仿宋" w:hAnsi="仿宋" w:eastAsia="仿宋" w:cs="仿宋"/>
                <w:bCs/>
                <w:sz w:val="24"/>
                <w:szCs w:val="24"/>
              </w:rPr>
              <w:t>投标文件正本需逐页加盖公章，在招标文件格式规定处签署，并编好始末页码</w:t>
            </w:r>
            <w:r>
              <w:rPr>
                <w:rFonts w:hint="eastAsia" w:ascii="仿宋" w:hAnsi="仿宋" w:eastAsia="仿宋" w:cs="仿宋"/>
                <w:b/>
                <w:sz w:val="24"/>
                <w:szCs w:val="24"/>
              </w:rPr>
              <w:t>,</w:t>
            </w:r>
            <w:r>
              <w:rPr>
                <w:rFonts w:hint="eastAsia" w:ascii="仿宋" w:hAnsi="仿宋" w:eastAsia="仿宋" w:cs="仿宋"/>
                <w:b/>
                <w:sz w:val="24"/>
                <w:szCs w:val="24"/>
                <w:lang w:eastAsia="zh-Hans"/>
              </w:rPr>
              <w:t>如</w:t>
            </w:r>
            <w:r>
              <w:rPr>
                <w:rFonts w:hint="eastAsia" w:ascii="仿宋" w:hAnsi="仿宋" w:eastAsia="仿宋" w:cs="仿宋"/>
                <w:b/>
                <w:sz w:val="24"/>
                <w:szCs w:val="24"/>
              </w:rPr>
              <w:t>不按要求签署、盖章的</w:t>
            </w:r>
            <w:r>
              <w:rPr>
                <w:rFonts w:hint="eastAsia" w:ascii="仿宋" w:hAnsi="仿宋" w:eastAsia="仿宋" w:cs="仿宋"/>
                <w:b/>
                <w:sz w:val="24"/>
                <w:szCs w:val="24"/>
                <w:lang w:eastAsia="zh-Hans"/>
              </w:rPr>
              <w:t>其投标文件做废标处理</w:t>
            </w:r>
            <w:r>
              <w:rPr>
                <w:rFonts w:hint="eastAsia" w:ascii="仿宋" w:hAnsi="仿宋" w:eastAsia="仿宋" w:cs="仿宋"/>
                <w:b/>
                <w:sz w:val="24"/>
                <w:szCs w:val="24"/>
              </w:rPr>
              <w:t>。</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5.所有投标文件必须提交正本</w:t>
            </w:r>
            <w:r>
              <w:rPr>
                <w:rFonts w:hint="eastAsia" w:ascii="仿宋" w:hAnsi="仿宋" w:eastAsia="仿宋" w:cs="仿宋"/>
                <w:sz w:val="24"/>
                <w:szCs w:val="24"/>
                <w:u w:val="single"/>
              </w:rPr>
              <w:t>1</w:t>
            </w:r>
            <w:r>
              <w:rPr>
                <w:rFonts w:hint="eastAsia" w:ascii="仿宋" w:hAnsi="仿宋" w:eastAsia="仿宋" w:cs="仿宋"/>
                <w:sz w:val="24"/>
                <w:szCs w:val="24"/>
              </w:rPr>
              <w:t>套和副本</w:t>
            </w:r>
            <w:r>
              <w:rPr>
                <w:rFonts w:hint="eastAsia" w:ascii="仿宋" w:hAnsi="仿宋" w:eastAsia="仿宋" w:cs="仿宋"/>
                <w:sz w:val="24"/>
                <w:szCs w:val="24"/>
                <w:u w:val="single"/>
                <w:lang w:val="en-US" w:eastAsia="zh-CN"/>
              </w:rPr>
              <w:t>6</w:t>
            </w:r>
            <w:r>
              <w:rPr>
                <w:rFonts w:hint="eastAsia" w:ascii="仿宋" w:hAnsi="仿宋" w:eastAsia="仿宋" w:cs="仿宋"/>
                <w:sz w:val="24"/>
                <w:szCs w:val="24"/>
              </w:rPr>
              <w:t>套（如不满足将拒绝其投标），并在封面上标记“正本”或“副本”。</w:t>
            </w:r>
          </w:p>
          <w:p>
            <w:pPr>
              <w:widowControl/>
              <w:adjustRightInd w:val="0"/>
              <w:snapToGrid w:val="0"/>
              <w:spacing w:line="360" w:lineRule="auto"/>
              <w:textAlignment w:val="center"/>
              <w:rPr>
                <w:rFonts w:ascii="仿宋" w:hAnsi="仿宋" w:eastAsia="仿宋" w:cs="仿宋"/>
                <w:color w:val="000000"/>
                <w:kern w:val="0"/>
                <w:sz w:val="24"/>
                <w:szCs w:val="24"/>
                <w:lang w:bidi="ar"/>
              </w:rPr>
            </w:pPr>
            <w:r>
              <w:rPr>
                <w:rFonts w:hint="eastAsia" w:ascii="仿宋" w:hAnsi="仿宋" w:eastAsia="仿宋" w:cs="仿宋"/>
                <w:sz w:val="24"/>
                <w:szCs w:val="24"/>
              </w:rPr>
              <w:t>6.投标文件的正本与副本应当完全一致。当正本和副本之间出现差异时，以正本为准。</w:t>
            </w:r>
          </w:p>
        </w:tc>
      </w:tr>
      <w:tr>
        <w:tblPrEx>
          <w:tblCellMar>
            <w:top w:w="15" w:type="dxa"/>
            <w:left w:w="15" w:type="dxa"/>
            <w:bottom w:w="15" w:type="dxa"/>
            <w:right w:w="15" w:type="dxa"/>
          </w:tblCellMar>
        </w:tblPrEx>
        <w:trPr>
          <w:trHeight w:val="375"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投标截止时间</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sz w:val="24"/>
                <w:szCs w:val="24"/>
                <w:lang w:eastAsia="zh-CN"/>
              </w:rPr>
              <w:t>2022年5月6日</w:t>
            </w:r>
            <w:r>
              <w:rPr>
                <w:rFonts w:hint="eastAsia" w:ascii="仿宋" w:hAnsi="仿宋" w:eastAsia="仿宋" w:cs="仿宋"/>
                <w:sz w:val="24"/>
                <w:szCs w:val="24"/>
              </w:rPr>
              <w:t>11：00（北京时间）</w:t>
            </w:r>
          </w:p>
        </w:tc>
      </w:tr>
      <w:tr>
        <w:tblPrEx>
          <w:tblCellMar>
            <w:top w:w="15" w:type="dxa"/>
            <w:left w:w="15" w:type="dxa"/>
            <w:bottom w:w="15" w:type="dxa"/>
            <w:right w:w="15" w:type="dxa"/>
          </w:tblCellMar>
        </w:tblPrEx>
        <w:trPr>
          <w:trHeight w:val="556"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4.1.3</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投标文件是否退还</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15" w:type="dxa"/>
            <w:left w:w="15" w:type="dxa"/>
            <w:bottom w:w="15" w:type="dxa"/>
            <w:right w:w="15" w:type="dxa"/>
          </w:tblCellMar>
        </w:tblPrEx>
        <w:trPr>
          <w:trHeight w:val="51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30</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开标时间和地点</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开标时间：</w:t>
            </w:r>
            <w:r>
              <w:rPr>
                <w:rFonts w:hint="eastAsia" w:ascii="仿宋" w:hAnsi="仿宋" w:eastAsia="仿宋" w:cs="仿宋"/>
                <w:sz w:val="24"/>
                <w:szCs w:val="24"/>
                <w:lang w:eastAsia="zh-CN"/>
              </w:rPr>
              <w:t>2022年5月6日</w:t>
            </w:r>
            <w:r>
              <w:rPr>
                <w:rFonts w:hint="eastAsia" w:ascii="仿宋" w:hAnsi="仿宋" w:eastAsia="仿宋" w:cs="仿宋"/>
                <w:sz w:val="24"/>
                <w:szCs w:val="24"/>
              </w:rPr>
              <w:t>11：00（北京时间）</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开标地点：新疆乌鲁木齐市</w:t>
            </w:r>
            <w:r>
              <w:rPr>
                <w:rFonts w:hint="eastAsia" w:ascii="仿宋" w:hAnsi="仿宋" w:eastAsia="仿宋" w:cs="仿宋"/>
                <w:sz w:val="24"/>
                <w:szCs w:val="24"/>
                <w:lang w:eastAsia="zh-Hans"/>
              </w:rPr>
              <w:t>水磨沟区鸿泰路66号万科大都会9号楼506室</w:t>
            </w:r>
          </w:p>
        </w:tc>
      </w:tr>
      <w:tr>
        <w:tblPrEx>
          <w:tblCellMar>
            <w:top w:w="15" w:type="dxa"/>
            <w:left w:w="15" w:type="dxa"/>
            <w:bottom w:w="15" w:type="dxa"/>
            <w:right w:w="15" w:type="dxa"/>
          </w:tblCellMar>
        </w:tblPrEx>
        <w:trPr>
          <w:trHeight w:val="27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6.1.1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评标委员会组成</w:t>
            </w:r>
          </w:p>
        </w:tc>
        <w:tc>
          <w:tcPr>
            <w:tcW w:w="2902" w:type="pct"/>
            <w:tcBorders>
              <w:top w:val="single" w:color="000000" w:sz="4" w:space="0"/>
              <w:left w:val="single" w:color="000000" w:sz="4" w:space="0"/>
              <w:bottom w:val="single" w:color="000000" w:sz="4" w:space="0"/>
              <w:right w:val="single" w:color="000000" w:sz="4" w:space="0"/>
            </w:tcBorders>
            <w:shd w:val="clear" w:color="auto" w:fill="auto"/>
          </w:tcPr>
          <w:p>
            <w:pPr>
              <w:widowControl/>
              <w:adjustRightInd w:val="0"/>
              <w:snapToGrid w:val="0"/>
              <w:spacing w:line="360" w:lineRule="auto"/>
              <w:textAlignment w:val="top"/>
              <w:rPr>
                <w:rFonts w:ascii="仿宋" w:hAnsi="仿宋" w:eastAsia="仿宋" w:cs="仿宋"/>
                <w:color w:val="000000"/>
                <w:sz w:val="24"/>
                <w:szCs w:val="24"/>
              </w:rPr>
            </w:pPr>
            <w:r>
              <w:rPr>
                <w:rFonts w:hint="eastAsia" w:ascii="仿宋" w:hAnsi="仿宋" w:eastAsia="仿宋" w:cs="仿宋"/>
                <w:color w:val="000000"/>
                <w:kern w:val="0"/>
                <w:sz w:val="24"/>
                <w:szCs w:val="24"/>
                <w:lang w:bidi="ar"/>
              </w:rPr>
              <w:t>评标委员会由7人组成，从政采云平台上采用随机抽取方式确定</w:t>
            </w:r>
          </w:p>
        </w:tc>
      </w:tr>
      <w:tr>
        <w:tblPrEx>
          <w:tblCellMar>
            <w:top w:w="15" w:type="dxa"/>
            <w:left w:w="15" w:type="dxa"/>
            <w:bottom w:w="15" w:type="dxa"/>
            <w:right w:w="15"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中标（成交）结果公示媒介</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eastAsia="zh-Hans" w:bidi="ar"/>
              </w:rPr>
              <w:t>新疆政府采购网</w:t>
            </w:r>
          </w:p>
        </w:tc>
      </w:tr>
      <w:tr>
        <w:tblPrEx>
          <w:tblCellMar>
            <w:top w:w="15" w:type="dxa"/>
            <w:left w:w="15" w:type="dxa"/>
            <w:bottom w:w="15" w:type="dxa"/>
            <w:right w:w="15" w:type="dxa"/>
          </w:tblCellMar>
        </w:tblPrEx>
        <w:trPr>
          <w:trHeight w:val="132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9.1</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中标服务费</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中标人须向招标代理机构按如下标准和规定交纳招标代理服务费：招标代理服务费以中标金额为基数，按国家发改委计价格[2002]1980号文载明的“服务招标”计算。根据发改办价格[2003]857号文规定向中标人收取。</w:t>
            </w:r>
          </w:p>
        </w:tc>
      </w:tr>
      <w:tr>
        <w:tblPrEx>
          <w:tblCellMar>
            <w:top w:w="15" w:type="dxa"/>
            <w:left w:w="15" w:type="dxa"/>
            <w:bottom w:w="15" w:type="dxa"/>
            <w:right w:w="15" w:type="dxa"/>
          </w:tblCellMar>
        </w:tblPrEx>
        <w:trPr>
          <w:trHeight w:val="54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9.2</w:t>
            </w:r>
          </w:p>
        </w:tc>
        <w:tc>
          <w:tcPr>
            <w:tcW w:w="11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招标文件解释权</w:t>
            </w:r>
          </w:p>
        </w:tc>
        <w:tc>
          <w:tcPr>
            <w:tcW w:w="29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招标人拥有本套招标文件最终解释权</w:t>
            </w:r>
          </w:p>
        </w:tc>
      </w:tr>
      <w:bookmarkEnd w:id="10"/>
    </w:tbl>
    <w:p>
      <w:pPr>
        <w:adjustRightInd w:val="0"/>
        <w:snapToGrid w:val="0"/>
        <w:spacing w:line="360" w:lineRule="auto"/>
        <w:jc w:val="left"/>
        <w:rPr>
          <w:rFonts w:ascii="仿宋" w:hAnsi="仿宋" w:eastAsia="仿宋" w:cs="仿宋"/>
          <w:b/>
          <w:sz w:val="28"/>
          <w:szCs w:val="28"/>
        </w:rPr>
      </w:pPr>
      <w:bookmarkStart w:id="11" w:name="_Toc1354440887_WPSOffice_Level2"/>
      <w:r>
        <w:rPr>
          <w:rFonts w:hint="eastAsia" w:ascii="仿宋" w:hAnsi="仿宋" w:eastAsia="仿宋" w:cs="仿宋"/>
          <w:b/>
          <w:sz w:val="28"/>
          <w:szCs w:val="28"/>
          <w:lang w:eastAsia="zh-Hans"/>
        </w:rPr>
        <w:t>二</w:t>
      </w:r>
      <w:r>
        <w:rPr>
          <w:rFonts w:hint="eastAsia" w:ascii="仿宋" w:hAnsi="仿宋" w:eastAsia="仿宋" w:cs="仿宋"/>
          <w:b/>
          <w:sz w:val="28"/>
          <w:szCs w:val="28"/>
        </w:rPr>
        <w:t>. 投标人须知</w:t>
      </w:r>
      <w:bookmarkEnd w:id="11"/>
    </w:p>
    <w:p>
      <w:pPr>
        <w:pStyle w:val="5"/>
        <w:adjustRightInd w:val="0"/>
        <w:snapToGrid w:val="0"/>
        <w:spacing w:before="0" w:after="0" w:line="360" w:lineRule="auto"/>
        <w:rPr>
          <w:rFonts w:ascii="仿宋" w:hAnsi="仿宋" w:eastAsia="仿宋" w:cs="仿宋"/>
          <w:sz w:val="28"/>
          <w:szCs w:val="28"/>
        </w:rPr>
      </w:pPr>
      <w:bookmarkStart w:id="12" w:name="_Toc152042306"/>
      <w:bookmarkStart w:id="13" w:name="_Toc247085690"/>
      <w:bookmarkStart w:id="14" w:name="_Toc246996919"/>
      <w:bookmarkStart w:id="15" w:name="_Toc179632547"/>
      <w:bookmarkStart w:id="16" w:name="_Toc246996176"/>
      <w:bookmarkStart w:id="17" w:name="_Toc152045530"/>
      <w:bookmarkStart w:id="18" w:name="_Toc144974498"/>
      <w:bookmarkStart w:id="19" w:name="_Toc514837857"/>
      <w:bookmarkStart w:id="20" w:name="_Toc33087738"/>
      <w:bookmarkStart w:id="21" w:name="_Toc985920587_WPSOffice_Level1"/>
      <w:bookmarkStart w:id="22" w:name="_Toc11495_WPSOffice_Level1"/>
      <w:r>
        <w:rPr>
          <w:rFonts w:hint="eastAsia" w:ascii="仿宋" w:hAnsi="仿宋" w:eastAsia="仿宋" w:cs="仿宋"/>
          <w:sz w:val="28"/>
          <w:szCs w:val="28"/>
        </w:rPr>
        <w:t xml:space="preserve">1.1 </w:t>
      </w:r>
      <w:bookmarkEnd w:id="12"/>
      <w:bookmarkEnd w:id="13"/>
      <w:bookmarkEnd w:id="14"/>
      <w:bookmarkEnd w:id="15"/>
      <w:bookmarkEnd w:id="16"/>
      <w:bookmarkEnd w:id="17"/>
      <w:bookmarkEnd w:id="18"/>
      <w:r>
        <w:rPr>
          <w:rFonts w:hint="eastAsia" w:ascii="仿宋" w:hAnsi="仿宋" w:eastAsia="仿宋" w:cs="仿宋"/>
          <w:sz w:val="28"/>
          <w:szCs w:val="28"/>
        </w:rPr>
        <w:t>招标项目概况</w:t>
      </w:r>
      <w:bookmarkEnd w:id="19"/>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1.1.1 根据有关法律、法规和规章的规定，本招标项目已具备招标条件，现对设计服务进行招标。</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1.1.2 招标人：见投标人须知前附表。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 招标代理机构：见投标人须知前附表。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1.1.4 招标项目名称：见投标人须知前附表。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1.1.5 项目投资估算：见投标人须知前附表。</w:t>
      </w:r>
    </w:p>
    <w:p>
      <w:pPr>
        <w:pStyle w:val="5"/>
        <w:adjustRightInd w:val="0"/>
        <w:snapToGrid w:val="0"/>
        <w:spacing w:before="0" w:after="0" w:line="360" w:lineRule="auto"/>
        <w:rPr>
          <w:rFonts w:ascii="仿宋" w:hAnsi="仿宋" w:eastAsia="仿宋" w:cs="仿宋"/>
          <w:sz w:val="28"/>
          <w:szCs w:val="28"/>
        </w:rPr>
      </w:pPr>
      <w:bookmarkStart w:id="23" w:name="_Toc152042307"/>
      <w:bookmarkStart w:id="24" w:name="_Toc246996920"/>
      <w:bookmarkStart w:id="25" w:name="_Toc246996177"/>
      <w:bookmarkStart w:id="26" w:name="_Toc179632548"/>
      <w:bookmarkStart w:id="27" w:name="_Toc144974499"/>
      <w:bookmarkStart w:id="28" w:name="_Toc152045531"/>
      <w:bookmarkStart w:id="29" w:name="_Toc247085691"/>
      <w:bookmarkStart w:id="30" w:name="_Toc514837858"/>
      <w:r>
        <w:rPr>
          <w:rFonts w:hint="eastAsia" w:ascii="仿宋" w:hAnsi="仿宋" w:eastAsia="仿宋" w:cs="仿宋"/>
          <w:sz w:val="28"/>
          <w:szCs w:val="28"/>
        </w:rPr>
        <w:t xml:space="preserve">1.2 </w:t>
      </w:r>
      <w:bookmarkEnd w:id="23"/>
      <w:bookmarkEnd w:id="24"/>
      <w:bookmarkEnd w:id="25"/>
      <w:bookmarkEnd w:id="26"/>
      <w:bookmarkEnd w:id="27"/>
      <w:bookmarkEnd w:id="28"/>
      <w:bookmarkEnd w:id="29"/>
      <w:r>
        <w:rPr>
          <w:rFonts w:hint="eastAsia" w:ascii="仿宋" w:hAnsi="仿宋" w:eastAsia="仿宋" w:cs="仿宋"/>
          <w:sz w:val="28"/>
          <w:szCs w:val="28"/>
        </w:rPr>
        <w:t>招标项目的资金</w:t>
      </w:r>
      <w:bookmarkEnd w:id="30"/>
      <w:r>
        <w:rPr>
          <w:rFonts w:hint="eastAsia" w:ascii="仿宋" w:hAnsi="仿宋" w:eastAsia="仿宋" w:cs="仿宋"/>
          <w:sz w:val="28"/>
          <w:szCs w:val="28"/>
        </w:rPr>
        <w:t>情况</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1.2.1 项目预算金额：见投标人须知前附表。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1.2.2 资金来源及比例：见投标人须知前附表。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1.2.3资金落实情况：见投标人须知前附表。</w:t>
      </w:r>
    </w:p>
    <w:p>
      <w:pPr>
        <w:pStyle w:val="5"/>
        <w:adjustRightInd w:val="0"/>
        <w:snapToGrid w:val="0"/>
        <w:spacing w:before="0" w:after="0" w:line="360" w:lineRule="auto"/>
        <w:rPr>
          <w:rFonts w:ascii="仿宋" w:hAnsi="仿宋" w:eastAsia="仿宋" w:cs="仿宋"/>
          <w:sz w:val="28"/>
          <w:szCs w:val="28"/>
        </w:rPr>
      </w:pPr>
      <w:bookmarkStart w:id="31" w:name="_Toc179632549"/>
      <w:bookmarkStart w:id="32" w:name="_Toc246996921"/>
      <w:bookmarkStart w:id="33" w:name="_Toc246996178"/>
      <w:bookmarkStart w:id="34" w:name="_Toc247085692"/>
      <w:bookmarkStart w:id="35" w:name="_Toc152042308"/>
      <w:bookmarkStart w:id="36" w:name="_Toc144974500"/>
      <w:bookmarkStart w:id="37" w:name="_Toc152045532"/>
      <w:bookmarkStart w:id="38" w:name="_Toc514837859"/>
      <w:r>
        <w:rPr>
          <w:rFonts w:hint="eastAsia" w:ascii="仿宋" w:hAnsi="仿宋" w:eastAsia="仿宋" w:cs="仿宋"/>
          <w:sz w:val="28"/>
          <w:szCs w:val="28"/>
        </w:rPr>
        <w:t xml:space="preserve">1.3 </w:t>
      </w:r>
      <w:bookmarkEnd w:id="31"/>
      <w:bookmarkEnd w:id="32"/>
      <w:bookmarkEnd w:id="33"/>
      <w:bookmarkEnd w:id="34"/>
      <w:bookmarkEnd w:id="35"/>
      <w:bookmarkEnd w:id="36"/>
      <w:bookmarkEnd w:id="37"/>
      <w:r>
        <w:rPr>
          <w:rFonts w:hint="eastAsia" w:ascii="仿宋" w:hAnsi="仿宋" w:eastAsia="仿宋" w:cs="仿宋"/>
          <w:sz w:val="28"/>
          <w:szCs w:val="28"/>
        </w:rPr>
        <w:t>招标范围、服务期限、交货地点和</w:t>
      </w:r>
      <w:bookmarkEnd w:id="38"/>
      <w:r>
        <w:rPr>
          <w:rFonts w:hint="eastAsia" w:ascii="仿宋" w:hAnsi="仿宋" w:eastAsia="仿宋" w:cs="仿宋"/>
          <w:sz w:val="28"/>
          <w:szCs w:val="28"/>
        </w:rPr>
        <w:t>技术性能指标</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1.3.1 招标范围：见投标人须知前附表。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1.3.2服务期限：见投标人须知前附表。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1.3.3 交货地点：见投标人须知前附表。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1.3.4 技术性能指标：见投标人须知前附表。</w:t>
      </w:r>
    </w:p>
    <w:p>
      <w:pPr>
        <w:pStyle w:val="5"/>
        <w:adjustRightInd w:val="0"/>
        <w:snapToGrid w:val="0"/>
        <w:spacing w:before="0" w:after="0" w:line="360" w:lineRule="auto"/>
        <w:rPr>
          <w:rFonts w:ascii="仿宋" w:hAnsi="仿宋" w:eastAsia="仿宋" w:cs="仿宋"/>
          <w:sz w:val="28"/>
          <w:szCs w:val="28"/>
        </w:rPr>
      </w:pPr>
      <w:bookmarkStart w:id="39" w:name="_Toc152045534"/>
      <w:bookmarkStart w:id="40" w:name="_Toc179632551"/>
      <w:bookmarkStart w:id="41" w:name="_Toc247085693"/>
      <w:bookmarkStart w:id="42" w:name="_Toc152042310"/>
      <w:bookmarkStart w:id="43" w:name="_Toc246996922"/>
      <w:bookmarkStart w:id="44" w:name="_Toc246996179"/>
      <w:bookmarkStart w:id="45" w:name="_Toc144974502"/>
      <w:bookmarkStart w:id="46" w:name="_Toc514837860"/>
      <w:r>
        <w:rPr>
          <w:rFonts w:hint="eastAsia" w:ascii="仿宋" w:hAnsi="仿宋" w:eastAsia="仿宋" w:cs="仿宋"/>
          <w:sz w:val="28"/>
          <w:szCs w:val="28"/>
        </w:rPr>
        <w:t xml:space="preserve">1.4 </w:t>
      </w:r>
      <w:bookmarkEnd w:id="39"/>
      <w:bookmarkEnd w:id="40"/>
      <w:bookmarkEnd w:id="41"/>
      <w:bookmarkEnd w:id="42"/>
      <w:bookmarkEnd w:id="43"/>
      <w:bookmarkEnd w:id="44"/>
      <w:bookmarkEnd w:id="45"/>
      <w:r>
        <w:rPr>
          <w:rFonts w:hint="eastAsia" w:ascii="仿宋" w:hAnsi="仿宋" w:eastAsia="仿宋" w:cs="仿宋"/>
          <w:sz w:val="28"/>
          <w:szCs w:val="28"/>
        </w:rPr>
        <w:t>投标人资格要求</w:t>
      </w:r>
      <w:bookmarkEnd w:id="46"/>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1.4.1 投标人应具备承担本招标项目资质条件、能力和信誉：见投标人须知前附表。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1.4.2 投标人须知前附表规定接受联合体投标的，联合体除应符合本章第 1.4.1 项和投标人须知前附表的要求外，还应遵守以下规定：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（1）联合体各方应按招标文件提供的格式签订联合体协议书，明确联合体牵头人和各方权 利义务，并承诺就中标项目向招标人承担连带责任；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（2）由同一专业的单位组成的联合体，按照资质等级较低的单位确定资质等级；</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（3）联合体各方不得再以自己名义单独或参加其他联合体在本招标项目中投标，否则各相 关投标均无效。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1.4.3投标人不得与本标段相关单位存在下列关联关系：</w:t>
      </w:r>
    </w:p>
    <w:p>
      <w:pPr>
        <w:numPr>
          <w:ilvl w:val="0"/>
          <w:numId w:val="0"/>
        </w:num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为招标人不具有独立法人资格的附属机构（单位)；</w:t>
      </w:r>
    </w:p>
    <w:p>
      <w:pPr>
        <w:numPr>
          <w:ilvl w:val="0"/>
          <w:numId w:val="0"/>
        </w:num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与招标人存在利害关系且可能影响招标公正性；</w:t>
      </w:r>
    </w:p>
    <w:p>
      <w:pPr>
        <w:numPr>
          <w:ilvl w:val="0"/>
          <w:numId w:val="0"/>
        </w:num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与本标段的其他投标人同为一个单位负责人；</w:t>
      </w:r>
    </w:p>
    <w:p>
      <w:pPr>
        <w:numPr>
          <w:ilvl w:val="0"/>
          <w:numId w:val="0"/>
        </w:num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与本标段的其他投标人存在控股、管理关系；</w:t>
      </w:r>
    </w:p>
    <w:p>
      <w:pPr>
        <w:numPr>
          <w:ilvl w:val="0"/>
          <w:numId w:val="0"/>
        </w:num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为本标段的监理人；</w:t>
      </w:r>
    </w:p>
    <w:p>
      <w:pPr>
        <w:numPr>
          <w:ilvl w:val="0"/>
          <w:numId w:val="0"/>
        </w:num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为本标段的代建人；</w:t>
      </w:r>
    </w:p>
    <w:p>
      <w:pPr>
        <w:numPr>
          <w:ilvl w:val="0"/>
          <w:numId w:val="0"/>
        </w:num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为本标段的招标代理机构；</w:t>
      </w:r>
    </w:p>
    <w:p>
      <w:pPr>
        <w:numPr>
          <w:ilvl w:val="0"/>
          <w:numId w:val="0"/>
        </w:num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与本标段的监理人或代建人或招标代理机构同为一个法定代表人；</w:t>
      </w:r>
    </w:p>
    <w:p>
      <w:pPr>
        <w:numPr>
          <w:ilvl w:val="0"/>
          <w:numId w:val="0"/>
        </w:num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与本标段的监理人或代建人或招标代理机构存在控股或参股关系；</w:t>
      </w:r>
    </w:p>
    <w:p>
      <w:p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（10）法律法规或投标人须知前附表规定的其他情形。</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1.4.4投标人不得存在下列不良状况或不良信用记录：</w:t>
      </w:r>
    </w:p>
    <w:p>
      <w:p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（1）被依法暂停或者取消投标资格；</w:t>
      </w:r>
    </w:p>
    <w:p>
      <w:p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（2）被责令停业，暂扣或吊销执照，或吊销资质证书；</w:t>
      </w:r>
    </w:p>
    <w:p>
      <w:p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（3）进入清算程序，或被宣告破产，或其他丧失履约能力的情形；</w:t>
      </w:r>
    </w:p>
    <w:p>
      <w:p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（4）投标人或其法定代表人在近三年内（2019年1月1日至今）有行贿犯罪行为的；</w:t>
      </w:r>
    </w:p>
    <w:p>
      <w:pPr>
        <w:adjustRightInd w:val="0"/>
        <w:snapToGrid w:val="0"/>
        <w:spacing w:line="360" w:lineRule="auto"/>
        <w:ind w:firstLine="280" w:firstLineChars="100"/>
        <w:rPr>
          <w:rFonts w:ascii="仿宋" w:hAnsi="仿宋" w:eastAsia="仿宋" w:cs="仿宋"/>
          <w:sz w:val="28"/>
          <w:szCs w:val="28"/>
        </w:rPr>
      </w:pPr>
      <w:r>
        <w:rPr>
          <w:rFonts w:hint="eastAsia" w:ascii="仿宋" w:hAnsi="仿宋" w:eastAsia="仿宋" w:cs="仿宋"/>
          <w:sz w:val="28"/>
          <w:szCs w:val="28"/>
        </w:rPr>
        <w:t>（5）法律法规或投标人须知前附表规定的其他情形。</w:t>
      </w:r>
    </w:p>
    <w:p>
      <w:pPr>
        <w:pStyle w:val="5"/>
        <w:adjustRightInd w:val="0"/>
        <w:snapToGrid w:val="0"/>
        <w:spacing w:before="0" w:after="0" w:line="360" w:lineRule="auto"/>
        <w:rPr>
          <w:rFonts w:ascii="仿宋" w:hAnsi="仿宋" w:eastAsia="仿宋" w:cs="仿宋"/>
          <w:sz w:val="28"/>
          <w:szCs w:val="28"/>
        </w:rPr>
      </w:pPr>
      <w:bookmarkStart w:id="47" w:name="_Toc514837861"/>
      <w:bookmarkStart w:id="48" w:name="_Toc246996180"/>
      <w:bookmarkStart w:id="49" w:name="_Toc152042311"/>
      <w:bookmarkStart w:id="50" w:name="_Toc152045535"/>
      <w:bookmarkStart w:id="51" w:name="_Toc246996923"/>
      <w:bookmarkStart w:id="52" w:name="_Toc179632552"/>
      <w:bookmarkStart w:id="53" w:name="_Toc247085694"/>
      <w:bookmarkStart w:id="54" w:name="_Toc144974503"/>
      <w:r>
        <w:rPr>
          <w:rFonts w:hint="eastAsia" w:ascii="仿宋" w:hAnsi="仿宋" w:eastAsia="仿宋" w:cs="仿宋"/>
          <w:sz w:val="28"/>
          <w:szCs w:val="28"/>
        </w:rPr>
        <w:t>1.5 费用承担</w:t>
      </w:r>
      <w:bookmarkEnd w:id="47"/>
      <w:bookmarkEnd w:id="48"/>
      <w:bookmarkEnd w:id="49"/>
      <w:bookmarkEnd w:id="50"/>
      <w:bookmarkEnd w:id="51"/>
      <w:bookmarkEnd w:id="52"/>
      <w:bookmarkEnd w:id="53"/>
      <w:bookmarkEnd w:id="54"/>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投标人准备和参加投标活动发生的费用自理。</w:t>
      </w:r>
    </w:p>
    <w:p>
      <w:pPr>
        <w:pStyle w:val="5"/>
        <w:adjustRightInd w:val="0"/>
        <w:snapToGrid w:val="0"/>
        <w:spacing w:before="0" w:after="0" w:line="360" w:lineRule="auto"/>
        <w:rPr>
          <w:rFonts w:ascii="仿宋" w:hAnsi="仿宋" w:eastAsia="仿宋" w:cs="仿宋"/>
          <w:sz w:val="28"/>
          <w:szCs w:val="28"/>
        </w:rPr>
      </w:pPr>
      <w:bookmarkStart w:id="55" w:name="_Toc246996924"/>
      <w:bookmarkStart w:id="56" w:name="_Toc514837862"/>
      <w:bookmarkStart w:id="57" w:name="_Toc144974504"/>
      <w:bookmarkStart w:id="58" w:name="_Toc152042312"/>
      <w:bookmarkStart w:id="59" w:name="_Toc247085695"/>
      <w:bookmarkStart w:id="60" w:name="_Toc246996181"/>
      <w:bookmarkStart w:id="61" w:name="_Toc179632553"/>
      <w:bookmarkStart w:id="62" w:name="_Toc152045536"/>
      <w:r>
        <w:rPr>
          <w:rFonts w:hint="eastAsia" w:ascii="仿宋" w:hAnsi="仿宋" w:eastAsia="仿宋" w:cs="仿宋"/>
          <w:sz w:val="28"/>
          <w:szCs w:val="28"/>
        </w:rPr>
        <w:t>1.6 保密</w:t>
      </w:r>
      <w:bookmarkEnd w:id="55"/>
      <w:bookmarkEnd w:id="56"/>
      <w:bookmarkEnd w:id="57"/>
      <w:bookmarkEnd w:id="58"/>
      <w:bookmarkEnd w:id="59"/>
      <w:bookmarkEnd w:id="60"/>
      <w:bookmarkEnd w:id="61"/>
      <w:bookmarkEnd w:id="62"/>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参与招标投标活动的各方应对招标文件和投标文件中的商业和技术等秘密保密，否则应承担相应的法律责任。</w:t>
      </w:r>
    </w:p>
    <w:p>
      <w:pPr>
        <w:pStyle w:val="5"/>
        <w:adjustRightInd w:val="0"/>
        <w:snapToGrid w:val="0"/>
        <w:spacing w:before="0" w:after="0" w:line="360" w:lineRule="auto"/>
        <w:rPr>
          <w:rFonts w:ascii="仿宋" w:hAnsi="仿宋" w:eastAsia="仿宋" w:cs="仿宋"/>
          <w:sz w:val="28"/>
          <w:szCs w:val="28"/>
        </w:rPr>
      </w:pPr>
      <w:bookmarkStart w:id="63" w:name="_Toc144974505"/>
      <w:bookmarkStart w:id="64" w:name="_Toc246996925"/>
      <w:bookmarkStart w:id="65" w:name="_Toc152042313"/>
      <w:bookmarkStart w:id="66" w:name="_Toc247085696"/>
      <w:bookmarkStart w:id="67" w:name="_Toc179632554"/>
      <w:bookmarkStart w:id="68" w:name="_Toc152045537"/>
      <w:bookmarkStart w:id="69" w:name="_Toc246996182"/>
      <w:bookmarkStart w:id="70" w:name="_Toc514837863"/>
      <w:r>
        <w:rPr>
          <w:rFonts w:hint="eastAsia" w:ascii="仿宋" w:hAnsi="仿宋" w:eastAsia="仿宋" w:cs="仿宋"/>
          <w:sz w:val="28"/>
          <w:szCs w:val="28"/>
        </w:rPr>
        <w:t>1.7 语言</w:t>
      </w:r>
      <w:bookmarkEnd w:id="63"/>
      <w:r>
        <w:rPr>
          <w:rFonts w:hint="eastAsia" w:ascii="仿宋" w:hAnsi="仿宋" w:eastAsia="仿宋" w:cs="仿宋"/>
          <w:sz w:val="28"/>
          <w:szCs w:val="28"/>
        </w:rPr>
        <w:t>文字</w:t>
      </w:r>
      <w:bookmarkEnd w:id="64"/>
      <w:bookmarkEnd w:id="65"/>
      <w:bookmarkEnd w:id="66"/>
      <w:bookmarkEnd w:id="67"/>
      <w:bookmarkEnd w:id="68"/>
      <w:bookmarkEnd w:id="69"/>
      <w:bookmarkEnd w:id="70"/>
    </w:p>
    <w:p>
      <w:pPr>
        <w:adjustRightInd w:val="0"/>
        <w:snapToGrid w:val="0"/>
        <w:spacing w:line="360" w:lineRule="auto"/>
        <w:ind w:firstLine="560" w:firstLineChars="200"/>
        <w:rPr>
          <w:rFonts w:ascii="仿宋" w:hAnsi="仿宋" w:eastAsia="仿宋" w:cs="仿宋"/>
          <w:sz w:val="28"/>
          <w:szCs w:val="28"/>
        </w:rPr>
      </w:pPr>
      <w:bookmarkStart w:id="71" w:name="_Toc246996183"/>
      <w:bookmarkStart w:id="72" w:name="_Toc246996926"/>
      <w:bookmarkStart w:id="73" w:name="_Toc144974506"/>
      <w:bookmarkStart w:id="74" w:name="_Toc179632555"/>
      <w:bookmarkStart w:id="75" w:name="_Toc247085697"/>
      <w:bookmarkStart w:id="76" w:name="_Toc152042314"/>
      <w:bookmarkStart w:id="77" w:name="_Toc152045538"/>
      <w:r>
        <w:rPr>
          <w:rFonts w:hint="eastAsia" w:ascii="仿宋" w:hAnsi="仿宋" w:eastAsia="仿宋" w:cs="仿宋"/>
          <w:sz w:val="28"/>
          <w:szCs w:val="28"/>
        </w:rPr>
        <w:t>招标投标文件使用的语言文字为中文。专用术语使用外文的，应附有中文注释。</w:t>
      </w:r>
    </w:p>
    <w:p>
      <w:pPr>
        <w:pStyle w:val="5"/>
        <w:adjustRightInd w:val="0"/>
        <w:snapToGrid w:val="0"/>
        <w:spacing w:before="0" w:after="0" w:line="360" w:lineRule="auto"/>
        <w:rPr>
          <w:rFonts w:ascii="仿宋" w:hAnsi="仿宋" w:eastAsia="仿宋" w:cs="仿宋"/>
          <w:sz w:val="28"/>
          <w:szCs w:val="28"/>
        </w:rPr>
      </w:pPr>
      <w:bookmarkStart w:id="78" w:name="_Toc514837864"/>
      <w:r>
        <w:rPr>
          <w:rFonts w:hint="eastAsia" w:ascii="仿宋" w:hAnsi="仿宋" w:eastAsia="仿宋" w:cs="仿宋"/>
          <w:sz w:val="28"/>
          <w:szCs w:val="28"/>
        </w:rPr>
        <w:t>1.8 计量单位</w:t>
      </w:r>
      <w:bookmarkEnd w:id="71"/>
      <w:bookmarkEnd w:id="72"/>
      <w:bookmarkEnd w:id="73"/>
      <w:bookmarkEnd w:id="74"/>
      <w:bookmarkEnd w:id="75"/>
      <w:bookmarkEnd w:id="76"/>
      <w:bookmarkEnd w:id="77"/>
      <w:bookmarkEnd w:id="78"/>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所有计量均采用中华人民共和国法定计量单位。</w:t>
      </w:r>
    </w:p>
    <w:p>
      <w:pPr>
        <w:pStyle w:val="5"/>
        <w:adjustRightInd w:val="0"/>
        <w:snapToGrid w:val="0"/>
        <w:spacing w:before="0" w:after="0" w:line="360" w:lineRule="auto"/>
        <w:rPr>
          <w:rFonts w:ascii="仿宋" w:hAnsi="仿宋" w:eastAsia="仿宋" w:cs="仿宋"/>
          <w:sz w:val="28"/>
          <w:szCs w:val="28"/>
        </w:rPr>
      </w:pPr>
      <w:bookmarkStart w:id="79" w:name="_Toc247527563"/>
      <w:bookmarkStart w:id="80" w:name="_Toc247592876"/>
      <w:bookmarkStart w:id="81" w:name="_Toc247513962"/>
      <w:bookmarkStart w:id="82" w:name="_Toc144974507"/>
      <w:bookmarkStart w:id="83" w:name="_Toc152045539"/>
      <w:bookmarkStart w:id="84" w:name="_Toc152042315"/>
      <w:bookmarkStart w:id="85" w:name="_Toc514837865"/>
      <w:r>
        <w:rPr>
          <w:rFonts w:hint="eastAsia" w:ascii="仿宋" w:hAnsi="仿宋" w:eastAsia="仿宋" w:cs="仿宋"/>
          <w:sz w:val="28"/>
          <w:szCs w:val="28"/>
        </w:rPr>
        <w:t xml:space="preserve">1.9 </w:t>
      </w:r>
      <w:bookmarkEnd w:id="79"/>
      <w:bookmarkEnd w:id="80"/>
      <w:bookmarkEnd w:id="81"/>
      <w:bookmarkEnd w:id="82"/>
      <w:bookmarkEnd w:id="83"/>
      <w:bookmarkEnd w:id="84"/>
      <w:r>
        <w:rPr>
          <w:rFonts w:hint="eastAsia" w:ascii="仿宋" w:hAnsi="仿宋" w:eastAsia="仿宋" w:cs="仿宋"/>
          <w:sz w:val="28"/>
          <w:szCs w:val="28"/>
        </w:rPr>
        <w:t>投标预备会</w:t>
      </w:r>
      <w:bookmarkEnd w:id="85"/>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1.9.1 投标人须知前附表规定召开投标预备会的，招标人按投标人须知前附表规定的时间和地点召开投标预备会，澄清投标人提出的问题。</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1.9.2 投标人应按投标人须知前附表规定的时间和形式将提出的问题送达招标人，以便招标人在会议期间澄清。</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1.9.3 投标预备会后，招标人将对投标人所提问题的澄清，以投标人须知前附表规定的形式通知所有购买招标文件的投标人。该澄清内容为招标文件的组成部分。</w:t>
      </w:r>
    </w:p>
    <w:p>
      <w:pPr>
        <w:pStyle w:val="5"/>
        <w:adjustRightInd w:val="0"/>
        <w:snapToGrid w:val="0"/>
        <w:spacing w:before="0" w:after="0" w:line="360" w:lineRule="auto"/>
        <w:rPr>
          <w:rFonts w:ascii="仿宋" w:hAnsi="仿宋" w:eastAsia="仿宋" w:cs="仿宋"/>
          <w:sz w:val="28"/>
          <w:szCs w:val="28"/>
        </w:rPr>
      </w:pPr>
      <w:bookmarkStart w:id="86" w:name="_Toc514837866"/>
      <w:bookmarkStart w:id="87" w:name="_Toc247592877"/>
      <w:bookmarkStart w:id="88" w:name="_Toc144974508"/>
      <w:bookmarkStart w:id="89" w:name="_Toc247513963"/>
      <w:bookmarkStart w:id="90" w:name="_Toc152042316"/>
      <w:bookmarkStart w:id="91" w:name="_Toc247527564"/>
      <w:bookmarkStart w:id="92" w:name="_Toc152045540"/>
      <w:r>
        <w:rPr>
          <w:rFonts w:hint="eastAsia" w:ascii="仿宋" w:hAnsi="仿宋" w:eastAsia="仿宋" w:cs="仿宋"/>
          <w:sz w:val="28"/>
          <w:szCs w:val="28"/>
        </w:rPr>
        <w:t>1.10 分包</w:t>
      </w:r>
      <w:bookmarkEnd w:id="86"/>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1.10.1 投标人拟在中标后将中标项目的非主体设备进行分包的，应符合投标人须知前附表 规定的分包内容、分包金额和资质要求等限制性条件，除投标人须知前附表规定的非主体设备 外，其他工作不得分包。</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1.10.2 中标人不得向他人转让中标项目，接受分包的人不得再次分包。中标人应当就分包 项目向招标人负责，接受分包的人就分包项目承担连带责任。</w:t>
      </w:r>
      <w:bookmarkStart w:id="93" w:name="_Toc514837867"/>
    </w:p>
    <w:p>
      <w:pPr>
        <w:pStyle w:val="5"/>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1.11 响应</w:t>
      </w:r>
      <w:bookmarkEnd w:id="93"/>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1.11.1 投标文件应当对招标文件的实质性要求和条件作出满足性或更有利于招标人的响应，</w:t>
      </w:r>
      <w:bookmarkEnd w:id="87"/>
      <w:bookmarkEnd w:id="88"/>
      <w:bookmarkEnd w:id="89"/>
      <w:bookmarkEnd w:id="90"/>
      <w:bookmarkEnd w:id="91"/>
      <w:bookmarkEnd w:id="92"/>
      <w:r>
        <w:rPr>
          <w:rFonts w:hint="eastAsia" w:ascii="仿宋" w:hAnsi="仿宋" w:eastAsia="仿宋" w:cs="仿宋"/>
          <w:sz w:val="28"/>
          <w:szCs w:val="28"/>
        </w:rPr>
        <w:t>否则，投标人的投标将被否决。实质性要求和条件见投标人须知前附表。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1.11.2 投标人应根据招标文件的要求提供投标设备技术性能指标的详细描述、技术支持资料及技术服务和质保期服务计划等内容以对招标文件作出响应。</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1.11.3 投标文件中应针对实质性要求和条件中列明的技术要求提供技术支持资料。技术支持资料以制造商公开发布的印刷资料，或检测机构出具的或投标人须知前附表允许的其他形式为准，不符合前述要求的，视为无技术支持资料，其投标将被否决。</w:t>
      </w:r>
    </w:p>
    <w:p>
      <w:pPr>
        <w:pStyle w:val="4"/>
        <w:adjustRightInd w:val="0"/>
        <w:snapToGrid w:val="0"/>
        <w:spacing w:before="0" w:after="0" w:line="360" w:lineRule="auto"/>
        <w:rPr>
          <w:rFonts w:ascii="仿宋" w:hAnsi="仿宋" w:eastAsia="仿宋" w:cs="仿宋"/>
          <w:sz w:val="28"/>
          <w:szCs w:val="28"/>
        </w:rPr>
      </w:pPr>
      <w:bookmarkStart w:id="94" w:name="_Toc514837868"/>
      <w:bookmarkStart w:id="95" w:name="_Toc246996187"/>
      <w:bookmarkStart w:id="96" w:name="_Toc152042318"/>
      <w:bookmarkStart w:id="97" w:name="_Toc246996930"/>
      <w:bookmarkStart w:id="98" w:name="_Toc144974510"/>
      <w:bookmarkStart w:id="99" w:name="_Toc152045542"/>
      <w:bookmarkStart w:id="100" w:name="_Toc179632560"/>
      <w:bookmarkStart w:id="101" w:name="_Toc247085701"/>
      <w:r>
        <w:rPr>
          <w:rFonts w:hint="eastAsia" w:ascii="仿宋" w:hAnsi="仿宋" w:eastAsia="仿宋" w:cs="仿宋"/>
          <w:sz w:val="28"/>
          <w:szCs w:val="28"/>
        </w:rPr>
        <w:t xml:space="preserve">2. </w:t>
      </w:r>
      <w:bookmarkEnd w:id="94"/>
      <w:bookmarkEnd w:id="95"/>
      <w:bookmarkEnd w:id="96"/>
      <w:bookmarkEnd w:id="97"/>
      <w:bookmarkEnd w:id="98"/>
      <w:bookmarkEnd w:id="99"/>
      <w:bookmarkEnd w:id="100"/>
      <w:bookmarkEnd w:id="101"/>
      <w:r>
        <w:rPr>
          <w:rFonts w:hint="eastAsia" w:ascii="仿宋" w:hAnsi="仿宋" w:eastAsia="仿宋" w:cs="仿宋"/>
          <w:sz w:val="28"/>
          <w:szCs w:val="28"/>
        </w:rPr>
        <w:t>招标文件</w:t>
      </w:r>
    </w:p>
    <w:p>
      <w:pPr>
        <w:pStyle w:val="5"/>
        <w:adjustRightInd w:val="0"/>
        <w:snapToGrid w:val="0"/>
        <w:spacing w:before="0" w:after="0" w:line="360" w:lineRule="auto"/>
        <w:rPr>
          <w:rFonts w:ascii="仿宋" w:hAnsi="仿宋" w:eastAsia="仿宋" w:cs="仿宋"/>
          <w:sz w:val="28"/>
          <w:szCs w:val="28"/>
        </w:rPr>
      </w:pPr>
      <w:bookmarkStart w:id="102" w:name="_Toc246996188"/>
      <w:bookmarkStart w:id="103" w:name="_Toc152045543"/>
      <w:bookmarkStart w:id="104" w:name="_Toc144974511"/>
      <w:bookmarkStart w:id="105" w:name="_Toc179632561"/>
      <w:bookmarkStart w:id="106" w:name="_Toc514837869"/>
      <w:bookmarkStart w:id="107" w:name="_Toc152042319"/>
      <w:bookmarkStart w:id="108" w:name="_Toc247085702"/>
      <w:bookmarkStart w:id="109" w:name="_Toc246996931"/>
      <w:r>
        <w:rPr>
          <w:rFonts w:hint="eastAsia" w:ascii="仿宋" w:hAnsi="仿宋" w:eastAsia="仿宋" w:cs="仿宋"/>
          <w:sz w:val="28"/>
          <w:szCs w:val="28"/>
        </w:rPr>
        <w:t>2.1 招标文件的组成</w:t>
      </w:r>
      <w:bookmarkEnd w:id="102"/>
      <w:bookmarkEnd w:id="103"/>
      <w:bookmarkEnd w:id="104"/>
      <w:bookmarkEnd w:id="105"/>
      <w:bookmarkEnd w:id="106"/>
      <w:bookmarkEnd w:id="107"/>
      <w:bookmarkEnd w:id="108"/>
      <w:bookmarkEnd w:id="109"/>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本招标文件包括：</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（1）招标公告；</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（2）投标人须知；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（3）评标办法；</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（4）合同条款及格式；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Hans"/>
        </w:rPr>
        <w:t>采购需求</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（6）投标文件格式；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（7）投标人须知前附表规定的其他资料。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根据本章第 1.9 款、第 2.2 款和第 2.3 款对招标文件所作的澄清、修改，构成招标文件的组成部分。</w:t>
      </w:r>
    </w:p>
    <w:p>
      <w:pPr>
        <w:pStyle w:val="5"/>
        <w:adjustRightInd w:val="0"/>
        <w:snapToGrid w:val="0"/>
        <w:spacing w:before="0" w:after="0" w:line="360" w:lineRule="auto"/>
        <w:rPr>
          <w:rFonts w:ascii="仿宋" w:hAnsi="仿宋" w:eastAsia="仿宋" w:cs="仿宋"/>
          <w:sz w:val="28"/>
          <w:szCs w:val="28"/>
        </w:rPr>
      </w:pPr>
      <w:bookmarkStart w:id="110" w:name="_Toc514837870"/>
      <w:bookmarkStart w:id="111" w:name="_Toc179632562"/>
      <w:bookmarkStart w:id="112" w:name="_Toc247085703"/>
      <w:bookmarkStart w:id="113" w:name="_Toc152042320"/>
      <w:bookmarkStart w:id="114" w:name="_Toc144974512"/>
      <w:bookmarkStart w:id="115" w:name="_Toc246996932"/>
      <w:bookmarkStart w:id="116" w:name="_Toc152045544"/>
      <w:bookmarkStart w:id="117" w:name="_Toc246996189"/>
      <w:r>
        <w:rPr>
          <w:rFonts w:hint="eastAsia" w:ascii="仿宋" w:hAnsi="仿宋" w:eastAsia="仿宋" w:cs="仿宋"/>
          <w:sz w:val="28"/>
          <w:szCs w:val="28"/>
        </w:rPr>
        <w:t>2.2 招标文件的澄清</w:t>
      </w:r>
      <w:bookmarkEnd w:id="110"/>
      <w:bookmarkEnd w:id="111"/>
      <w:bookmarkEnd w:id="112"/>
      <w:bookmarkEnd w:id="113"/>
      <w:bookmarkEnd w:id="114"/>
      <w:bookmarkEnd w:id="115"/>
      <w:bookmarkEnd w:id="116"/>
      <w:bookmarkEnd w:id="117"/>
      <w:r>
        <w:rPr>
          <w:rFonts w:hint="eastAsia" w:ascii="仿宋" w:hAnsi="仿宋" w:eastAsia="仿宋" w:cs="仿宋"/>
          <w:sz w:val="28"/>
          <w:szCs w:val="28"/>
        </w:rPr>
        <w:t xml:space="preserve">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2.2.2招标人对已发出的招标文件进行必要的澄清或修改的，可能影响投标文件编制的，应在投标文件截止时间15日前以书面形式通知所有招标文件收受人。该澄清或修改的内容为招标文件组成部分。</w:t>
      </w:r>
      <w:r>
        <w:rPr>
          <w:rFonts w:hint="eastAsia" w:ascii="仿宋" w:hAnsi="仿宋" w:eastAsia="仿宋" w:cs="仿宋"/>
          <w:sz w:val="28"/>
          <w:szCs w:val="28"/>
        </w:rPr>
        <w:t>澄清</w:t>
      </w:r>
      <w:r>
        <w:rPr>
          <w:rFonts w:hint="eastAsia" w:ascii="仿宋" w:hAnsi="仿宋" w:eastAsia="仿宋" w:cs="仿宋"/>
          <w:sz w:val="28"/>
          <w:szCs w:val="28"/>
          <w:lang w:eastAsia="zh-Hans"/>
        </w:rPr>
        <w:t>或修改</w:t>
      </w:r>
      <w:r>
        <w:rPr>
          <w:rFonts w:hint="eastAsia" w:ascii="仿宋" w:hAnsi="仿宋" w:eastAsia="仿宋" w:cs="仿宋"/>
          <w:sz w:val="28"/>
          <w:szCs w:val="28"/>
        </w:rPr>
        <w:t>发出的时间距本章第 4.2.1 项规定的投标截止时间不足 15 日的，并且澄清内容可能影响投标文件编制的，将相应延长投标截止时间。</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2.2.3 投标人在收到澄清后，应按投标人须知前附表规定的时间和形式通知招标人，确认已收到该澄清。</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2.2.4投标人在投标文件截止时间前，可补充、修改或撤回已提交的投标文件，并书面通知招标人。补充、修改内容为投标文件组成部分。在投标文件递交截止时间后至投标有效期终止日之间的这段时间内，投标单位不能撤销投标文件，否则其投标保证金将不予退还。</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2.2.5 除非招标人认为确有必要答复，否则，招标人有权拒绝回复投标人在本章第 2.2.1 项规定的时间后的任何澄清要求。</w:t>
      </w:r>
    </w:p>
    <w:p>
      <w:pPr>
        <w:pStyle w:val="5"/>
        <w:adjustRightInd w:val="0"/>
        <w:snapToGrid w:val="0"/>
        <w:spacing w:before="0" w:after="0" w:line="360" w:lineRule="auto"/>
        <w:rPr>
          <w:rFonts w:ascii="仿宋" w:hAnsi="仿宋" w:eastAsia="仿宋" w:cs="仿宋"/>
          <w:sz w:val="28"/>
          <w:szCs w:val="28"/>
        </w:rPr>
      </w:pPr>
      <w:bookmarkStart w:id="118" w:name="_Toc179632563"/>
      <w:bookmarkStart w:id="119" w:name="_Toc152042321"/>
      <w:bookmarkStart w:id="120" w:name="_Toc247085704"/>
      <w:bookmarkStart w:id="121" w:name="_Toc144974513"/>
      <w:bookmarkStart w:id="122" w:name="_Toc152045545"/>
      <w:bookmarkStart w:id="123" w:name="_Toc246996190"/>
      <w:bookmarkStart w:id="124" w:name="_Toc246996933"/>
      <w:bookmarkStart w:id="125" w:name="_Toc514837871"/>
      <w:r>
        <w:rPr>
          <w:rFonts w:hint="eastAsia" w:ascii="仿宋" w:hAnsi="仿宋" w:eastAsia="仿宋" w:cs="仿宋"/>
          <w:sz w:val="28"/>
          <w:szCs w:val="28"/>
        </w:rPr>
        <w:t>2.3 招标文件的修改</w:t>
      </w:r>
      <w:bookmarkEnd w:id="118"/>
      <w:bookmarkEnd w:id="119"/>
      <w:bookmarkEnd w:id="120"/>
      <w:bookmarkEnd w:id="121"/>
      <w:bookmarkEnd w:id="122"/>
      <w:bookmarkEnd w:id="123"/>
      <w:bookmarkEnd w:id="124"/>
      <w:bookmarkEnd w:id="125"/>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2.3.2 投标人收到修改内容后，应按投标人须知前附表规定的时间和形式通知招标人，确认已收到该修改。</w:t>
      </w:r>
    </w:p>
    <w:p>
      <w:pPr>
        <w:pStyle w:val="5"/>
        <w:adjustRightInd w:val="0"/>
        <w:snapToGrid w:val="0"/>
        <w:spacing w:before="0" w:after="0" w:line="360" w:lineRule="auto"/>
        <w:rPr>
          <w:rFonts w:ascii="仿宋" w:hAnsi="仿宋" w:eastAsia="仿宋" w:cs="仿宋"/>
          <w:sz w:val="28"/>
          <w:szCs w:val="28"/>
        </w:rPr>
      </w:pPr>
      <w:bookmarkStart w:id="126" w:name="_Toc514837872"/>
      <w:r>
        <w:rPr>
          <w:rFonts w:hint="eastAsia" w:ascii="仿宋" w:hAnsi="仿宋" w:eastAsia="仿宋" w:cs="仿宋"/>
          <w:sz w:val="28"/>
          <w:szCs w:val="28"/>
        </w:rPr>
        <w:t>2.4招标文件的异议</w:t>
      </w:r>
      <w:bookmarkEnd w:id="126"/>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投标人或者其他利害关系人对招标文件有异议的，应当在投标截止时间10日前以书面形式提出。招标人将在收到异议之日起3日内作出答复；作出答复前，将暂停招标投标活动。</w:t>
      </w:r>
    </w:p>
    <w:p>
      <w:pPr>
        <w:pStyle w:val="4"/>
        <w:adjustRightInd w:val="0"/>
        <w:snapToGrid w:val="0"/>
        <w:spacing w:before="0" w:after="0" w:line="360" w:lineRule="auto"/>
        <w:rPr>
          <w:rFonts w:ascii="仿宋" w:hAnsi="仿宋" w:eastAsia="仿宋" w:cs="仿宋"/>
          <w:sz w:val="28"/>
          <w:szCs w:val="28"/>
        </w:rPr>
      </w:pPr>
      <w:bookmarkStart w:id="127" w:name="_Toc152045546"/>
      <w:bookmarkStart w:id="128" w:name="_Toc246996934"/>
      <w:bookmarkStart w:id="129" w:name="_Toc179632564"/>
      <w:bookmarkStart w:id="130" w:name="_Toc514837873"/>
      <w:bookmarkStart w:id="131" w:name="_Toc152042322"/>
      <w:bookmarkStart w:id="132" w:name="_Toc247085705"/>
      <w:bookmarkStart w:id="133" w:name="_Toc246996191"/>
      <w:bookmarkStart w:id="134" w:name="_Toc144974514"/>
      <w:r>
        <w:rPr>
          <w:rFonts w:hint="eastAsia" w:ascii="仿宋" w:hAnsi="仿宋" w:eastAsia="仿宋" w:cs="仿宋"/>
          <w:sz w:val="28"/>
          <w:szCs w:val="28"/>
        </w:rPr>
        <w:t>3. 投标文件</w:t>
      </w:r>
      <w:bookmarkEnd w:id="127"/>
      <w:bookmarkEnd w:id="128"/>
      <w:bookmarkEnd w:id="129"/>
      <w:bookmarkEnd w:id="130"/>
      <w:bookmarkEnd w:id="131"/>
      <w:bookmarkEnd w:id="132"/>
      <w:bookmarkEnd w:id="133"/>
      <w:bookmarkEnd w:id="134"/>
    </w:p>
    <w:p>
      <w:pPr>
        <w:adjustRightInd w:val="0"/>
        <w:snapToGrid w:val="0"/>
        <w:spacing w:line="360" w:lineRule="auto"/>
        <w:outlineLvl w:val="2"/>
        <w:rPr>
          <w:rFonts w:ascii="仿宋" w:hAnsi="仿宋" w:eastAsia="仿宋" w:cs="仿宋"/>
          <w:b/>
          <w:sz w:val="28"/>
          <w:szCs w:val="28"/>
        </w:rPr>
      </w:pPr>
      <w:bookmarkStart w:id="135" w:name="_Toc246996936"/>
      <w:bookmarkStart w:id="136" w:name="_Toc144974516"/>
      <w:bookmarkStart w:id="137" w:name="_Toc514837875"/>
      <w:bookmarkStart w:id="138" w:name="_Toc152042324"/>
      <w:bookmarkStart w:id="139" w:name="_Toc179632566"/>
      <w:bookmarkStart w:id="140" w:name="_Toc247085707"/>
      <w:bookmarkStart w:id="141" w:name="_Toc152045548"/>
      <w:bookmarkStart w:id="142" w:name="_Toc246996193"/>
      <w:r>
        <w:rPr>
          <w:rFonts w:hint="eastAsia" w:ascii="仿宋" w:hAnsi="仿宋" w:eastAsia="仿宋" w:cs="仿宋"/>
          <w:b/>
          <w:sz w:val="28"/>
          <w:szCs w:val="28"/>
        </w:rPr>
        <w:t>3</w:t>
      </w:r>
      <w:r>
        <w:rPr>
          <w:rFonts w:hint="eastAsia" w:ascii="仿宋" w:hAnsi="仿宋" w:eastAsia="仿宋" w:cs="仿宋"/>
          <w:b/>
          <w:sz w:val="28"/>
          <w:szCs w:val="28"/>
          <w:lang w:eastAsia="zh-Hans"/>
        </w:rPr>
        <w:t>.1</w:t>
      </w:r>
      <w:r>
        <w:rPr>
          <w:rFonts w:hint="eastAsia" w:ascii="仿宋" w:hAnsi="仿宋" w:eastAsia="仿宋" w:cs="仿宋"/>
          <w:b/>
          <w:sz w:val="28"/>
          <w:szCs w:val="28"/>
        </w:rPr>
        <w:t>投标文件的组成</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.1.1</w:t>
      </w:r>
      <w:r>
        <w:rPr>
          <w:rFonts w:hint="eastAsia" w:ascii="仿宋" w:hAnsi="仿宋" w:eastAsia="仿宋" w:cs="仿宋"/>
          <w:sz w:val="28"/>
          <w:szCs w:val="28"/>
        </w:rPr>
        <w:t>投标文件的组成、份数：见投标人须知前附表。</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.1.2</w:t>
      </w:r>
      <w:r>
        <w:rPr>
          <w:rFonts w:hint="eastAsia" w:ascii="仿宋" w:hAnsi="仿宋" w:eastAsia="仿宋" w:cs="仿宋"/>
          <w:sz w:val="28"/>
          <w:szCs w:val="28"/>
        </w:rPr>
        <w:t>投标文件的格式见第六章。</w:t>
      </w:r>
    </w:p>
    <w:p>
      <w:pPr>
        <w:pStyle w:val="5"/>
        <w:adjustRightInd w:val="0"/>
        <w:snapToGrid w:val="0"/>
        <w:spacing w:before="0" w:after="0" w:line="360" w:lineRule="auto"/>
        <w:rPr>
          <w:rFonts w:ascii="仿宋" w:hAnsi="仿宋" w:eastAsia="仿宋" w:cs="仿宋"/>
          <w:sz w:val="28"/>
          <w:szCs w:val="28"/>
        </w:rPr>
      </w:pPr>
      <w:bookmarkStart w:id="143" w:name="_Toc246996197"/>
      <w:bookmarkStart w:id="144" w:name="_Toc247085711"/>
      <w:bookmarkStart w:id="145" w:name="_Toc246996940"/>
      <w:bookmarkStart w:id="146" w:name="_Toc179632571"/>
      <w:bookmarkStart w:id="147" w:name="_Toc152045553"/>
      <w:bookmarkStart w:id="148" w:name="_Toc514837880"/>
      <w:bookmarkStart w:id="149" w:name="_Toc144974521"/>
      <w:bookmarkStart w:id="150" w:name="_Toc152042329"/>
      <w:r>
        <w:rPr>
          <w:rFonts w:hint="eastAsia" w:ascii="仿宋" w:hAnsi="仿宋" w:eastAsia="仿宋" w:cs="仿宋"/>
          <w:sz w:val="28"/>
          <w:szCs w:val="28"/>
        </w:rPr>
        <w:t>3.2投标文件的编制</w:t>
      </w:r>
      <w:bookmarkEnd w:id="143"/>
      <w:bookmarkEnd w:id="144"/>
      <w:bookmarkEnd w:id="145"/>
      <w:bookmarkEnd w:id="146"/>
      <w:bookmarkEnd w:id="147"/>
      <w:bookmarkEnd w:id="148"/>
      <w:bookmarkEnd w:id="149"/>
      <w:bookmarkEnd w:id="150"/>
      <w:r>
        <w:rPr>
          <w:rFonts w:hint="eastAsia" w:ascii="仿宋" w:hAnsi="仿宋" w:eastAsia="仿宋" w:cs="仿宋"/>
          <w:sz w:val="28"/>
          <w:szCs w:val="28"/>
          <w:lang w:eastAsia="zh-Hans"/>
        </w:rPr>
        <w:t>及密封要求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.2.1</w:t>
      </w:r>
      <w:r>
        <w:rPr>
          <w:rFonts w:hint="eastAsia" w:ascii="仿宋" w:hAnsi="仿宋" w:eastAsia="仿宋" w:cs="仿宋"/>
          <w:sz w:val="28"/>
          <w:szCs w:val="28"/>
        </w:rPr>
        <w:t>标文件分为开标一览表信封、资格审查资料信封和投标文件信封，应包括下列内容：</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lang w:eastAsia="zh-Hans"/>
        </w:rPr>
        <w:t>（一）</w:t>
      </w:r>
      <w:r>
        <w:rPr>
          <w:rFonts w:hint="eastAsia" w:ascii="仿宋" w:hAnsi="仿宋" w:eastAsia="仿宋" w:cs="仿宋"/>
          <w:sz w:val="28"/>
          <w:szCs w:val="28"/>
        </w:rPr>
        <w:t>开标一览表信封：</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(1)开标一览表</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(2)投标保证金</w:t>
      </w:r>
      <w:r>
        <w:rPr>
          <w:rFonts w:hint="eastAsia" w:ascii="仿宋" w:hAnsi="仿宋" w:eastAsia="仿宋" w:cs="仿宋"/>
          <w:sz w:val="28"/>
          <w:szCs w:val="28"/>
          <w:lang w:eastAsia="zh-Hans"/>
        </w:rPr>
        <w:t>缴纳</w:t>
      </w:r>
      <w:r>
        <w:rPr>
          <w:rFonts w:hint="eastAsia" w:ascii="仿宋" w:hAnsi="仿宋" w:eastAsia="仿宋" w:cs="仿宋"/>
          <w:sz w:val="28"/>
          <w:szCs w:val="28"/>
        </w:rPr>
        <w:t>凭证</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二）</w:t>
      </w:r>
      <w:r>
        <w:rPr>
          <w:rFonts w:hint="eastAsia" w:ascii="仿宋" w:hAnsi="仿宋" w:eastAsia="仿宋" w:cs="仿宋"/>
          <w:sz w:val="28"/>
          <w:szCs w:val="28"/>
        </w:rPr>
        <w:t>资格审查资料信封：根据投标人须知3</w:t>
      </w:r>
      <w:r>
        <w:rPr>
          <w:rFonts w:hint="eastAsia" w:ascii="仿宋" w:hAnsi="仿宋" w:eastAsia="仿宋" w:cs="仿宋"/>
          <w:sz w:val="28"/>
          <w:szCs w:val="28"/>
          <w:lang w:eastAsia="zh-Hans"/>
        </w:rPr>
        <w:t>.10.1</w:t>
      </w:r>
      <w:r>
        <w:rPr>
          <w:rFonts w:hint="eastAsia" w:ascii="仿宋" w:hAnsi="仿宋" w:eastAsia="仿宋" w:cs="仿宋"/>
          <w:sz w:val="28"/>
          <w:szCs w:val="28"/>
        </w:rPr>
        <w:t>要求的开标资格审查资料的内容提供</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三）</w:t>
      </w:r>
      <w:r>
        <w:rPr>
          <w:rFonts w:hint="eastAsia" w:ascii="仿宋" w:hAnsi="仿宋" w:eastAsia="仿宋" w:cs="仿宋"/>
          <w:sz w:val="28"/>
          <w:szCs w:val="28"/>
        </w:rPr>
        <w:t>投标文件袋信封（投标文件正副本）：</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(1)投标文件(文件编制详见第二章3.2)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(2)投标文件正本扫描电子版（PDF格式）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.2.2</w:t>
      </w:r>
      <w:r>
        <w:rPr>
          <w:rFonts w:hint="eastAsia" w:ascii="仿宋" w:hAnsi="仿宋" w:eastAsia="仿宋" w:cs="仿宋"/>
          <w:sz w:val="28"/>
          <w:szCs w:val="28"/>
        </w:rPr>
        <w:t>投标文件信封封面和《开标一览表》信封封面和资格审查资料信封封面上应写明：</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采购人：</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项目名称：（项目名称第几包）</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项目编号：</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投标单位名称：</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（“正本”或“副本”、开标一览表、资格审查资料）</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联系人和联系电话：</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.2.3</w:t>
      </w:r>
      <w:r>
        <w:rPr>
          <w:rFonts w:hint="eastAsia" w:ascii="仿宋" w:hAnsi="仿宋" w:eastAsia="仿宋" w:cs="仿宋"/>
          <w:sz w:val="28"/>
          <w:szCs w:val="28"/>
        </w:rPr>
        <w:t>投标文件密封投标文件正副本及投标文件电子版（u盘）可以密封在同一投标文件袋中。u盘请载明项目名称、项目编号、公司名称）。u盘与投标文件恕不退还。</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.2.4</w:t>
      </w:r>
      <w:r>
        <w:rPr>
          <w:rFonts w:hint="eastAsia" w:ascii="仿宋" w:hAnsi="仿宋" w:eastAsia="仿宋" w:cs="仿宋"/>
          <w:sz w:val="28"/>
          <w:szCs w:val="28"/>
        </w:rPr>
        <w:t>开标一览表密封投标人必须单独制作“开标一览表”，并单独密封提交，开标一览表密封在一个信封内。</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.2.5</w:t>
      </w:r>
      <w:r>
        <w:rPr>
          <w:rFonts w:hint="eastAsia" w:ascii="仿宋" w:hAnsi="仿宋" w:eastAsia="仿宋" w:cs="仿宋"/>
          <w:sz w:val="28"/>
          <w:szCs w:val="28"/>
        </w:rPr>
        <w:t>投标文件信封及开标一览表信封封口处须加盖投标公司公章及法人章，并注明“开标时启封”字样。</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.2.6</w:t>
      </w:r>
      <w:r>
        <w:rPr>
          <w:rFonts w:hint="eastAsia" w:ascii="仿宋" w:hAnsi="仿宋" w:eastAsia="仿宋" w:cs="仿宋"/>
          <w:sz w:val="28"/>
          <w:szCs w:val="28"/>
        </w:rPr>
        <w:t>若投标人参与多个包投标，投标文件信封及开标一览表信封按招标文件要求以包为单位分开制作并密封提交。否则其投标被拒绝。资格审查资料信封可不按包制作，但法定代表人身份证明书或法定代表人授权委托书需以包为单位分开制作装在资格审查资料信封里递交。</w:t>
      </w:r>
    </w:p>
    <w:p>
      <w:pPr>
        <w:pStyle w:val="5"/>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未按招标文件前附表投标文件制作及密封要求的，投标被拒绝。</w:t>
      </w:r>
    </w:p>
    <w:p>
      <w:pPr>
        <w:adjustRightInd w:val="0"/>
        <w:snapToGrid w:val="0"/>
        <w:spacing w:line="360" w:lineRule="auto"/>
        <w:rPr>
          <w:rFonts w:ascii="仿宋" w:hAnsi="仿宋" w:eastAsia="仿宋" w:cs="仿宋"/>
          <w:b/>
          <w:bCs/>
          <w:sz w:val="28"/>
          <w:szCs w:val="28"/>
          <w:lang w:eastAsia="zh-Hans"/>
        </w:rPr>
      </w:pPr>
      <w:r>
        <w:rPr>
          <w:rFonts w:hint="eastAsia" w:ascii="仿宋" w:hAnsi="仿宋" w:eastAsia="仿宋" w:cs="仿宋"/>
          <w:b/>
          <w:bCs/>
          <w:sz w:val="28"/>
          <w:szCs w:val="28"/>
        </w:rPr>
        <w:t>3</w:t>
      </w:r>
      <w:r>
        <w:rPr>
          <w:rFonts w:hint="eastAsia" w:ascii="仿宋" w:hAnsi="仿宋" w:eastAsia="仿宋" w:cs="仿宋"/>
          <w:b/>
          <w:bCs/>
          <w:sz w:val="28"/>
          <w:szCs w:val="28"/>
          <w:lang w:eastAsia="zh-Hans"/>
        </w:rPr>
        <w:t>.3投标文件的签署规定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.3.1</w:t>
      </w:r>
      <w:r>
        <w:rPr>
          <w:rFonts w:hint="eastAsia" w:ascii="仿宋" w:hAnsi="仿宋" w:eastAsia="仿宋" w:cs="仿宋"/>
          <w:sz w:val="28"/>
          <w:szCs w:val="28"/>
        </w:rPr>
        <w:t>投标文件的页面必须用印刷体打印。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.3.2</w:t>
      </w:r>
      <w:r>
        <w:rPr>
          <w:rFonts w:hint="eastAsia" w:ascii="仿宋" w:hAnsi="仿宋" w:eastAsia="仿宋" w:cs="仿宋"/>
          <w:sz w:val="28"/>
          <w:szCs w:val="28"/>
        </w:rPr>
        <w:t>投标文件应清楚工整，一般不准修改。个别非实质性修改之处必须由投标人的法定代表人（负责人）或经其正式授权的代表在修改的每一页上签字或盖投标单位公章后才有效。</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.3.3</w:t>
      </w:r>
      <w:r>
        <w:rPr>
          <w:rFonts w:hint="eastAsia" w:ascii="仿宋" w:hAnsi="仿宋" w:eastAsia="仿宋" w:cs="仿宋"/>
          <w:sz w:val="28"/>
          <w:szCs w:val="28"/>
        </w:rPr>
        <w:t>投标文件应由法定代表人或法人授权代表在规定的签章处逐一签署或加盖单位公章</w:t>
      </w:r>
      <w:r>
        <w:rPr>
          <w:rFonts w:hint="eastAsia" w:ascii="仿宋" w:hAnsi="仿宋" w:eastAsia="仿宋" w:cs="仿宋"/>
          <w:bCs/>
          <w:sz w:val="28"/>
          <w:szCs w:val="28"/>
        </w:rPr>
        <w:t>，投标文件方为有效。</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z w:val="28"/>
          <w:szCs w:val="28"/>
          <w:lang w:eastAsia="zh-Hans"/>
        </w:rPr>
        <w:t>.3.4</w:t>
      </w:r>
      <w:r>
        <w:rPr>
          <w:rFonts w:hint="eastAsia" w:ascii="仿宋" w:hAnsi="仿宋" w:eastAsia="仿宋" w:cs="仿宋"/>
          <w:b/>
          <w:sz w:val="28"/>
          <w:szCs w:val="28"/>
        </w:rPr>
        <w:t>投标文件正本需逐页加盖公章，在招标文件格式规定处签署，并编好始末页码,,如不按要求签署、盖章的</w:t>
      </w:r>
      <w:r>
        <w:rPr>
          <w:rFonts w:hint="eastAsia" w:ascii="仿宋" w:hAnsi="仿宋" w:eastAsia="仿宋" w:cs="仿宋"/>
          <w:b/>
          <w:sz w:val="28"/>
          <w:szCs w:val="28"/>
          <w:lang w:eastAsia="zh-Hans"/>
        </w:rPr>
        <w:t>其投标文件做废</w:t>
      </w:r>
      <w:r>
        <w:rPr>
          <w:rFonts w:hint="eastAsia" w:ascii="仿宋" w:hAnsi="仿宋" w:eastAsia="仿宋" w:cs="仿宋"/>
          <w:b/>
          <w:sz w:val="28"/>
          <w:szCs w:val="28"/>
        </w:rPr>
        <w:t>无效投标</w:t>
      </w:r>
      <w:r>
        <w:rPr>
          <w:rFonts w:hint="eastAsia" w:ascii="仿宋" w:hAnsi="仿宋" w:eastAsia="仿宋" w:cs="仿宋"/>
          <w:b/>
          <w:sz w:val="28"/>
          <w:szCs w:val="28"/>
          <w:lang w:eastAsia="zh-Hans"/>
        </w:rPr>
        <w:t>处理</w:t>
      </w:r>
      <w:r>
        <w:rPr>
          <w:rFonts w:hint="eastAsia" w:ascii="仿宋" w:hAnsi="仿宋" w:eastAsia="仿宋" w:cs="仿宋"/>
          <w:b/>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.3.5</w:t>
      </w:r>
      <w:r>
        <w:rPr>
          <w:rFonts w:hint="eastAsia" w:ascii="仿宋" w:hAnsi="仿宋" w:eastAsia="仿宋" w:cs="仿宋"/>
          <w:sz w:val="28"/>
          <w:szCs w:val="28"/>
        </w:rPr>
        <w:t>所有投标文件必须提交正本</w:t>
      </w:r>
      <w:r>
        <w:rPr>
          <w:rFonts w:hint="eastAsia" w:ascii="仿宋" w:hAnsi="仿宋" w:eastAsia="仿宋" w:cs="仿宋"/>
          <w:sz w:val="28"/>
          <w:szCs w:val="28"/>
          <w:u w:val="single"/>
        </w:rPr>
        <w:t>1</w:t>
      </w:r>
      <w:r>
        <w:rPr>
          <w:rFonts w:hint="eastAsia" w:ascii="仿宋" w:hAnsi="仿宋" w:eastAsia="仿宋" w:cs="仿宋"/>
          <w:sz w:val="28"/>
          <w:szCs w:val="28"/>
        </w:rPr>
        <w:t>套和副本</w:t>
      </w:r>
      <w:r>
        <w:rPr>
          <w:rFonts w:hint="eastAsia" w:ascii="仿宋" w:hAnsi="仿宋" w:eastAsia="仿宋" w:cs="仿宋"/>
          <w:sz w:val="28"/>
          <w:szCs w:val="28"/>
          <w:u w:val="single"/>
        </w:rPr>
        <w:t>4</w:t>
      </w:r>
      <w:r>
        <w:rPr>
          <w:rFonts w:hint="eastAsia" w:ascii="仿宋" w:hAnsi="仿宋" w:eastAsia="仿宋" w:cs="仿宋"/>
          <w:sz w:val="28"/>
          <w:szCs w:val="28"/>
        </w:rPr>
        <w:t>套（如不满足将拒绝其投标），并在封面上标记“正本”或“副本”。</w:t>
      </w:r>
    </w:p>
    <w:p>
      <w:pPr>
        <w:pStyle w:val="7"/>
        <w:snapToGrid w:val="0"/>
        <w:spacing w:line="360" w:lineRule="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.3.6</w:t>
      </w:r>
      <w:r>
        <w:rPr>
          <w:rFonts w:hint="eastAsia" w:ascii="仿宋" w:hAnsi="仿宋" w:eastAsia="仿宋" w:cs="仿宋"/>
          <w:sz w:val="28"/>
          <w:szCs w:val="28"/>
        </w:rPr>
        <w:t>投标文件的正本与副本应当完全一致。当正本和副本之间出现差异时，以正本为准。</w:t>
      </w:r>
    </w:p>
    <w:p>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3</w:t>
      </w:r>
      <w:r>
        <w:rPr>
          <w:rFonts w:hint="eastAsia" w:ascii="仿宋" w:hAnsi="仿宋" w:eastAsia="仿宋" w:cs="仿宋"/>
          <w:b/>
          <w:bCs/>
          <w:sz w:val="28"/>
          <w:szCs w:val="28"/>
          <w:lang w:eastAsia="zh-Hans"/>
        </w:rPr>
        <w:t>.4</w:t>
      </w:r>
      <w:r>
        <w:rPr>
          <w:rFonts w:hint="eastAsia" w:ascii="仿宋" w:hAnsi="仿宋" w:eastAsia="仿宋" w:cs="仿宋"/>
          <w:b/>
          <w:bCs/>
          <w:sz w:val="28"/>
          <w:szCs w:val="28"/>
        </w:rPr>
        <w:t>投标货物符合招标文件规定的技术响应文件</w:t>
      </w:r>
    </w:p>
    <w:p>
      <w:pPr>
        <w:adjustRightInd w:val="0"/>
        <w:snapToGrid w:val="0"/>
        <w:spacing w:line="360" w:lineRule="auto"/>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1、投标</w:t>
      </w:r>
      <w:r>
        <w:rPr>
          <w:rFonts w:hint="eastAsia" w:ascii="仿宋" w:hAnsi="仿宋" w:eastAsia="仿宋" w:cs="仿宋"/>
          <w:color w:val="000000"/>
          <w:sz w:val="28"/>
          <w:szCs w:val="28"/>
          <w:lang w:eastAsia="zh-Hans"/>
        </w:rPr>
        <w:t>人</w:t>
      </w:r>
      <w:r>
        <w:rPr>
          <w:rFonts w:hint="eastAsia" w:ascii="仿宋" w:hAnsi="仿宋" w:eastAsia="仿宋" w:cs="仿宋"/>
          <w:color w:val="000000"/>
          <w:sz w:val="28"/>
          <w:szCs w:val="28"/>
        </w:rPr>
        <w:t>须提交证明拟供货物和服务符合招标文件规定的技术响应文件，作为投标文件的一部分。</w:t>
      </w:r>
    </w:p>
    <w:p>
      <w:pPr>
        <w:adjustRightInd w:val="0"/>
        <w:snapToGrid w:val="0"/>
        <w:spacing w:line="360" w:lineRule="auto"/>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2、上述文件为文字资料、产品彩页和数据，并提供：</w:t>
      </w:r>
    </w:p>
    <w:p>
      <w:pPr>
        <w:adjustRightInd w:val="0"/>
        <w:snapToGrid w:val="0"/>
        <w:spacing w:line="360" w:lineRule="auto"/>
        <w:ind w:firstLine="480"/>
        <w:rPr>
          <w:rFonts w:ascii="仿宋" w:hAnsi="仿宋" w:eastAsia="仿宋" w:cs="仿宋"/>
          <w:color w:val="000000"/>
          <w:sz w:val="28"/>
          <w:szCs w:val="28"/>
        </w:rPr>
      </w:pPr>
      <w:r>
        <w:rPr>
          <w:rFonts w:hint="eastAsia" w:ascii="仿宋" w:hAnsi="仿宋" w:eastAsia="仿宋" w:cs="仿宋"/>
          <w:color w:val="000000"/>
          <w:sz w:val="28"/>
          <w:szCs w:val="28"/>
        </w:rPr>
        <w:t>（1）货物主要技术及性能特点的详细描述；</w:t>
      </w:r>
    </w:p>
    <w:p>
      <w:pPr>
        <w:adjustRightInd w:val="0"/>
        <w:snapToGrid w:val="0"/>
        <w:spacing w:line="360" w:lineRule="auto"/>
        <w:ind w:firstLine="480"/>
        <w:rPr>
          <w:rFonts w:ascii="仿宋" w:hAnsi="仿宋" w:eastAsia="仿宋" w:cs="仿宋"/>
          <w:color w:val="000000"/>
          <w:sz w:val="28"/>
          <w:szCs w:val="28"/>
        </w:rPr>
      </w:pPr>
      <w:r>
        <w:rPr>
          <w:rFonts w:hint="eastAsia" w:ascii="仿宋" w:hAnsi="仿宋" w:eastAsia="仿宋" w:cs="仿宋"/>
          <w:color w:val="000000"/>
          <w:sz w:val="28"/>
          <w:szCs w:val="28"/>
        </w:rPr>
        <w:t>（2）规格、技术参数偏离表（见附件）。</w:t>
      </w:r>
    </w:p>
    <w:p>
      <w:pPr>
        <w:pStyle w:val="5"/>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3.5 投标报价</w:t>
      </w:r>
      <w:bookmarkEnd w:id="135"/>
      <w:bookmarkEnd w:id="136"/>
      <w:bookmarkEnd w:id="137"/>
      <w:bookmarkEnd w:id="138"/>
      <w:bookmarkEnd w:id="139"/>
      <w:bookmarkEnd w:id="140"/>
      <w:bookmarkEnd w:id="141"/>
      <w:bookmarkEnd w:id="142"/>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3.5.1 投标报价应包括国家规定的增值税税金，除投标人须知前附表另有规定外，增值税税金按一般计税方法计算。投标人应按第六章“投标文件格式”的要求在投标函中进行报价并填写分项报价表。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3.5.2 投标人应充分了解该项目的总体情况以及影响投标报价的其他要素。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3.5.3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3.5.4 招标人设有最高投标限价的，投标人的投标报价不得超过最高投标限价</w:t>
      </w:r>
      <w:r>
        <w:rPr>
          <w:rFonts w:hint="eastAsia" w:ascii="仿宋" w:hAnsi="仿宋" w:eastAsia="仿宋" w:cs="仿宋"/>
          <w:sz w:val="28"/>
          <w:szCs w:val="28"/>
          <w:lang w:eastAsia="zh-Hans"/>
        </w:rPr>
        <w:t>且报价唯一</w:t>
      </w:r>
      <w:r>
        <w:rPr>
          <w:rFonts w:hint="eastAsia" w:ascii="仿宋" w:hAnsi="仿宋" w:eastAsia="仿宋" w:cs="仿宋"/>
          <w:sz w:val="28"/>
          <w:szCs w:val="28"/>
        </w:rPr>
        <w:t>，最高投标限价在投标人须知前附表中载明。</w:t>
      </w:r>
    </w:p>
    <w:p>
      <w:pPr>
        <w:pStyle w:val="5"/>
        <w:adjustRightInd w:val="0"/>
        <w:snapToGrid w:val="0"/>
        <w:spacing w:before="0" w:after="0" w:line="360" w:lineRule="auto"/>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.6低于成本价不正当竞争措施</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评标过程中，评标小组认为投标人的报价明显低于其他通过符合性审查投标人的报价，有可能影响服务品质或者不能诚信履约的，评标小组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pPr>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投标人提供书面说明后，评标小组应当结合采购项目采购需求、专业实际情况、投标人财务状况报告、与其他投标人比较情况等就投标人书面说明进行审查评价。投标人拒绝或者变相拒绝提供有效书面说明或者书面说明不能证明其报价合理性的，评标小组应当将其投标文件作为无效处理。</w:t>
      </w:r>
    </w:p>
    <w:p>
      <w:pPr>
        <w:pStyle w:val="5"/>
        <w:adjustRightInd w:val="0"/>
        <w:snapToGrid w:val="0"/>
        <w:spacing w:before="0" w:after="0" w:line="360" w:lineRule="auto"/>
        <w:rPr>
          <w:rFonts w:ascii="仿宋" w:hAnsi="仿宋" w:eastAsia="仿宋" w:cs="仿宋"/>
          <w:sz w:val="28"/>
          <w:szCs w:val="28"/>
        </w:rPr>
      </w:pPr>
      <w:bookmarkStart w:id="151" w:name="_Toc246996937"/>
      <w:bookmarkStart w:id="152" w:name="_Toc152045549"/>
      <w:bookmarkStart w:id="153" w:name="_Toc179632567"/>
      <w:bookmarkStart w:id="154" w:name="_Toc152042325"/>
      <w:bookmarkStart w:id="155" w:name="_Toc246996194"/>
      <w:bookmarkStart w:id="156" w:name="_Toc144974517"/>
      <w:bookmarkStart w:id="157" w:name="_Toc514837876"/>
      <w:bookmarkStart w:id="158" w:name="_Toc247085708"/>
      <w:r>
        <w:rPr>
          <w:rFonts w:hint="eastAsia" w:ascii="仿宋" w:hAnsi="仿宋" w:eastAsia="仿宋" w:cs="仿宋"/>
          <w:sz w:val="28"/>
          <w:szCs w:val="28"/>
        </w:rPr>
        <w:t>3.7投标有效期</w:t>
      </w:r>
      <w:bookmarkEnd w:id="151"/>
      <w:bookmarkEnd w:id="152"/>
      <w:bookmarkEnd w:id="153"/>
      <w:bookmarkEnd w:id="154"/>
      <w:bookmarkEnd w:id="155"/>
      <w:bookmarkEnd w:id="156"/>
      <w:bookmarkEnd w:id="157"/>
      <w:bookmarkEnd w:id="158"/>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3.7.1 除投标人须知前附表另有规定外，投标有效期为投标截止之日起120个日历天。</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3.7.2 在投标有效期内，投标人撤销投标文件的，应承担招标文件和法律规定的责任。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3.7.3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adjustRightInd w:val="0"/>
        <w:snapToGrid w:val="0"/>
        <w:spacing w:before="0" w:after="0" w:line="360" w:lineRule="auto"/>
        <w:rPr>
          <w:rFonts w:ascii="仿宋" w:hAnsi="仿宋" w:eastAsia="仿宋" w:cs="仿宋"/>
          <w:sz w:val="28"/>
          <w:szCs w:val="28"/>
          <w:lang w:eastAsia="zh-Hans"/>
        </w:rPr>
      </w:pPr>
      <w:bookmarkStart w:id="159" w:name="_Toc514837877"/>
      <w:bookmarkStart w:id="160" w:name="_Toc246996938"/>
      <w:bookmarkStart w:id="161" w:name="_Toc179632568"/>
      <w:bookmarkStart w:id="162" w:name="_Toc152042326"/>
      <w:bookmarkStart w:id="163" w:name="_Toc247085709"/>
      <w:bookmarkStart w:id="164" w:name="_Toc144974518"/>
      <w:bookmarkStart w:id="165" w:name="_Toc152045550"/>
      <w:bookmarkStart w:id="166" w:name="_Toc246996195"/>
      <w:r>
        <w:rPr>
          <w:rFonts w:hint="eastAsia" w:ascii="仿宋" w:hAnsi="仿宋" w:eastAsia="仿宋" w:cs="仿宋"/>
          <w:sz w:val="28"/>
          <w:szCs w:val="28"/>
        </w:rPr>
        <w:t>3.8投标保证金</w:t>
      </w:r>
      <w:bookmarkEnd w:id="159"/>
      <w:bookmarkEnd w:id="160"/>
      <w:bookmarkEnd w:id="161"/>
      <w:bookmarkEnd w:id="162"/>
      <w:bookmarkEnd w:id="163"/>
      <w:bookmarkEnd w:id="164"/>
      <w:bookmarkEnd w:id="165"/>
      <w:bookmarkEnd w:id="166"/>
      <w:r>
        <w:rPr>
          <w:rFonts w:hint="eastAsia" w:ascii="仿宋" w:hAnsi="仿宋" w:eastAsia="仿宋" w:cs="仿宋"/>
          <w:sz w:val="28"/>
          <w:szCs w:val="28"/>
        </w:rPr>
        <w:t>：</w:t>
      </w:r>
      <w:r>
        <w:rPr>
          <w:rFonts w:hint="eastAsia" w:ascii="仿宋" w:hAnsi="仿宋" w:eastAsia="仿宋" w:cs="仿宋"/>
          <w:b w:val="0"/>
          <w:bCs w:val="0"/>
          <w:sz w:val="28"/>
          <w:szCs w:val="28"/>
          <w:lang w:eastAsia="zh-Hans"/>
        </w:rPr>
        <w:t>详见投标人须知前附表</w:t>
      </w:r>
    </w:p>
    <w:p>
      <w:pPr>
        <w:pStyle w:val="7"/>
        <w:snapToGrid w:val="0"/>
        <w:spacing w:line="360" w:lineRule="auto"/>
        <w:ind w:firstLine="0"/>
        <w:rPr>
          <w:rFonts w:ascii="仿宋" w:hAnsi="仿宋" w:eastAsia="仿宋" w:cs="仿宋"/>
          <w:b/>
          <w:bCs/>
          <w:sz w:val="28"/>
          <w:szCs w:val="28"/>
          <w:lang w:eastAsia="zh-Hans"/>
        </w:rPr>
      </w:pPr>
      <w:r>
        <w:rPr>
          <w:rFonts w:hint="eastAsia" w:ascii="仿宋" w:hAnsi="仿宋" w:eastAsia="仿宋" w:cs="仿宋"/>
          <w:b/>
          <w:bCs/>
          <w:sz w:val="28"/>
          <w:szCs w:val="28"/>
          <w:lang w:eastAsia="zh-Hans"/>
        </w:rPr>
        <w:t>3.9近年完成的类似业绩及时间要求：</w:t>
      </w:r>
      <w:bookmarkStart w:id="167" w:name="_Toc514837878"/>
      <w:r>
        <w:rPr>
          <w:rFonts w:hint="eastAsia" w:ascii="仿宋" w:hAnsi="仿宋" w:eastAsia="仿宋" w:cs="仿宋"/>
          <w:sz w:val="28"/>
          <w:szCs w:val="28"/>
          <w:lang w:eastAsia="zh-Hans"/>
        </w:rPr>
        <w:t>详见投标人须知前附表</w:t>
      </w:r>
    </w:p>
    <w:p>
      <w:pPr>
        <w:pStyle w:val="7"/>
        <w:snapToGrid w:val="0"/>
        <w:spacing w:line="360" w:lineRule="auto"/>
        <w:ind w:firstLine="0"/>
        <w:rPr>
          <w:rFonts w:ascii="仿宋" w:hAnsi="仿宋" w:eastAsia="仿宋" w:cs="仿宋"/>
          <w:b/>
          <w:bCs/>
          <w:sz w:val="28"/>
          <w:szCs w:val="28"/>
          <w:lang w:eastAsia="zh-Hans"/>
        </w:rPr>
      </w:pPr>
      <w:r>
        <w:rPr>
          <w:rFonts w:hint="eastAsia" w:ascii="仿宋" w:hAnsi="仿宋" w:eastAsia="仿宋" w:cs="仿宋"/>
          <w:b/>
          <w:bCs/>
          <w:sz w:val="28"/>
          <w:szCs w:val="28"/>
          <w:lang w:eastAsia="zh-Hans"/>
        </w:rPr>
        <w:t>3.10 资格审查资料</w:t>
      </w:r>
      <w:bookmarkEnd w:id="167"/>
    </w:p>
    <w:p>
      <w:pPr>
        <w:adjustRightInd w:val="0"/>
        <w:snapToGrid w:val="0"/>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sz w:val="28"/>
          <w:szCs w:val="28"/>
        </w:rPr>
        <w:t>3</w:t>
      </w:r>
      <w:r>
        <w:rPr>
          <w:rFonts w:hint="eastAsia" w:ascii="仿宋" w:hAnsi="仿宋" w:eastAsia="仿宋" w:cs="仿宋"/>
          <w:b/>
          <w:bCs/>
          <w:sz w:val="28"/>
          <w:szCs w:val="28"/>
          <w:lang w:eastAsia="zh-Hans"/>
        </w:rPr>
        <w:t>.10.1</w:t>
      </w:r>
      <w:r>
        <w:rPr>
          <w:rFonts w:hint="eastAsia" w:ascii="仿宋" w:hAnsi="仿宋" w:eastAsia="仿宋" w:cs="仿宋"/>
          <w:b/>
          <w:bCs/>
          <w:sz w:val="28"/>
          <w:szCs w:val="28"/>
        </w:rPr>
        <w:t>除投标人须知前附表另有规定外，投标人应按下列规定提供资格审查资料</w:t>
      </w:r>
      <w:bookmarkStart w:id="168" w:name="_Toc514837879"/>
      <w:r>
        <w:rPr>
          <w:rFonts w:hint="eastAsia" w:ascii="仿宋" w:hAnsi="仿宋" w:eastAsia="仿宋" w:cs="仿宋"/>
          <w:b/>
          <w:bCs/>
          <w:color w:val="000000"/>
          <w:sz w:val="28"/>
          <w:szCs w:val="28"/>
        </w:rPr>
        <w:t>，如缺项将导致</w:t>
      </w:r>
      <w:r>
        <w:rPr>
          <w:rFonts w:hint="eastAsia" w:ascii="仿宋" w:hAnsi="仿宋" w:eastAsia="仿宋" w:cs="仿宋"/>
          <w:b/>
          <w:bCs/>
          <w:color w:val="000000"/>
          <w:sz w:val="28"/>
          <w:szCs w:val="28"/>
          <w:u w:val="single"/>
        </w:rPr>
        <w:t>投标无效</w:t>
      </w:r>
      <w:r>
        <w:rPr>
          <w:rFonts w:hint="eastAsia" w:ascii="仿宋" w:hAnsi="仿宋" w:eastAsia="仿宋" w:cs="仿宋"/>
          <w:b/>
          <w:bCs/>
          <w:color w:val="000000"/>
          <w:sz w:val="28"/>
          <w:szCs w:val="28"/>
        </w:rPr>
        <w:t>。</w:t>
      </w:r>
    </w:p>
    <w:p>
      <w:pPr>
        <w:adjustRightInd w:val="0"/>
        <w:snapToGrid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rPr>
        <w:t>投标人应出具有效的“一证一码”或“三证合一”的营业执照副本原件；</w:t>
      </w:r>
    </w:p>
    <w:p>
      <w:pPr>
        <w:adjustRightInd w:val="0"/>
        <w:snapToGrid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法定代表人参加投标的，应提供法定代表人居民身份证原件；法定代表人授权人参加投标的，应提供法定代表人授权书及被授权人居民身份证原件；</w:t>
      </w:r>
    </w:p>
    <w:p>
      <w:pPr>
        <w:adjustRightInd w:val="0"/>
        <w:snapToGrid w:val="0"/>
        <w:spacing w:line="360" w:lineRule="auto"/>
        <w:ind w:firstLine="562"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投标人出具通过“信用中国”网站（www.creditchina.gov.cn）和中国政府采购网（www.ccgp.gov.cn）渠道查询的本单位信用记录的网页，并加盖投标单位公章</w:t>
      </w:r>
      <w:r>
        <w:rPr>
          <w:rFonts w:hint="eastAsia" w:ascii="仿宋" w:hAnsi="仿宋" w:eastAsia="仿宋" w:cs="仿宋"/>
          <w:b/>
          <w:bCs/>
          <w:color w:val="000000"/>
          <w:sz w:val="28"/>
          <w:szCs w:val="28"/>
          <w:lang w:eastAsia="zh-CN"/>
        </w:rPr>
        <w:t>；</w:t>
      </w:r>
    </w:p>
    <w:p>
      <w:pPr>
        <w:adjustRightInd w:val="0"/>
        <w:snapToGrid w:val="0"/>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、提供社会保险登记证原件或社保机构出具的社保缴纳证明并加盖投标单位公章（近三个月至今任意一月，当月新成立公司不需提供）；</w:t>
      </w:r>
    </w:p>
    <w:p>
      <w:pPr>
        <w:adjustRightInd w:val="0"/>
        <w:snapToGrid w:val="0"/>
        <w:spacing w:line="360" w:lineRule="auto"/>
        <w:ind w:firstLine="562" w:firstLineChars="20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、提供2020年度财务审计报告的扫描件加盖公章</w:t>
      </w:r>
      <w:r>
        <w:rPr>
          <w:rFonts w:hint="eastAsia" w:ascii="仿宋" w:hAnsi="仿宋" w:eastAsia="仿宋" w:cs="仿宋"/>
          <w:b/>
          <w:bCs/>
          <w:color w:val="000000"/>
          <w:sz w:val="28"/>
          <w:szCs w:val="28"/>
          <w:lang w:eastAsia="zh-CN"/>
        </w:rPr>
        <w:t>。</w:t>
      </w:r>
    </w:p>
    <w:p>
      <w:pPr>
        <w:pStyle w:val="5"/>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3.11备选投标方案</w:t>
      </w:r>
      <w:bookmarkEnd w:id="168"/>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3.11.1 除投标人须知前附表规定允许外，投标人不得递交备选投标方案，否则其投标将被否决。</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3.11.2 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3.11.3 投标人提供两个或两个以上投标报价，或者在投标文件中提供一个报价，但同时提供两个或两个以上供货方案的，视为提供备选方案。</w:t>
      </w:r>
    </w:p>
    <w:p>
      <w:pPr>
        <w:pStyle w:val="5"/>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3.12相同品牌的处理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
        <w:adjustRightInd w:val="0"/>
        <w:snapToGrid w:val="0"/>
        <w:spacing w:before="0" w:after="0" w:line="360" w:lineRule="auto"/>
        <w:rPr>
          <w:rFonts w:ascii="仿宋" w:hAnsi="仿宋" w:eastAsia="仿宋" w:cs="仿宋"/>
          <w:sz w:val="28"/>
          <w:szCs w:val="28"/>
        </w:rPr>
      </w:pPr>
      <w:bookmarkStart w:id="169" w:name="_Toc144974525"/>
      <w:bookmarkStart w:id="170" w:name="_Toc179632575"/>
      <w:bookmarkStart w:id="171" w:name="_Toc247085715"/>
      <w:bookmarkStart w:id="172" w:name="_Toc152042333"/>
      <w:bookmarkStart w:id="173" w:name="_Toc246996944"/>
      <w:bookmarkStart w:id="174" w:name="_Toc246996201"/>
      <w:bookmarkStart w:id="175" w:name="_Toc152045557"/>
      <w:bookmarkStart w:id="176" w:name="_Toc514837883"/>
      <w:r>
        <w:rPr>
          <w:rFonts w:hint="eastAsia" w:ascii="仿宋" w:hAnsi="仿宋" w:eastAsia="仿宋" w:cs="仿宋"/>
          <w:sz w:val="28"/>
          <w:szCs w:val="28"/>
        </w:rPr>
        <w:t>4.1投标文件的递交</w:t>
      </w:r>
      <w:bookmarkEnd w:id="169"/>
      <w:bookmarkEnd w:id="170"/>
      <w:bookmarkEnd w:id="171"/>
      <w:bookmarkEnd w:id="172"/>
      <w:bookmarkEnd w:id="173"/>
      <w:bookmarkEnd w:id="174"/>
      <w:bookmarkEnd w:id="175"/>
      <w:bookmarkEnd w:id="176"/>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4.1.1 投标人应在投标人须知前附表规定的投标截止时间前递交投标文件。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4.1.2投标人递交投标文件的地点：见投标人须知前附表。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4.1.3除投标人须知前附表另有规定外，投标人所递交的投标文件不予退还。</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4.1.4招标人收到投标文件后，向投标人出具签收凭证。</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4.1.5逾期送达的投标文件，招标人将予以拒收。</w:t>
      </w:r>
    </w:p>
    <w:p>
      <w:pPr>
        <w:pStyle w:val="5"/>
        <w:adjustRightInd w:val="0"/>
        <w:snapToGrid w:val="0"/>
        <w:spacing w:before="0" w:after="0" w:line="360" w:lineRule="auto"/>
        <w:rPr>
          <w:rFonts w:ascii="仿宋" w:hAnsi="仿宋" w:eastAsia="仿宋" w:cs="仿宋"/>
          <w:sz w:val="28"/>
          <w:szCs w:val="28"/>
        </w:rPr>
      </w:pPr>
      <w:bookmarkStart w:id="177" w:name="_Toc144974526"/>
      <w:bookmarkStart w:id="178" w:name="_Toc179632576"/>
      <w:bookmarkStart w:id="179" w:name="_Toc514837884"/>
      <w:bookmarkStart w:id="180" w:name="_Toc152042334"/>
      <w:bookmarkStart w:id="181" w:name="_Toc246996202"/>
      <w:bookmarkStart w:id="182" w:name="_Toc152045558"/>
      <w:bookmarkStart w:id="183" w:name="_Toc246996945"/>
      <w:bookmarkStart w:id="184" w:name="_Toc247085716"/>
      <w:r>
        <w:rPr>
          <w:rFonts w:hint="eastAsia" w:ascii="仿宋" w:hAnsi="仿宋" w:eastAsia="仿宋" w:cs="仿宋"/>
          <w:sz w:val="28"/>
          <w:szCs w:val="28"/>
        </w:rPr>
        <w:t>4.2投标文件的修改与撤回</w:t>
      </w:r>
      <w:bookmarkEnd w:id="177"/>
      <w:bookmarkEnd w:id="178"/>
      <w:bookmarkEnd w:id="179"/>
      <w:bookmarkEnd w:id="180"/>
      <w:bookmarkEnd w:id="181"/>
      <w:bookmarkEnd w:id="182"/>
      <w:bookmarkEnd w:id="183"/>
      <w:bookmarkEnd w:id="184"/>
    </w:p>
    <w:p>
      <w:pPr>
        <w:pStyle w:val="30"/>
        <w:adjustRightInd w:val="0"/>
        <w:snapToGrid w:val="0"/>
        <w:ind w:firstLine="480"/>
        <w:rPr>
          <w:rFonts w:ascii="仿宋" w:hAnsi="仿宋" w:eastAsia="仿宋" w:cs="仿宋"/>
          <w:sz w:val="28"/>
          <w:szCs w:val="28"/>
        </w:rPr>
      </w:pPr>
      <w:r>
        <w:rPr>
          <w:rFonts w:hint="eastAsia" w:ascii="仿宋" w:hAnsi="仿宋" w:eastAsia="仿宋" w:cs="仿宋"/>
          <w:sz w:val="28"/>
          <w:szCs w:val="28"/>
        </w:rPr>
        <w:t>4.2.1投标截止日前，招标人或招标代理机构可以对招标文件进行必要的修改。修改应以书面形式作出并通知所有购买招标文件的投标人。修改构成招标文件的组成部分。</w:t>
      </w:r>
    </w:p>
    <w:p>
      <w:pPr>
        <w:pStyle w:val="30"/>
        <w:adjustRightInd w:val="0"/>
        <w:snapToGrid w:val="0"/>
        <w:ind w:firstLine="480"/>
        <w:rPr>
          <w:rFonts w:ascii="仿宋" w:hAnsi="仿宋" w:eastAsia="仿宋" w:cs="仿宋"/>
          <w:sz w:val="28"/>
          <w:szCs w:val="28"/>
        </w:rPr>
      </w:pPr>
      <w:r>
        <w:rPr>
          <w:rFonts w:hint="eastAsia" w:ascii="仿宋" w:hAnsi="仿宋" w:eastAsia="仿宋" w:cs="仿宋"/>
          <w:sz w:val="28"/>
          <w:szCs w:val="28"/>
        </w:rPr>
        <w:t>4.2.2投标人在收到招标人修改通知后，应在投标人须知前附表规定的时间内以书面形式向招标人或招标机构进行确认。</w:t>
      </w:r>
    </w:p>
    <w:p>
      <w:pPr>
        <w:pStyle w:val="30"/>
        <w:adjustRightInd w:val="0"/>
        <w:snapToGrid w:val="0"/>
        <w:ind w:firstLine="480"/>
        <w:rPr>
          <w:rFonts w:ascii="仿宋" w:hAnsi="仿宋" w:eastAsia="仿宋" w:cs="仿宋"/>
          <w:sz w:val="28"/>
          <w:szCs w:val="28"/>
        </w:rPr>
      </w:pPr>
      <w:r>
        <w:rPr>
          <w:rFonts w:hint="eastAsia" w:ascii="仿宋" w:hAnsi="仿宋" w:eastAsia="仿宋" w:cs="仿宋"/>
          <w:sz w:val="28"/>
          <w:szCs w:val="28"/>
        </w:rPr>
        <w:t>4.2.3招标人认为招标文件修改内容有可能影响投标文件编制的，应至少在投标截止日15日前发出修改通知，不足15日的，招标人相应顺延提交投标文件的截止时间。</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4.2.4招标人发出的修改文件若前后存在不一致，以后发者为准。</w:t>
      </w:r>
    </w:p>
    <w:p>
      <w:pPr>
        <w:pStyle w:val="4"/>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 xml:space="preserve"> </w:t>
      </w:r>
      <w:bookmarkStart w:id="185" w:name="_Toc247085717"/>
      <w:bookmarkStart w:id="186" w:name="_Toc152045559"/>
      <w:bookmarkStart w:id="187" w:name="_Toc152042335"/>
      <w:bookmarkStart w:id="188" w:name="_Toc246996203"/>
      <w:bookmarkStart w:id="189" w:name="_Toc144974527"/>
      <w:bookmarkStart w:id="190" w:name="_Toc246996946"/>
      <w:bookmarkStart w:id="191" w:name="_Toc179632577"/>
      <w:bookmarkStart w:id="192" w:name="_Toc514837885"/>
      <w:r>
        <w:rPr>
          <w:rFonts w:hint="eastAsia" w:ascii="仿宋" w:hAnsi="仿宋" w:eastAsia="仿宋" w:cs="仿宋"/>
          <w:sz w:val="28"/>
          <w:szCs w:val="28"/>
        </w:rPr>
        <w:t>5. 开标</w:t>
      </w:r>
      <w:bookmarkEnd w:id="185"/>
      <w:bookmarkEnd w:id="186"/>
      <w:bookmarkEnd w:id="187"/>
      <w:bookmarkEnd w:id="188"/>
      <w:bookmarkEnd w:id="189"/>
      <w:bookmarkEnd w:id="190"/>
      <w:bookmarkEnd w:id="191"/>
      <w:bookmarkEnd w:id="192"/>
    </w:p>
    <w:p>
      <w:pPr>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 xml:space="preserve"> </w:t>
      </w:r>
      <w:bookmarkStart w:id="193" w:name="_Toc152045560"/>
      <w:bookmarkStart w:id="194" w:name="_Toc247085718"/>
      <w:bookmarkStart w:id="195" w:name="_Toc179632578"/>
      <w:bookmarkStart w:id="196" w:name="_Toc246996204"/>
      <w:bookmarkStart w:id="197" w:name="_Toc152042336"/>
      <w:bookmarkStart w:id="198" w:name="_Toc144974528"/>
      <w:bookmarkStart w:id="199" w:name="_Toc246996947"/>
      <w:bookmarkStart w:id="200" w:name="_Toc514837886"/>
      <w:r>
        <w:rPr>
          <w:rFonts w:hint="eastAsia" w:ascii="仿宋" w:hAnsi="仿宋" w:eastAsia="仿宋" w:cs="仿宋"/>
          <w:b/>
          <w:bCs/>
          <w:sz w:val="28"/>
          <w:szCs w:val="28"/>
        </w:rPr>
        <w:t xml:space="preserve">5.1 </w:t>
      </w:r>
      <w:bookmarkEnd w:id="193"/>
      <w:bookmarkEnd w:id="194"/>
      <w:bookmarkEnd w:id="195"/>
      <w:bookmarkEnd w:id="196"/>
      <w:bookmarkEnd w:id="197"/>
      <w:bookmarkEnd w:id="198"/>
      <w:bookmarkEnd w:id="199"/>
      <w:r>
        <w:rPr>
          <w:rFonts w:hint="eastAsia" w:ascii="仿宋" w:hAnsi="仿宋" w:eastAsia="仿宋" w:cs="仿宋"/>
          <w:b/>
          <w:bCs/>
          <w:sz w:val="28"/>
          <w:szCs w:val="28"/>
        </w:rPr>
        <w:t>开标时间和地点</w:t>
      </w:r>
      <w:bookmarkEnd w:id="200"/>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招标人在本章第 4.1.1 项规定的投标截止时间（开标时间）和投标人须知前附表规定的地点公开开标，并邀请所有投标人的法定代表人或其委托代理人准时参加。</w:t>
      </w:r>
    </w:p>
    <w:p>
      <w:pPr>
        <w:pStyle w:val="5"/>
        <w:adjustRightInd w:val="0"/>
        <w:snapToGrid w:val="0"/>
        <w:spacing w:before="0" w:after="0" w:line="360" w:lineRule="auto"/>
        <w:rPr>
          <w:rFonts w:ascii="仿宋" w:hAnsi="仿宋" w:eastAsia="仿宋" w:cs="仿宋"/>
          <w:sz w:val="28"/>
          <w:szCs w:val="28"/>
        </w:rPr>
      </w:pPr>
      <w:bookmarkStart w:id="201" w:name="_Toc246996205"/>
      <w:bookmarkStart w:id="202" w:name="_Toc152045561"/>
      <w:bookmarkStart w:id="203" w:name="_Toc246996948"/>
      <w:bookmarkStart w:id="204" w:name="_Toc514837888"/>
      <w:bookmarkStart w:id="205" w:name="_Toc179632579"/>
      <w:bookmarkStart w:id="206" w:name="_Toc152042337"/>
      <w:bookmarkStart w:id="207" w:name="_Toc247085719"/>
      <w:bookmarkStart w:id="208" w:name="_Toc144974529"/>
      <w:r>
        <w:rPr>
          <w:rFonts w:hint="eastAsia" w:ascii="仿宋" w:hAnsi="仿宋" w:eastAsia="仿宋" w:cs="仿宋"/>
          <w:sz w:val="28"/>
          <w:szCs w:val="28"/>
        </w:rPr>
        <w:t>5.2 开标程序</w:t>
      </w:r>
      <w:bookmarkEnd w:id="201"/>
      <w:bookmarkEnd w:id="202"/>
      <w:bookmarkEnd w:id="203"/>
      <w:bookmarkEnd w:id="204"/>
      <w:bookmarkEnd w:id="205"/>
      <w:bookmarkEnd w:id="206"/>
      <w:bookmarkEnd w:id="207"/>
      <w:bookmarkEnd w:id="208"/>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主持人按下列程序进行开标：</w:t>
      </w:r>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（1）宣布开标纪律；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（2）公布在投标截止时间前递交投标文件的投标人名称；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（3）宣布开标人、唱标人、记录人、监标人等有关人员姓名；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资格审查；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（5）开标和唱标的顺序，按照递交投标文件的先后顺序依次进行；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（6）检查投标文件的密封情况，确认无误后拆封，</w:t>
      </w:r>
      <w:r>
        <w:rPr>
          <w:rFonts w:hint="eastAsia" w:ascii="仿宋" w:hAnsi="仿宋" w:eastAsia="仿宋" w:cs="仿宋"/>
          <w:sz w:val="28"/>
          <w:szCs w:val="28"/>
          <w:lang w:eastAsia="zh-Hans"/>
        </w:rPr>
        <w:t>按</w:t>
      </w:r>
      <w:r>
        <w:rPr>
          <w:rFonts w:hint="eastAsia" w:ascii="仿宋" w:hAnsi="仿宋" w:eastAsia="仿宋" w:cs="仿宋"/>
          <w:sz w:val="28"/>
          <w:szCs w:val="28"/>
        </w:rPr>
        <w:t>开标顺序当众</w:t>
      </w:r>
      <w:r>
        <w:rPr>
          <w:rFonts w:hint="eastAsia" w:ascii="仿宋" w:hAnsi="仿宋" w:eastAsia="仿宋" w:cs="仿宋"/>
          <w:sz w:val="28"/>
          <w:szCs w:val="28"/>
          <w:lang w:eastAsia="zh-Hans"/>
        </w:rPr>
        <w:t>唱标</w:t>
      </w:r>
      <w:r>
        <w:rPr>
          <w:rFonts w:hint="eastAsia" w:ascii="仿宋" w:hAnsi="仿宋" w:eastAsia="仿宋" w:cs="仿宋"/>
          <w:sz w:val="28"/>
          <w:szCs w:val="28"/>
        </w:rPr>
        <w:t>，唱标以投标人提交的“开标一览表”的内容为准，并对唱标内容作以记录；</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（7）投标人代表、招标人代表、监标人、记录人等有关人员在</w:t>
      </w:r>
      <w:r>
        <w:rPr>
          <w:rFonts w:hint="eastAsia" w:ascii="仿宋" w:hAnsi="仿宋" w:eastAsia="仿宋" w:cs="仿宋"/>
          <w:sz w:val="28"/>
          <w:szCs w:val="28"/>
          <w:lang w:eastAsia="zh-Hans"/>
        </w:rPr>
        <w:t>开标</w:t>
      </w:r>
      <w:r>
        <w:rPr>
          <w:rFonts w:hint="eastAsia" w:ascii="仿宋" w:hAnsi="仿宋" w:eastAsia="仿宋" w:cs="仿宋"/>
          <w:sz w:val="28"/>
          <w:szCs w:val="28"/>
        </w:rPr>
        <w:t>记录上签字确认；</w:t>
      </w:r>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（8）开标结束。</w:t>
      </w:r>
    </w:p>
    <w:p>
      <w:pPr>
        <w:pStyle w:val="5"/>
        <w:adjustRightInd w:val="0"/>
        <w:snapToGrid w:val="0"/>
        <w:spacing w:before="0" w:after="0" w:line="360" w:lineRule="auto"/>
        <w:rPr>
          <w:rFonts w:ascii="仿宋" w:hAnsi="仿宋" w:eastAsia="仿宋" w:cs="仿宋"/>
          <w:sz w:val="28"/>
          <w:szCs w:val="28"/>
        </w:rPr>
      </w:pPr>
      <w:bookmarkStart w:id="209" w:name="_Toc514837889"/>
      <w:r>
        <w:rPr>
          <w:rFonts w:hint="eastAsia" w:ascii="仿宋" w:hAnsi="仿宋" w:eastAsia="仿宋" w:cs="仿宋"/>
          <w:sz w:val="28"/>
          <w:szCs w:val="28"/>
        </w:rPr>
        <w:t>5.3 开标异议</w:t>
      </w:r>
      <w:bookmarkEnd w:id="209"/>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投标人对开标有异议的，应当在开标现场提出，招标人当场作出答复，并制作记录。</w:t>
      </w:r>
    </w:p>
    <w:p>
      <w:pPr>
        <w:pStyle w:val="4"/>
        <w:adjustRightInd w:val="0"/>
        <w:snapToGrid w:val="0"/>
        <w:spacing w:before="0" w:after="0" w:line="360" w:lineRule="auto"/>
        <w:rPr>
          <w:rFonts w:ascii="仿宋" w:hAnsi="仿宋" w:eastAsia="仿宋" w:cs="仿宋"/>
          <w:sz w:val="28"/>
          <w:szCs w:val="28"/>
        </w:rPr>
      </w:pPr>
      <w:bookmarkStart w:id="210" w:name="_Toc247085720"/>
      <w:bookmarkStart w:id="211" w:name="_Toc246996206"/>
      <w:bookmarkStart w:id="212" w:name="_Toc514837890"/>
      <w:bookmarkStart w:id="213" w:name="_Toc152045562"/>
      <w:bookmarkStart w:id="214" w:name="_Toc152042338"/>
      <w:bookmarkStart w:id="215" w:name="_Toc246996949"/>
      <w:bookmarkStart w:id="216" w:name="_Toc144974530"/>
      <w:bookmarkStart w:id="217" w:name="_Toc179632580"/>
      <w:r>
        <w:rPr>
          <w:rFonts w:hint="eastAsia" w:ascii="仿宋" w:hAnsi="仿宋" w:eastAsia="仿宋" w:cs="仿宋"/>
          <w:sz w:val="28"/>
          <w:szCs w:val="28"/>
        </w:rPr>
        <w:t>6. 评标</w:t>
      </w:r>
      <w:bookmarkEnd w:id="210"/>
      <w:bookmarkEnd w:id="211"/>
      <w:bookmarkEnd w:id="212"/>
      <w:bookmarkEnd w:id="213"/>
      <w:bookmarkEnd w:id="214"/>
      <w:bookmarkEnd w:id="215"/>
      <w:bookmarkEnd w:id="216"/>
      <w:bookmarkEnd w:id="217"/>
    </w:p>
    <w:p>
      <w:pPr>
        <w:pStyle w:val="5"/>
        <w:adjustRightInd w:val="0"/>
        <w:snapToGrid w:val="0"/>
        <w:spacing w:before="0" w:after="0" w:line="360" w:lineRule="auto"/>
        <w:rPr>
          <w:rFonts w:ascii="仿宋" w:hAnsi="仿宋" w:eastAsia="仿宋" w:cs="仿宋"/>
          <w:sz w:val="28"/>
          <w:szCs w:val="28"/>
        </w:rPr>
      </w:pPr>
      <w:bookmarkStart w:id="218" w:name="_Toc152045563"/>
      <w:bookmarkStart w:id="219" w:name="_Toc144974531"/>
      <w:bookmarkStart w:id="220" w:name="_Toc179632581"/>
      <w:bookmarkStart w:id="221" w:name="_Toc246996950"/>
      <w:bookmarkStart w:id="222" w:name="_Toc247085721"/>
      <w:bookmarkStart w:id="223" w:name="_Toc152042339"/>
      <w:bookmarkStart w:id="224" w:name="_Toc514837891"/>
      <w:bookmarkStart w:id="225" w:name="_Toc246996207"/>
      <w:r>
        <w:rPr>
          <w:rFonts w:hint="eastAsia" w:ascii="仿宋" w:hAnsi="仿宋" w:eastAsia="仿宋" w:cs="仿宋"/>
          <w:sz w:val="28"/>
          <w:szCs w:val="28"/>
        </w:rPr>
        <w:t>6.1 评标委员会</w:t>
      </w:r>
      <w:bookmarkEnd w:id="218"/>
      <w:bookmarkEnd w:id="219"/>
      <w:bookmarkEnd w:id="220"/>
      <w:bookmarkEnd w:id="221"/>
      <w:bookmarkEnd w:id="222"/>
      <w:bookmarkEnd w:id="223"/>
      <w:bookmarkEnd w:id="224"/>
      <w:bookmarkEnd w:id="225"/>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6.1.2 评标委员会成员有下列情形之一的，应当回避：</w:t>
      </w:r>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（1）投标人或投标人主要负责人的近亲属；</w:t>
      </w:r>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（2）项目主管部门或者行政监督部门的人员；</w:t>
      </w:r>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（3）与投标人有经济利益关系，可能影响对投标公正评审的；</w:t>
      </w:r>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（4）曾因在招标、评标以及其他与招标投标有关活动中从事违法行为而受过行政处罚或刑事处罚的；</w:t>
      </w:r>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（5）与投标人有其他利害关系。</w:t>
      </w:r>
    </w:p>
    <w:p>
      <w:pPr>
        <w:adjustRightInd w:val="0"/>
        <w:snapToGrid w:val="0"/>
        <w:spacing w:line="360" w:lineRule="auto"/>
        <w:ind w:firstLine="478" w:firstLineChars="171"/>
        <w:rPr>
          <w:rFonts w:ascii="仿宋" w:hAnsi="仿宋" w:eastAsia="仿宋" w:cs="仿宋"/>
          <w:sz w:val="28"/>
          <w:szCs w:val="28"/>
        </w:rPr>
      </w:pPr>
      <w:r>
        <w:rPr>
          <w:rFonts w:hint="eastAsia" w:ascii="仿宋" w:hAnsi="仿宋" w:eastAsia="仿宋" w:cs="仿宋"/>
          <w:sz w:val="28"/>
          <w:szCs w:val="28"/>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adjustRightInd w:val="0"/>
        <w:snapToGrid w:val="0"/>
        <w:spacing w:before="0" w:after="0" w:line="360" w:lineRule="auto"/>
        <w:rPr>
          <w:rFonts w:ascii="仿宋" w:hAnsi="仿宋" w:eastAsia="仿宋" w:cs="仿宋"/>
          <w:sz w:val="28"/>
          <w:szCs w:val="28"/>
        </w:rPr>
      </w:pPr>
      <w:bookmarkStart w:id="226" w:name="_Toc152042340"/>
      <w:bookmarkStart w:id="227" w:name="_Toc247085722"/>
      <w:bookmarkStart w:id="228" w:name="_Toc144974532"/>
      <w:bookmarkStart w:id="229" w:name="_Toc246996208"/>
      <w:bookmarkStart w:id="230" w:name="_Toc246996951"/>
      <w:bookmarkStart w:id="231" w:name="_Toc152045564"/>
      <w:bookmarkStart w:id="232" w:name="_Toc179632582"/>
      <w:bookmarkStart w:id="233" w:name="_Toc514837892"/>
      <w:r>
        <w:rPr>
          <w:rFonts w:hint="eastAsia" w:ascii="仿宋" w:hAnsi="仿宋" w:eastAsia="仿宋" w:cs="仿宋"/>
          <w:sz w:val="28"/>
          <w:szCs w:val="28"/>
        </w:rPr>
        <w:t>6.2 评标原则</w:t>
      </w:r>
      <w:bookmarkEnd w:id="226"/>
      <w:bookmarkEnd w:id="227"/>
      <w:bookmarkEnd w:id="228"/>
      <w:bookmarkEnd w:id="229"/>
      <w:bookmarkEnd w:id="230"/>
      <w:bookmarkEnd w:id="231"/>
      <w:bookmarkEnd w:id="232"/>
      <w:bookmarkEnd w:id="233"/>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评标活动遵循公平、公正、科学和择优的原则。</w:t>
      </w:r>
    </w:p>
    <w:p>
      <w:pPr>
        <w:pStyle w:val="5"/>
        <w:adjustRightInd w:val="0"/>
        <w:snapToGrid w:val="0"/>
        <w:spacing w:before="0" w:after="0" w:line="360" w:lineRule="auto"/>
        <w:rPr>
          <w:rFonts w:ascii="仿宋" w:hAnsi="仿宋" w:eastAsia="仿宋" w:cs="仿宋"/>
          <w:sz w:val="28"/>
          <w:szCs w:val="28"/>
        </w:rPr>
      </w:pPr>
      <w:bookmarkStart w:id="234" w:name="_Toc514837893"/>
      <w:bookmarkStart w:id="235" w:name="_Toc246996209"/>
      <w:bookmarkStart w:id="236" w:name="_Toc247085723"/>
      <w:bookmarkStart w:id="237" w:name="_Toc144974533"/>
      <w:bookmarkStart w:id="238" w:name="_Toc246996952"/>
      <w:bookmarkStart w:id="239" w:name="_Toc179632583"/>
      <w:bookmarkStart w:id="240" w:name="_Toc152042341"/>
      <w:bookmarkStart w:id="241" w:name="_Toc152045565"/>
      <w:r>
        <w:rPr>
          <w:rFonts w:hint="eastAsia" w:ascii="仿宋" w:hAnsi="仿宋" w:eastAsia="仿宋" w:cs="仿宋"/>
          <w:sz w:val="28"/>
          <w:szCs w:val="28"/>
        </w:rPr>
        <w:t>6.3 评标</w:t>
      </w:r>
      <w:bookmarkEnd w:id="234"/>
      <w:bookmarkEnd w:id="235"/>
      <w:bookmarkEnd w:id="236"/>
      <w:bookmarkEnd w:id="237"/>
      <w:bookmarkEnd w:id="238"/>
      <w:bookmarkEnd w:id="239"/>
      <w:bookmarkEnd w:id="240"/>
      <w:bookmarkEnd w:id="241"/>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6.3.1 评标委员会按照第三章“评标办法”规定的方法、评审因素、标准和程序对投标文件进行评审。第三章“评标办法”没有规定的方法、评审因素和标准，不作为评标依据。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6.3.2 评标完成后，评标委员会应当向招标人提交书面评标报告和中标候选人名单。评标委员会推荐中标候选人的人数见投标人须知前附表。</w:t>
      </w:r>
    </w:p>
    <w:p>
      <w:pPr>
        <w:pStyle w:val="4"/>
        <w:adjustRightInd w:val="0"/>
        <w:snapToGrid w:val="0"/>
        <w:spacing w:before="0" w:after="0" w:line="360" w:lineRule="auto"/>
        <w:rPr>
          <w:rFonts w:ascii="仿宋" w:hAnsi="仿宋" w:eastAsia="仿宋" w:cs="仿宋"/>
          <w:sz w:val="28"/>
          <w:szCs w:val="28"/>
        </w:rPr>
      </w:pPr>
      <w:bookmarkStart w:id="242" w:name="_Toc246996210"/>
      <w:bookmarkStart w:id="243" w:name="_Toc144974534"/>
      <w:bookmarkStart w:id="244" w:name="_Toc514837894"/>
      <w:bookmarkStart w:id="245" w:name="_Toc247085724"/>
      <w:bookmarkStart w:id="246" w:name="_Toc246996953"/>
      <w:bookmarkStart w:id="247" w:name="_Toc152042342"/>
      <w:bookmarkStart w:id="248" w:name="_Toc179632584"/>
      <w:bookmarkStart w:id="249" w:name="_Toc152045566"/>
      <w:r>
        <w:rPr>
          <w:rFonts w:hint="eastAsia" w:ascii="仿宋" w:hAnsi="仿宋" w:eastAsia="仿宋" w:cs="仿宋"/>
          <w:sz w:val="28"/>
          <w:szCs w:val="28"/>
        </w:rPr>
        <w:t>7. 合同授予</w:t>
      </w:r>
      <w:bookmarkEnd w:id="242"/>
      <w:bookmarkEnd w:id="243"/>
      <w:bookmarkEnd w:id="244"/>
      <w:bookmarkEnd w:id="245"/>
      <w:bookmarkEnd w:id="246"/>
      <w:bookmarkEnd w:id="247"/>
      <w:bookmarkEnd w:id="248"/>
      <w:bookmarkEnd w:id="249"/>
    </w:p>
    <w:p>
      <w:pPr>
        <w:pStyle w:val="5"/>
        <w:adjustRightInd w:val="0"/>
        <w:snapToGrid w:val="0"/>
        <w:spacing w:before="0" w:after="0" w:line="360" w:lineRule="auto"/>
        <w:rPr>
          <w:rFonts w:ascii="仿宋" w:hAnsi="仿宋" w:eastAsia="仿宋" w:cs="仿宋"/>
          <w:sz w:val="28"/>
          <w:szCs w:val="28"/>
        </w:rPr>
      </w:pPr>
      <w:bookmarkStart w:id="250" w:name="_Toc246996211"/>
      <w:bookmarkStart w:id="251" w:name="_Toc152045567"/>
      <w:bookmarkStart w:id="252" w:name="_Toc514837895"/>
      <w:bookmarkStart w:id="253" w:name="_Toc246996954"/>
      <w:bookmarkStart w:id="254" w:name="_Toc179632585"/>
      <w:bookmarkStart w:id="255" w:name="_Toc152042343"/>
      <w:bookmarkStart w:id="256" w:name="_Toc247085725"/>
      <w:bookmarkStart w:id="257" w:name="_Toc144974535"/>
      <w:r>
        <w:rPr>
          <w:rFonts w:hint="eastAsia" w:ascii="仿宋" w:hAnsi="仿宋" w:eastAsia="仿宋" w:cs="仿宋"/>
          <w:sz w:val="28"/>
          <w:szCs w:val="28"/>
        </w:rPr>
        <w:t>7.1 中标候选人公示</w:t>
      </w:r>
      <w:bookmarkEnd w:id="250"/>
      <w:bookmarkEnd w:id="251"/>
      <w:bookmarkEnd w:id="252"/>
      <w:bookmarkEnd w:id="253"/>
      <w:bookmarkEnd w:id="254"/>
      <w:bookmarkEnd w:id="255"/>
      <w:bookmarkEnd w:id="256"/>
      <w:bookmarkEnd w:id="257"/>
    </w:p>
    <w:p>
      <w:pPr>
        <w:adjustRightInd w:val="0"/>
        <w:snapToGrid w:val="0"/>
        <w:spacing w:line="360" w:lineRule="auto"/>
        <w:ind w:firstLine="560" w:firstLineChars="200"/>
        <w:rPr>
          <w:rFonts w:ascii="仿宋" w:hAnsi="仿宋" w:eastAsia="仿宋" w:cs="仿宋"/>
          <w:sz w:val="28"/>
          <w:szCs w:val="28"/>
        </w:rPr>
      </w:pPr>
      <w:bookmarkStart w:id="258" w:name="_Toc514837896"/>
      <w:r>
        <w:rPr>
          <w:rFonts w:hint="eastAsia" w:ascii="仿宋" w:hAnsi="仿宋" w:eastAsia="仿宋" w:cs="仿宋"/>
          <w:sz w:val="28"/>
          <w:szCs w:val="28"/>
        </w:rPr>
        <w:t>采购人应当自收到评标报告之日起５个工作日内，在评标报告确定的中标候选人名单中按顺序确定中标人。自中标人确定之日起2个工作日内，按照投标人须知前附表规定的公示媒介公示中标结果，公示期为1个工作日。</w:t>
      </w:r>
    </w:p>
    <w:p>
      <w:pPr>
        <w:pStyle w:val="5"/>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7.2 评标结果异议</w:t>
      </w:r>
      <w:bookmarkEnd w:id="258"/>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投标人或者其他利害关系人对评标结果有异议的，应当在中标结果公示期间提出。招标人将在收到异议之日起 3 日内作出答复；作出答复前，将暂停招标投标活动。</w:t>
      </w:r>
    </w:p>
    <w:p>
      <w:pPr>
        <w:pStyle w:val="5"/>
        <w:adjustRightInd w:val="0"/>
        <w:snapToGrid w:val="0"/>
        <w:spacing w:before="0" w:after="0" w:line="360" w:lineRule="auto"/>
        <w:rPr>
          <w:rFonts w:ascii="仿宋" w:hAnsi="仿宋" w:eastAsia="仿宋" w:cs="仿宋"/>
          <w:sz w:val="28"/>
          <w:szCs w:val="28"/>
        </w:rPr>
      </w:pPr>
      <w:bookmarkStart w:id="259" w:name="_Toc514837897"/>
      <w:r>
        <w:rPr>
          <w:rFonts w:hint="eastAsia" w:ascii="仿宋" w:hAnsi="仿宋" w:eastAsia="仿宋" w:cs="仿宋"/>
          <w:sz w:val="28"/>
          <w:szCs w:val="28"/>
        </w:rPr>
        <w:t>7.3 中标候选人履约能力审查</w:t>
      </w:r>
      <w:bookmarkEnd w:id="259"/>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中标候选人的经营、财务状况发生较大变化或存在违法行为，招标人认为可能影响其履约能力的，将在发出中标通知书前提请原评标委员会按照招标文件规定的标准和方法进行审查确认。</w:t>
      </w:r>
    </w:p>
    <w:p>
      <w:pPr>
        <w:pStyle w:val="5"/>
        <w:adjustRightInd w:val="0"/>
        <w:snapToGrid w:val="0"/>
        <w:spacing w:before="0" w:after="0" w:line="360" w:lineRule="auto"/>
        <w:rPr>
          <w:rFonts w:ascii="仿宋" w:hAnsi="仿宋" w:eastAsia="仿宋" w:cs="仿宋"/>
          <w:sz w:val="28"/>
          <w:szCs w:val="28"/>
        </w:rPr>
      </w:pPr>
      <w:bookmarkStart w:id="260" w:name="_Toc247085727"/>
      <w:bookmarkStart w:id="261" w:name="_Toc246996956"/>
      <w:bookmarkStart w:id="262" w:name="_Toc152045569"/>
      <w:bookmarkStart w:id="263" w:name="_Toc179632587"/>
      <w:bookmarkStart w:id="264" w:name="_Toc246996213"/>
      <w:bookmarkStart w:id="265" w:name="_Toc144974537"/>
      <w:bookmarkStart w:id="266" w:name="_Toc152042345"/>
      <w:bookmarkStart w:id="267" w:name="_Toc514837898"/>
      <w:r>
        <w:rPr>
          <w:rFonts w:hint="eastAsia" w:ascii="仿宋" w:hAnsi="仿宋" w:eastAsia="仿宋" w:cs="仿宋"/>
          <w:sz w:val="28"/>
          <w:szCs w:val="28"/>
        </w:rPr>
        <w:t>7.4</w:t>
      </w:r>
      <w:bookmarkEnd w:id="260"/>
      <w:bookmarkEnd w:id="261"/>
      <w:bookmarkEnd w:id="262"/>
      <w:bookmarkEnd w:id="263"/>
      <w:bookmarkEnd w:id="264"/>
      <w:bookmarkEnd w:id="265"/>
      <w:bookmarkEnd w:id="266"/>
      <w:r>
        <w:rPr>
          <w:rFonts w:hint="eastAsia" w:ascii="仿宋" w:hAnsi="仿宋" w:eastAsia="仿宋" w:cs="仿宋"/>
          <w:sz w:val="28"/>
          <w:szCs w:val="28"/>
        </w:rPr>
        <w:t>定标</w:t>
      </w:r>
      <w:bookmarkEnd w:id="267"/>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按照投标人须知前附表的规定，招标人或招标人授权的评标委员会依法确定中标人。</w:t>
      </w:r>
    </w:p>
    <w:p>
      <w:pPr>
        <w:pStyle w:val="5"/>
        <w:adjustRightInd w:val="0"/>
        <w:snapToGrid w:val="0"/>
        <w:spacing w:before="0" w:after="0" w:line="360" w:lineRule="auto"/>
        <w:rPr>
          <w:rFonts w:ascii="仿宋" w:hAnsi="仿宋" w:eastAsia="仿宋" w:cs="仿宋"/>
          <w:sz w:val="28"/>
          <w:szCs w:val="28"/>
        </w:rPr>
      </w:pPr>
      <w:bookmarkStart w:id="268" w:name="_Toc152042346"/>
      <w:bookmarkStart w:id="269" w:name="_Toc144974538"/>
      <w:bookmarkStart w:id="270" w:name="_Toc246996214"/>
      <w:bookmarkStart w:id="271" w:name="_Toc246996957"/>
      <w:bookmarkStart w:id="272" w:name="_Toc179632588"/>
      <w:bookmarkStart w:id="273" w:name="_Toc247085728"/>
      <w:bookmarkStart w:id="274" w:name="_Toc152045570"/>
      <w:bookmarkStart w:id="275" w:name="_Toc514837899"/>
      <w:r>
        <w:rPr>
          <w:rFonts w:hint="eastAsia" w:ascii="仿宋" w:hAnsi="仿宋" w:eastAsia="仿宋" w:cs="仿宋"/>
          <w:sz w:val="28"/>
          <w:szCs w:val="28"/>
        </w:rPr>
        <w:t>7.5</w:t>
      </w:r>
      <w:bookmarkEnd w:id="268"/>
      <w:bookmarkEnd w:id="269"/>
      <w:bookmarkEnd w:id="270"/>
      <w:bookmarkEnd w:id="271"/>
      <w:bookmarkEnd w:id="272"/>
      <w:bookmarkEnd w:id="273"/>
      <w:bookmarkEnd w:id="274"/>
      <w:r>
        <w:rPr>
          <w:rFonts w:hint="eastAsia" w:ascii="仿宋" w:hAnsi="仿宋" w:eastAsia="仿宋" w:cs="仿宋"/>
          <w:sz w:val="28"/>
          <w:szCs w:val="28"/>
        </w:rPr>
        <w:t>中标通知</w:t>
      </w:r>
      <w:bookmarkEnd w:id="275"/>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在本章第 3.4</w:t>
      </w:r>
      <w:r>
        <w:rPr>
          <w:rFonts w:hint="eastAsia" w:ascii="仿宋" w:hAnsi="仿宋" w:eastAsia="仿宋" w:cs="仿宋"/>
          <w:sz w:val="28"/>
          <w:szCs w:val="28"/>
          <w:lang w:eastAsia="zh-Hans"/>
        </w:rPr>
        <w:t>.1</w:t>
      </w:r>
      <w:r>
        <w:rPr>
          <w:rFonts w:hint="eastAsia" w:ascii="仿宋" w:hAnsi="仿宋" w:eastAsia="仿宋" w:cs="仿宋"/>
          <w:sz w:val="28"/>
          <w:szCs w:val="28"/>
        </w:rPr>
        <w:t>款规定的投标有效期内，招标人以书面形式向中标人发出中标通知书，同时将中标结果通知未中标的投标人。</w:t>
      </w:r>
    </w:p>
    <w:p>
      <w:pPr>
        <w:pStyle w:val="5"/>
        <w:adjustRightInd w:val="0"/>
        <w:snapToGrid w:val="0"/>
        <w:spacing w:before="0" w:after="0" w:line="360" w:lineRule="auto"/>
        <w:rPr>
          <w:rFonts w:ascii="仿宋" w:hAnsi="仿宋" w:eastAsia="仿宋" w:cs="仿宋"/>
          <w:sz w:val="28"/>
          <w:szCs w:val="28"/>
        </w:rPr>
      </w:pPr>
      <w:bookmarkStart w:id="276" w:name="_Toc514837900"/>
      <w:r>
        <w:rPr>
          <w:rFonts w:hint="eastAsia" w:ascii="仿宋" w:hAnsi="仿宋" w:eastAsia="仿宋" w:cs="仿宋"/>
          <w:sz w:val="28"/>
          <w:szCs w:val="28"/>
        </w:rPr>
        <w:t>7.6 履约保证金</w:t>
      </w:r>
      <w:bookmarkEnd w:id="276"/>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7.6.2 中标人不能按本章第 7.6.1 项要求提交履约保证金的，视为放弃中标，其投标保证金不予退还，给招标人造成的损失超过投标保证金数额的，中标人还应当对超过部分予以赔偿。</w:t>
      </w:r>
    </w:p>
    <w:p>
      <w:pPr>
        <w:pStyle w:val="5"/>
        <w:adjustRightInd w:val="0"/>
        <w:snapToGrid w:val="0"/>
        <w:spacing w:before="0" w:after="0" w:line="360" w:lineRule="auto"/>
        <w:rPr>
          <w:rFonts w:ascii="仿宋" w:hAnsi="仿宋" w:eastAsia="仿宋" w:cs="仿宋"/>
          <w:sz w:val="28"/>
          <w:szCs w:val="28"/>
        </w:rPr>
      </w:pPr>
      <w:bookmarkStart w:id="277" w:name="_Toc514837901"/>
      <w:r>
        <w:rPr>
          <w:rFonts w:hint="eastAsia" w:ascii="仿宋" w:hAnsi="仿宋" w:eastAsia="仿宋" w:cs="仿宋"/>
          <w:sz w:val="28"/>
          <w:szCs w:val="28"/>
        </w:rPr>
        <w:t>7.7 签订合同</w:t>
      </w:r>
      <w:bookmarkEnd w:id="277"/>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7.7.1 招标人和中标人应当在中标通知书发出之日起 30 日内，根据招标文件和中标人的投 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7.7.2 发出中标通知书后，招标人无正当理由拒签合同，或者在签订合同时向中标人提出附加条件的，招标人向中标人退还投标保证金；给中标人造成损失的，还应当赔偿损失。</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7.7.3 联合体中标的，联合体各方应当共同与招标人签订合同，就中标项目向招标人承担连带责任。</w:t>
      </w:r>
    </w:p>
    <w:p>
      <w:pPr>
        <w:pStyle w:val="4"/>
        <w:keepNext w:val="0"/>
        <w:adjustRightInd w:val="0"/>
        <w:snapToGrid w:val="0"/>
        <w:spacing w:before="0" w:after="0" w:line="360" w:lineRule="auto"/>
        <w:rPr>
          <w:rFonts w:ascii="仿宋" w:hAnsi="仿宋" w:eastAsia="仿宋" w:cs="仿宋"/>
          <w:sz w:val="28"/>
          <w:szCs w:val="28"/>
        </w:rPr>
      </w:pPr>
      <w:bookmarkStart w:id="278" w:name="_Toc514837902"/>
      <w:r>
        <w:rPr>
          <w:rFonts w:hint="eastAsia" w:ascii="仿宋" w:hAnsi="仿宋" w:eastAsia="仿宋" w:cs="仿宋"/>
          <w:sz w:val="28"/>
          <w:szCs w:val="28"/>
        </w:rPr>
        <w:t>8. 纪律和监督</w:t>
      </w:r>
      <w:bookmarkEnd w:id="278"/>
    </w:p>
    <w:p>
      <w:pPr>
        <w:pStyle w:val="5"/>
        <w:keepNext w:val="0"/>
        <w:adjustRightInd w:val="0"/>
        <w:snapToGrid w:val="0"/>
        <w:spacing w:before="0" w:after="0" w:line="360" w:lineRule="auto"/>
        <w:rPr>
          <w:rFonts w:ascii="仿宋" w:hAnsi="仿宋" w:eastAsia="仿宋" w:cs="仿宋"/>
          <w:sz w:val="28"/>
          <w:szCs w:val="28"/>
        </w:rPr>
      </w:pPr>
      <w:bookmarkStart w:id="279" w:name="_Toc514837903"/>
      <w:r>
        <w:rPr>
          <w:rFonts w:hint="eastAsia" w:ascii="仿宋" w:hAnsi="仿宋" w:eastAsia="仿宋" w:cs="仿宋"/>
          <w:sz w:val="28"/>
          <w:szCs w:val="28"/>
        </w:rPr>
        <w:t>8.1 对招标人的纪律要求</w:t>
      </w:r>
      <w:bookmarkEnd w:id="279"/>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招标人不得泄露招标投标活动中应当保密的情况和资料，不得与投标人串通损害国家利益、社会公共利益或者他人合法权益。</w:t>
      </w:r>
    </w:p>
    <w:p>
      <w:pPr>
        <w:pStyle w:val="5"/>
        <w:adjustRightInd w:val="0"/>
        <w:snapToGrid w:val="0"/>
        <w:spacing w:before="0" w:after="0" w:line="360" w:lineRule="auto"/>
        <w:rPr>
          <w:rFonts w:ascii="仿宋" w:hAnsi="仿宋" w:eastAsia="仿宋" w:cs="仿宋"/>
          <w:sz w:val="28"/>
          <w:szCs w:val="28"/>
        </w:rPr>
      </w:pPr>
      <w:bookmarkStart w:id="280" w:name="_Toc514837904"/>
      <w:r>
        <w:rPr>
          <w:rFonts w:hint="eastAsia" w:ascii="仿宋" w:hAnsi="仿宋" w:eastAsia="仿宋" w:cs="仿宋"/>
          <w:sz w:val="28"/>
          <w:szCs w:val="28"/>
        </w:rPr>
        <w:t>8.2 对投标人的纪律要求</w:t>
      </w:r>
      <w:bookmarkEnd w:id="280"/>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5"/>
        <w:adjustRightInd w:val="0"/>
        <w:snapToGrid w:val="0"/>
        <w:spacing w:before="0" w:after="0" w:line="360" w:lineRule="auto"/>
        <w:rPr>
          <w:rFonts w:ascii="仿宋" w:hAnsi="仿宋" w:eastAsia="仿宋" w:cs="仿宋"/>
          <w:sz w:val="28"/>
          <w:szCs w:val="28"/>
        </w:rPr>
      </w:pPr>
      <w:bookmarkStart w:id="281" w:name="_Toc514837905"/>
      <w:r>
        <w:rPr>
          <w:rFonts w:hint="eastAsia" w:ascii="仿宋" w:hAnsi="仿宋" w:eastAsia="仿宋" w:cs="仿宋"/>
          <w:sz w:val="28"/>
          <w:szCs w:val="28"/>
        </w:rPr>
        <w:t>8.3 对评标委员会成员的纪律要求</w:t>
      </w:r>
      <w:bookmarkEnd w:id="281"/>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adjustRightInd w:val="0"/>
        <w:snapToGrid w:val="0"/>
        <w:spacing w:before="0" w:after="0" w:line="360" w:lineRule="auto"/>
        <w:rPr>
          <w:rFonts w:ascii="仿宋" w:hAnsi="仿宋" w:eastAsia="仿宋" w:cs="仿宋"/>
          <w:sz w:val="28"/>
          <w:szCs w:val="28"/>
        </w:rPr>
      </w:pPr>
      <w:bookmarkStart w:id="282" w:name="_Toc514837906"/>
      <w:r>
        <w:rPr>
          <w:rFonts w:hint="eastAsia" w:ascii="仿宋" w:hAnsi="仿宋" w:eastAsia="仿宋" w:cs="仿宋"/>
          <w:sz w:val="28"/>
          <w:szCs w:val="28"/>
        </w:rPr>
        <w:t>8.4 对与评标活动有关的工作人员的纪律要求</w:t>
      </w:r>
      <w:bookmarkEnd w:id="282"/>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adjustRightInd w:val="0"/>
        <w:snapToGrid w:val="0"/>
        <w:spacing w:before="0" w:after="0" w:line="360" w:lineRule="auto"/>
        <w:rPr>
          <w:rFonts w:ascii="仿宋" w:hAnsi="仿宋" w:eastAsia="仿宋" w:cs="仿宋"/>
          <w:sz w:val="28"/>
          <w:szCs w:val="28"/>
        </w:rPr>
      </w:pPr>
      <w:bookmarkStart w:id="283" w:name="_Toc514837907"/>
      <w:r>
        <w:rPr>
          <w:rFonts w:hint="eastAsia" w:ascii="仿宋" w:hAnsi="仿宋" w:eastAsia="仿宋" w:cs="仿宋"/>
          <w:sz w:val="28"/>
          <w:szCs w:val="28"/>
        </w:rPr>
        <w:t>8.5 投诉</w:t>
      </w:r>
      <w:bookmarkEnd w:id="283"/>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8.5.1 投标人或者其他利害关系人认为招标投标活动不符合法律、行政法规规定的，可以自知道或者应当知道之日起 10 日内向有关监督部门投诉。投诉应当有明确的请求和必要的证明材料。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8.5.2 投标人或者其他利害关系人对招标文件、开标和评标结果提出投诉的，应当按照投标人须知第2.4款、第5.3款和第7.2款的规定先向招标人提出异议。异议答复期间不计算在第8.5.1项规定的期限内。</w:t>
      </w:r>
    </w:p>
    <w:p>
      <w:pPr>
        <w:pStyle w:val="4"/>
        <w:adjustRightInd w:val="0"/>
        <w:snapToGrid w:val="0"/>
        <w:spacing w:before="0" w:after="0" w:line="360" w:lineRule="auto"/>
        <w:rPr>
          <w:rFonts w:ascii="仿宋" w:hAnsi="仿宋" w:eastAsia="仿宋" w:cs="仿宋"/>
          <w:sz w:val="28"/>
          <w:szCs w:val="28"/>
        </w:rPr>
      </w:pPr>
      <w:bookmarkStart w:id="284" w:name="_Toc514837909"/>
      <w:r>
        <w:rPr>
          <w:rFonts w:hint="eastAsia" w:ascii="仿宋" w:hAnsi="仿宋" w:eastAsia="仿宋" w:cs="仿宋"/>
          <w:sz w:val="28"/>
          <w:szCs w:val="28"/>
        </w:rPr>
        <w:t>9. 需要补充的其他内容</w:t>
      </w:r>
      <w:bookmarkEnd w:id="284"/>
    </w:p>
    <w:p>
      <w:pPr>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9</w:t>
      </w:r>
      <w:r>
        <w:rPr>
          <w:rFonts w:hint="eastAsia" w:ascii="仿宋" w:hAnsi="仿宋" w:eastAsia="仿宋" w:cs="仿宋"/>
          <w:sz w:val="28"/>
          <w:szCs w:val="28"/>
          <w:lang w:eastAsia="zh-Hans"/>
        </w:rPr>
        <w:t>.1中标人须向招标代理机构按如下标准和规定交纳招标代理服务费：招标代理服务费以中标金额为基数，按国家发改委计价格[2002]1980号文载明的“</w:t>
      </w:r>
      <w:r>
        <w:rPr>
          <w:rFonts w:hint="eastAsia" w:ascii="仿宋" w:hAnsi="仿宋" w:eastAsia="仿宋" w:cs="仿宋"/>
          <w:sz w:val="28"/>
          <w:szCs w:val="28"/>
          <w:lang w:val="en-US" w:eastAsia="zh-CN"/>
        </w:rPr>
        <w:t>服务</w:t>
      </w:r>
      <w:r>
        <w:rPr>
          <w:rFonts w:hint="eastAsia" w:ascii="仿宋" w:hAnsi="仿宋" w:eastAsia="仿宋" w:cs="仿宋"/>
          <w:sz w:val="28"/>
          <w:szCs w:val="28"/>
          <w:lang w:eastAsia="zh-Hans"/>
        </w:rPr>
        <w:t>招标”计算。根据发改办价格[2003]857号文规定向中标人收取。</w:t>
      </w:r>
    </w:p>
    <w:p>
      <w:pPr>
        <w:adjustRightInd w:val="0"/>
        <w:snapToGrid w:val="0"/>
        <w:spacing w:line="360" w:lineRule="auto"/>
        <w:ind w:firstLine="560" w:firstLineChars="200"/>
        <w:rPr>
          <w:rFonts w:ascii="仿宋" w:hAnsi="仿宋" w:eastAsia="仿宋" w:cs="仿宋"/>
          <w:sz w:val="28"/>
          <w:szCs w:val="28"/>
          <w:lang w:eastAsia="zh-Hans"/>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28"/>
          <w:szCs w:val="28"/>
          <w:lang w:eastAsia="zh-Hans"/>
        </w:rPr>
        <w:t>9.2招标人拥有本套招标文件最终解释权</w:t>
      </w:r>
      <w:bookmarkEnd w:id="20"/>
      <w:bookmarkEnd w:id="21"/>
      <w:bookmarkEnd w:id="22"/>
    </w:p>
    <w:p>
      <w:pPr>
        <w:pStyle w:val="5"/>
        <w:adjustRightInd w:val="0"/>
        <w:snapToGrid w:val="0"/>
        <w:spacing w:before="0" w:after="0" w:line="360" w:lineRule="auto"/>
        <w:rPr>
          <w:rFonts w:ascii="仿宋" w:hAnsi="仿宋" w:eastAsia="仿宋" w:cs="仿宋"/>
          <w:sz w:val="28"/>
          <w:szCs w:val="28"/>
        </w:rPr>
      </w:pPr>
      <w:bookmarkStart w:id="285" w:name="_Toc152045582"/>
      <w:bookmarkStart w:id="286" w:name="_Toc246996225"/>
      <w:bookmarkStart w:id="287" w:name="_Toc514837911"/>
      <w:bookmarkStart w:id="288" w:name="_Toc152042359"/>
      <w:bookmarkStart w:id="289" w:name="_Toc247085740"/>
      <w:bookmarkStart w:id="290" w:name="_Toc144974549"/>
      <w:bookmarkStart w:id="291" w:name="_Toc179632600"/>
      <w:bookmarkStart w:id="292" w:name="_Toc246996968"/>
      <w:bookmarkStart w:id="293" w:name="_Toc33087739"/>
      <w:bookmarkStart w:id="294" w:name="_Toc18616_WPSOffice_Level1"/>
      <w:bookmarkStart w:id="295" w:name="_Toc383485457_WPSOffice_Level1"/>
      <w:r>
        <w:rPr>
          <w:rFonts w:hint="eastAsia" w:ascii="仿宋" w:hAnsi="仿宋" w:eastAsia="仿宋" w:cs="仿宋"/>
          <w:sz w:val="28"/>
          <w:szCs w:val="28"/>
        </w:rPr>
        <w:t>附件一：问题澄清通知</w:t>
      </w:r>
      <w:bookmarkEnd w:id="285"/>
      <w:bookmarkEnd w:id="286"/>
      <w:bookmarkEnd w:id="287"/>
      <w:bookmarkEnd w:id="288"/>
      <w:bookmarkEnd w:id="289"/>
      <w:bookmarkEnd w:id="290"/>
      <w:bookmarkEnd w:id="291"/>
      <w:bookmarkEnd w:id="292"/>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问题澄清通知</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（编号：</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w:t>
      </w:r>
    </w:p>
    <w:p>
      <w:pPr>
        <w:adjustRightInd w:val="0"/>
        <w:snapToGrid w:val="0"/>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评标委员会对你方的投标文件进行了仔细的审查，现需你方对下列问题以书面形式予以澄</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清、说明或补正：</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1.</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2.</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请将上述问题的澄清、说明或补正于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rPr>
        <w:t>时前递交至</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（详细地址）或传真至</w:t>
      </w:r>
      <w:r>
        <w:rPr>
          <w:rFonts w:hint="eastAsia" w:ascii="仿宋" w:hAnsi="仿宋" w:eastAsia="仿宋" w:cs="仿宋"/>
          <w:sz w:val="28"/>
          <w:szCs w:val="28"/>
          <w:u w:val="single"/>
        </w:rPr>
        <w:t xml:space="preserve">                   </w:t>
      </w:r>
      <w:r>
        <w:rPr>
          <w:rFonts w:hint="eastAsia" w:ascii="仿宋" w:hAnsi="仿宋" w:eastAsia="仿宋" w:cs="仿宋"/>
          <w:sz w:val="28"/>
          <w:szCs w:val="28"/>
        </w:rPr>
        <w:t>（传真号码）或通过下载招标文件的电子招标交易平台上传。采用传真方式的，应在</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时前将原件递交至</w:t>
      </w:r>
      <w:r>
        <w:rPr>
          <w:rFonts w:hint="eastAsia" w:ascii="仿宋" w:hAnsi="仿宋" w:eastAsia="仿宋" w:cs="仿宋"/>
          <w:sz w:val="28"/>
          <w:szCs w:val="28"/>
          <w:u w:val="single"/>
        </w:rPr>
        <w:t xml:space="preserve">                             </w:t>
      </w:r>
      <w:r>
        <w:rPr>
          <w:rFonts w:hint="eastAsia" w:ascii="仿宋" w:hAnsi="仿宋" w:eastAsia="仿宋" w:cs="仿宋"/>
          <w:sz w:val="28"/>
          <w:szCs w:val="28"/>
        </w:rPr>
        <w:t>（详细地址）</w:t>
      </w:r>
    </w:p>
    <w:p>
      <w:pPr>
        <w:adjustRightInd w:val="0"/>
        <w:snapToGrid w:val="0"/>
        <w:spacing w:line="360" w:lineRule="auto"/>
        <w:rPr>
          <w:rFonts w:ascii="仿宋" w:hAnsi="仿宋" w:eastAsia="仿宋" w:cs="仿宋"/>
          <w:sz w:val="28"/>
          <w:szCs w:val="28"/>
        </w:rPr>
      </w:pP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                 评标委员会授权的招标人或招标代理机构：</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br w:type="page"/>
      </w:r>
    </w:p>
    <w:p>
      <w:pPr>
        <w:pStyle w:val="5"/>
        <w:adjustRightInd w:val="0"/>
        <w:snapToGrid w:val="0"/>
        <w:spacing w:before="0" w:after="0" w:line="360" w:lineRule="auto"/>
        <w:rPr>
          <w:rFonts w:ascii="仿宋" w:hAnsi="仿宋" w:eastAsia="仿宋" w:cs="仿宋"/>
          <w:sz w:val="28"/>
          <w:szCs w:val="28"/>
        </w:rPr>
      </w:pPr>
      <w:bookmarkStart w:id="296" w:name="_Toc514837912"/>
      <w:bookmarkStart w:id="297" w:name="_Toc246996226"/>
      <w:bookmarkStart w:id="298" w:name="_Toc246996969"/>
      <w:bookmarkStart w:id="299" w:name="_Toc144974550"/>
      <w:bookmarkStart w:id="300" w:name="_Toc152042360"/>
      <w:bookmarkStart w:id="301" w:name="_Toc152045583"/>
      <w:bookmarkStart w:id="302" w:name="_Toc179632601"/>
      <w:bookmarkStart w:id="303" w:name="_Toc247085741"/>
      <w:r>
        <w:rPr>
          <w:rFonts w:hint="eastAsia" w:ascii="仿宋" w:hAnsi="仿宋" w:eastAsia="仿宋" w:cs="仿宋"/>
          <w:sz w:val="28"/>
          <w:szCs w:val="28"/>
        </w:rPr>
        <w:t>附件二：问题的澄清</w:t>
      </w:r>
      <w:bookmarkEnd w:id="296"/>
      <w:bookmarkEnd w:id="297"/>
      <w:bookmarkEnd w:id="298"/>
      <w:bookmarkEnd w:id="299"/>
      <w:bookmarkEnd w:id="300"/>
      <w:bookmarkEnd w:id="301"/>
      <w:bookmarkEnd w:id="302"/>
      <w:bookmarkEnd w:id="303"/>
    </w:p>
    <w:p>
      <w:pPr>
        <w:adjustRightInd w:val="0"/>
        <w:snapToGrid w:val="0"/>
        <w:spacing w:line="360" w:lineRule="auto"/>
        <w:jc w:val="center"/>
        <w:rPr>
          <w:rFonts w:ascii="仿宋" w:hAnsi="仿宋" w:eastAsia="仿宋" w:cs="仿宋"/>
          <w:sz w:val="28"/>
          <w:szCs w:val="28"/>
        </w:rPr>
      </w:pP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问题的澄清</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（编号：</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评标委员会：</w:t>
      </w:r>
    </w:p>
    <w:p>
      <w:pPr>
        <w:adjustRightInd w:val="0"/>
        <w:snapToGrid w:val="0"/>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问题澄清通知（编号：</w:t>
      </w:r>
      <w:r>
        <w:rPr>
          <w:rFonts w:hint="eastAsia" w:ascii="仿宋" w:hAnsi="仿宋" w:eastAsia="仿宋" w:cs="仿宋"/>
          <w:sz w:val="28"/>
          <w:szCs w:val="28"/>
          <w:u w:val="single"/>
        </w:rPr>
        <w:t xml:space="preserve">        </w:t>
      </w:r>
      <w:r>
        <w:rPr>
          <w:rFonts w:hint="eastAsia" w:ascii="仿宋" w:hAnsi="仿宋" w:eastAsia="仿宋" w:cs="仿宋"/>
          <w:sz w:val="28"/>
          <w:szCs w:val="28"/>
        </w:rPr>
        <w:t>）已收悉，现澄清、说明或补正如下：</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1.</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2.</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上述问题澄清、说明或补正，不改变我方投标文件的实质性内容，构成我方投标文件的组成部分。</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rPr>
          <w:rFonts w:ascii="仿宋" w:hAnsi="仿宋" w:eastAsia="仿宋" w:cs="仿宋"/>
          <w:sz w:val="28"/>
          <w:szCs w:val="28"/>
        </w:rPr>
      </w:pPr>
    </w:p>
    <w:p>
      <w:pPr>
        <w:adjustRightInd w:val="0"/>
        <w:snapToGrid w:val="0"/>
        <w:spacing w:line="360" w:lineRule="auto"/>
        <w:jc w:val="center"/>
        <w:rPr>
          <w:rFonts w:ascii="仿宋" w:hAnsi="仿宋" w:eastAsia="仿宋" w:cs="仿宋"/>
          <w:kern w:val="0"/>
          <w:sz w:val="28"/>
          <w:szCs w:val="28"/>
        </w:rPr>
        <w:sectPr>
          <w:pgSz w:w="11906" w:h="16838"/>
          <w:pgMar w:top="1440" w:right="1800" w:bottom="1440" w:left="1600" w:header="851" w:footer="992" w:gutter="0"/>
          <w:cols w:space="720" w:num="1"/>
          <w:docGrid w:type="lines" w:linePitch="312" w:charSpace="0"/>
        </w:sectPr>
      </w:pPr>
      <w:r>
        <w:rPr>
          <w:rFonts w:hint="eastAsia" w:ascii="仿宋" w:hAnsi="仿宋" w:eastAsia="仿宋" w:cs="仿宋"/>
          <w:sz w:val="28"/>
          <w:szCs w:val="28"/>
        </w:rPr>
        <w:br w:type="page"/>
      </w:r>
    </w:p>
    <w:p>
      <w:pPr>
        <w:pStyle w:val="3"/>
        <w:rPr>
          <w:rFonts w:ascii="仿宋" w:hAnsi="仿宋" w:eastAsia="仿宋" w:cs="仿宋"/>
          <w:sz w:val="28"/>
          <w:szCs w:val="28"/>
          <w:lang w:eastAsia="zh-Hans"/>
        </w:rPr>
      </w:pPr>
      <w:bookmarkStart w:id="304" w:name="_Toc283634446_WPSOffice_Level1"/>
      <w:r>
        <w:rPr>
          <w:rFonts w:hint="eastAsia" w:ascii="仿宋" w:hAnsi="仿宋" w:eastAsia="仿宋" w:cs="仿宋"/>
          <w:sz w:val="28"/>
          <w:szCs w:val="28"/>
          <w:lang w:eastAsia="zh-Hans"/>
        </w:rPr>
        <w:t>第三章 评标办法（综合评分法）</w:t>
      </w:r>
      <w:bookmarkEnd w:id="304"/>
    </w:p>
    <w:p>
      <w:pPr>
        <w:pStyle w:val="4"/>
        <w:adjustRightInd w:val="0"/>
        <w:snapToGrid w:val="0"/>
        <w:spacing w:before="0" w:after="0" w:line="360" w:lineRule="auto"/>
        <w:rPr>
          <w:rFonts w:ascii="仿宋" w:hAnsi="仿宋" w:eastAsia="仿宋" w:cs="仿宋"/>
          <w:sz w:val="28"/>
          <w:szCs w:val="28"/>
        </w:rPr>
      </w:pPr>
      <w:bookmarkStart w:id="305" w:name="_Toc514837915"/>
      <w:r>
        <w:rPr>
          <w:rFonts w:hint="eastAsia" w:ascii="仿宋" w:hAnsi="仿宋" w:eastAsia="仿宋" w:cs="仿宋"/>
          <w:sz w:val="28"/>
          <w:szCs w:val="28"/>
        </w:rPr>
        <w:t>3</w:t>
      </w:r>
      <w:r>
        <w:rPr>
          <w:rFonts w:hint="eastAsia" w:ascii="仿宋" w:hAnsi="仿宋" w:eastAsia="仿宋" w:cs="仿宋"/>
          <w:sz w:val="28"/>
          <w:szCs w:val="28"/>
          <w:lang w:eastAsia="zh-Hans"/>
        </w:rPr>
        <w:t>.1</w:t>
      </w:r>
      <w:r>
        <w:rPr>
          <w:rFonts w:hint="eastAsia" w:ascii="仿宋" w:hAnsi="仿宋" w:eastAsia="仿宋" w:cs="仿宋"/>
          <w:sz w:val="28"/>
          <w:szCs w:val="28"/>
        </w:rPr>
        <w:t>评标办法前附表</w:t>
      </w:r>
      <w:bookmarkEnd w:id="305"/>
    </w:p>
    <w:tbl>
      <w:tblPr>
        <w:tblStyle w:val="23"/>
        <w:tblW w:w="84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9"/>
        <w:gridCol w:w="2338"/>
        <w:gridCol w:w="4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4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评审因素</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29"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评标方法</w:t>
            </w:r>
          </w:p>
        </w:tc>
        <w:tc>
          <w:tcPr>
            <w:tcW w:w="2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lang w:eastAsia="zh-Hans"/>
              </w:rPr>
            </w:pPr>
            <w:r>
              <w:rPr>
                <w:rFonts w:hint="eastAsia" w:ascii="仿宋" w:hAnsi="仿宋" w:eastAsia="仿宋" w:cs="仿宋"/>
                <w:sz w:val="24"/>
                <w:szCs w:val="24"/>
                <w:lang w:eastAsia="zh-Hans"/>
              </w:rPr>
              <w:t>综合评分法</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lang w:eastAsia="zh-Hans"/>
              </w:rPr>
            </w:pPr>
            <w:r>
              <w:rPr>
                <w:rFonts w:hint="eastAsia" w:ascii="仿宋" w:hAnsi="仿宋" w:eastAsia="仿宋" w:cs="仿宋"/>
                <w:color w:val="000000"/>
                <w:kern w:val="0"/>
                <w:sz w:val="24"/>
                <w:szCs w:val="24"/>
                <w:lang w:eastAsia="zh-Hans"/>
              </w:rPr>
              <w:t>详见本章3.4.3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129"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资格</w:t>
            </w:r>
            <w:r>
              <w:rPr>
                <w:rFonts w:hint="eastAsia" w:ascii="仿宋" w:hAnsi="仿宋" w:eastAsia="仿宋" w:cs="仿宋"/>
                <w:sz w:val="24"/>
                <w:szCs w:val="24"/>
                <w:lang w:eastAsia="zh-Hans"/>
              </w:rPr>
              <w:t>审查</w:t>
            </w:r>
            <w:r>
              <w:rPr>
                <w:rFonts w:hint="eastAsia" w:ascii="仿宋" w:hAnsi="仿宋" w:eastAsia="仿宋" w:cs="仿宋"/>
                <w:sz w:val="24"/>
                <w:szCs w:val="24"/>
              </w:rPr>
              <w:t>标准</w:t>
            </w:r>
          </w:p>
        </w:tc>
        <w:tc>
          <w:tcPr>
            <w:tcW w:w="2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lang w:eastAsia="zh-Hans"/>
              </w:rPr>
            </w:pPr>
            <w:r>
              <w:rPr>
                <w:rFonts w:hint="eastAsia" w:ascii="仿宋" w:hAnsi="仿宋" w:eastAsia="仿宋" w:cs="仿宋"/>
                <w:sz w:val="24"/>
                <w:szCs w:val="24"/>
                <w:lang w:eastAsia="zh-Hans"/>
              </w:rPr>
              <w:t>资格审查</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投标人应出具有效的“一证一码”或“三证合一”的营业执照副本原件；</w:t>
            </w:r>
          </w:p>
          <w:p>
            <w:pPr>
              <w:adjustRightInd w:val="0"/>
              <w:snapToGrid w:val="0"/>
              <w:spacing w:line="360" w:lineRule="auto"/>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lang w:val="en-US" w:eastAsia="zh-CN"/>
              </w:rPr>
              <w:t>2、</w:t>
            </w:r>
            <w:r>
              <w:rPr>
                <w:rFonts w:hint="eastAsia" w:ascii="仿宋" w:hAnsi="仿宋" w:eastAsia="仿宋" w:cs="仿宋"/>
                <w:color w:val="000000"/>
                <w:kern w:val="0"/>
                <w:sz w:val="24"/>
                <w:szCs w:val="24"/>
                <w:highlight w:val="yellow"/>
              </w:rPr>
              <w:t>法定代表人参加投标的，应提供法定代表人居民身份证原件；法定代表人授权人参加投标的，应提供法定代表人授权书及被授权人居民身份证原件；</w:t>
            </w:r>
          </w:p>
          <w:p>
            <w:pPr>
              <w:adjustRightInd w:val="0"/>
              <w:snapToGrid w:val="0"/>
              <w:spacing w:line="360" w:lineRule="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投标人出具通过“信用中国”网站（www.creditchina.gov.cn）和中国政府采购网（www.ccgp.gov.cn）渠道查询的本单位信用记录的网页，并加盖投标单位公章</w:t>
            </w:r>
            <w:r>
              <w:rPr>
                <w:rFonts w:hint="eastAsia" w:ascii="仿宋" w:hAnsi="仿宋" w:eastAsia="仿宋" w:cs="仿宋"/>
                <w:color w:val="000000"/>
                <w:kern w:val="0"/>
                <w:sz w:val="24"/>
                <w:szCs w:val="24"/>
                <w:lang w:eastAsia="zh-CN"/>
              </w:rPr>
              <w:t>；</w:t>
            </w:r>
          </w:p>
          <w:p>
            <w:pPr>
              <w:adjustRightInd w:val="0"/>
              <w:snapToGrid w:val="0"/>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、提供社会保险登记证原件或社保机构出具的社保缴纳证明并加盖投标单位公章（近三个月至今任意一月，当月新成立公司不需提供）；</w:t>
            </w:r>
          </w:p>
          <w:p>
            <w:pPr>
              <w:adjustRightInd w:val="0"/>
              <w:snapToGrid w:val="0"/>
              <w:spacing w:line="360" w:lineRule="auto"/>
              <w:rPr>
                <w:rFonts w:ascii="宋体" w:hAnsi="宋体"/>
                <w:color w:val="000000"/>
                <w:spacing w:val="-2"/>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、提供2020年度财务审计报告的扫描件加盖公章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1129" w:type="dxa"/>
            <w:vMerge w:val="restart"/>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lang w:eastAsia="zh-Hans"/>
              </w:rPr>
              <w:t>符合</w:t>
            </w:r>
            <w:r>
              <w:rPr>
                <w:rFonts w:hint="eastAsia" w:ascii="仿宋" w:hAnsi="仿宋" w:eastAsia="仿宋" w:cs="仿宋"/>
                <w:sz w:val="24"/>
                <w:szCs w:val="24"/>
              </w:rPr>
              <w:t>性评审标准</w:t>
            </w:r>
          </w:p>
        </w:tc>
        <w:tc>
          <w:tcPr>
            <w:tcW w:w="2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投标报价</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投标人</w:t>
            </w:r>
            <w:r>
              <w:rPr>
                <w:rFonts w:hint="eastAsia" w:ascii="仿宋" w:hAnsi="仿宋" w:eastAsia="仿宋" w:cs="仿宋"/>
                <w:color w:val="000000"/>
                <w:kern w:val="0"/>
                <w:sz w:val="24"/>
                <w:szCs w:val="24"/>
              </w:rPr>
              <w:t>的投标投标报价符合招标文件要求</w:t>
            </w:r>
            <w:r>
              <w:rPr>
                <w:rFonts w:hint="eastAsia" w:ascii="仿宋" w:hAnsi="仿宋" w:eastAsia="仿宋" w:cs="仿宋"/>
                <w:color w:val="000000"/>
                <w:kern w:val="0"/>
                <w:sz w:val="24"/>
                <w:szCs w:val="24"/>
                <w:lang w:eastAsia="zh-Hans"/>
              </w:rPr>
              <w:t>且唯一；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0" w:hRule="atLeast"/>
          <w:jc w:val="center"/>
        </w:trPr>
        <w:tc>
          <w:tcPr>
            <w:tcW w:w="1129"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p>
        </w:tc>
        <w:tc>
          <w:tcPr>
            <w:tcW w:w="2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投标内容</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投标文件的有效性、完整性响应招标文件要求，对招标文件的实质性要求作出响应。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 w:hRule="atLeast"/>
          <w:jc w:val="center"/>
        </w:trPr>
        <w:tc>
          <w:tcPr>
            <w:tcW w:w="1129"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p>
        </w:tc>
        <w:tc>
          <w:tcPr>
            <w:tcW w:w="2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lang w:eastAsia="zh-Hans"/>
              </w:rPr>
            </w:pPr>
            <w:r>
              <w:rPr>
                <w:rFonts w:hint="eastAsia" w:ascii="仿宋" w:hAnsi="仿宋" w:eastAsia="仿宋" w:cs="仿宋"/>
                <w:sz w:val="24"/>
                <w:szCs w:val="24"/>
                <w:lang w:eastAsia="zh-Hans"/>
              </w:rPr>
              <w:t>投标文件</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投标文件按照招标文件规定要求密封、签署、盖章；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1129"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p>
        </w:tc>
        <w:tc>
          <w:tcPr>
            <w:tcW w:w="2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投标保证金</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投标人缴纳</w:t>
            </w:r>
            <w:r>
              <w:rPr>
                <w:rFonts w:hint="eastAsia" w:ascii="仿宋" w:hAnsi="仿宋" w:eastAsia="仿宋" w:cs="仿宋"/>
                <w:color w:val="000000"/>
                <w:kern w:val="0"/>
                <w:sz w:val="24"/>
                <w:szCs w:val="24"/>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2" w:hRule="atLeast"/>
          <w:jc w:val="center"/>
        </w:trPr>
        <w:tc>
          <w:tcPr>
            <w:tcW w:w="1129"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p>
        </w:tc>
        <w:tc>
          <w:tcPr>
            <w:tcW w:w="2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lang w:eastAsia="zh-Hans"/>
              </w:rPr>
            </w:pPr>
            <w:r>
              <w:rPr>
                <w:rFonts w:hint="eastAsia" w:ascii="仿宋" w:hAnsi="仿宋" w:eastAsia="仿宋" w:cs="仿宋"/>
                <w:sz w:val="24"/>
                <w:szCs w:val="24"/>
                <w:lang w:eastAsia="zh-Hans"/>
              </w:rPr>
              <w:t>投标文件编写</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投标文件是否按照招标文件要求编写；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atLeast"/>
          <w:jc w:val="center"/>
        </w:trPr>
        <w:tc>
          <w:tcPr>
            <w:tcW w:w="1129"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sz w:val="24"/>
                <w:szCs w:val="24"/>
              </w:rPr>
            </w:pPr>
          </w:p>
        </w:tc>
        <w:tc>
          <w:tcPr>
            <w:tcW w:w="2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kern w:val="0"/>
                <w:sz w:val="24"/>
                <w:szCs w:val="24"/>
                <w:lang w:eastAsia="zh-Hans"/>
              </w:rPr>
            </w:pPr>
            <w:r>
              <w:rPr>
                <w:rFonts w:hint="eastAsia" w:ascii="仿宋" w:hAnsi="仿宋" w:eastAsia="仿宋" w:cs="仿宋"/>
                <w:kern w:val="0"/>
                <w:sz w:val="24"/>
                <w:szCs w:val="24"/>
                <w:lang w:eastAsia="zh-Hans"/>
              </w:rPr>
              <w:t>采购需求</w:t>
            </w:r>
          </w:p>
        </w:tc>
        <w:tc>
          <w:tcPr>
            <w:tcW w:w="49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投标人所报服务期、</w:t>
            </w:r>
            <w:r>
              <w:rPr>
                <w:rFonts w:hint="eastAsia" w:ascii="仿宋" w:hAnsi="仿宋" w:eastAsia="仿宋" w:cs="仿宋"/>
                <w:color w:val="000000"/>
                <w:kern w:val="0"/>
                <w:sz w:val="24"/>
                <w:szCs w:val="24"/>
                <w:lang w:eastAsia="zh-Hans"/>
              </w:rPr>
              <w:t>售后服务响应时间</w:t>
            </w:r>
            <w:r>
              <w:rPr>
                <w:rFonts w:hint="eastAsia" w:ascii="仿宋" w:hAnsi="仿宋" w:eastAsia="仿宋" w:cs="仿宋"/>
                <w:color w:val="000000"/>
                <w:kern w:val="0"/>
                <w:sz w:val="24"/>
                <w:szCs w:val="24"/>
              </w:rPr>
              <w:t>是否满足招标文件规定。</w:t>
            </w:r>
          </w:p>
        </w:tc>
      </w:tr>
    </w:tbl>
    <w:p>
      <w:pPr>
        <w:adjustRightInd w:val="0"/>
        <w:snapToGrid w:val="0"/>
        <w:spacing w:line="360" w:lineRule="auto"/>
        <w:rPr>
          <w:rFonts w:ascii="仿宋" w:hAnsi="仿宋" w:eastAsia="仿宋" w:cs="仿宋"/>
          <w:b/>
          <w:color w:val="000000"/>
          <w:kern w:val="0"/>
          <w:sz w:val="28"/>
          <w:szCs w:val="28"/>
        </w:rPr>
      </w:pPr>
      <w:bookmarkStart w:id="306" w:name="_Toc152045600"/>
      <w:bookmarkStart w:id="307" w:name="_Toc246996986"/>
      <w:bookmarkStart w:id="308" w:name="_Toc144974567"/>
      <w:bookmarkStart w:id="309" w:name="_Toc514837916"/>
      <w:bookmarkStart w:id="310" w:name="_Toc179632618"/>
      <w:bookmarkStart w:id="311" w:name="_Toc247085758"/>
      <w:bookmarkStart w:id="312" w:name="_Toc246996243"/>
      <w:bookmarkStart w:id="313" w:name="_Toc152042377"/>
      <w:r>
        <w:rPr>
          <w:rFonts w:hint="eastAsia" w:ascii="仿宋" w:hAnsi="仿宋" w:eastAsia="仿宋" w:cs="仿宋"/>
          <w:b/>
          <w:color w:val="000000"/>
          <w:kern w:val="0"/>
          <w:sz w:val="28"/>
          <w:szCs w:val="28"/>
        </w:rPr>
        <w:t>备注：1、</w:t>
      </w:r>
      <w:r>
        <w:rPr>
          <w:rFonts w:hint="eastAsia" w:ascii="仿宋" w:hAnsi="仿宋" w:eastAsia="仿宋" w:cs="仿宋"/>
          <w:b/>
          <w:bCs/>
          <w:sz w:val="28"/>
          <w:szCs w:val="28"/>
        </w:rPr>
        <w:t>投标人应按</w:t>
      </w:r>
      <w:r>
        <w:rPr>
          <w:rFonts w:hint="eastAsia" w:ascii="仿宋" w:hAnsi="仿宋" w:eastAsia="仿宋" w:cs="仿宋"/>
          <w:b/>
          <w:bCs/>
          <w:sz w:val="28"/>
          <w:szCs w:val="28"/>
          <w:lang w:eastAsia="zh-Hans"/>
        </w:rPr>
        <w:t>资格审查标准</w:t>
      </w:r>
      <w:r>
        <w:rPr>
          <w:rFonts w:hint="eastAsia" w:ascii="仿宋" w:hAnsi="仿宋" w:eastAsia="仿宋" w:cs="仿宋"/>
          <w:b/>
          <w:bCs/>
          <w:sz w:val="28"/>
          <w:szCs w:val="28"/>
        </w:rPr>
        <w:t>规定提供资格审查资料，</w:t>
      </w:r>
      <w:r>
        <w:rPr>
          <w:rFonts w:hint="eastAsia" w:ascii="仿宋" w:hAnsi="仿宋" w:eastAsia="仿宋" w:cs="仿宋"/>
          <w:b/>
          <w:bCs/>
          <w:color w:val="000000"/>
          <w:sz w:val="28"/>
          <w:szCs w:val="28"/>
        </w:rPr>
        <w:t>如缺项将导致废标；</w:t>
      </w:r>
    </w:p>
    <w:p>
      <w:pPr>
        <w:adjustRightInd w:val="0"/>
        <w:snapToGrid w:val="0"/>
        <w:spacing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2、</w:t>
      </w:r>
      <w:r>
        <w:rPr>
          <w:rFonts w:hint="eastAsia" w:ascii="仿宋" w:hAnsi="仿宋" w:eastAsia="仿宋" w:cs="仿宋"/>
          <w:b/>
          <w:color w:val="000000"/>
          <w:kern w:val="0"/>
          <w:sz w:val="28"/>
          <w:szCs w:val="28"/>
          <w:lang w:eastAsia="zh-Hans"/>
        </w:rPr>
        <w:t>资格审查后</w:t>
      </w:r>
      <w:r>
        <w:rPr>
          <w:rFonts w:hint="eastAsia" w:ascii="仿宋" w:hAnsi="仿宋" w:eastAsia="仿宋" w:cs="仿宋"/>
          <w:b/>
          <w:color w:val="000000"/>
          <w:kern w:val="0"/>
          <w:sz w:val="28"/>
          <w:szCs w:val="28"/>
        </w:rPr>
        <w:t>如果投标文件中有一项未通过</w:t>
      </w:r>
      <w:r>
        <w:rPr>
          <w:rFonts w:hint="eastAsia" w:ascii="仿宋" w:hAnsi="仿宋" w:eastAsia="仿宋" w:cs="仿宋"/>
          <w:b/>
          <w:color w:val="000000"/>
          <w:kern w:val="0"/>
          <w:sz w:val="28"/>
          <w:szCs w:val="28"/>
          <w:lang w:eastAsia="zh-Hans"/>
        </w:rPr>
        <w:t>符合性</w:t>
      </w:r>
      <w:r>
        <w:rPr>
          <w:rFonts w:hint="eastAsia" w:ascii="仿宋" w:hAnsi="仿宋" w:eastAsia="仿宋" w:cs="仿宋"/>
          <w:b/>
          <w:color w:val="000000"/>
          <w:kern w:val="0"/>
          <w:sz w:val="28"/>
          <w:szCs w:val="28"/>
        </w:rPr>
        <w:t>审查标准，评标委员会将认定整个投标文件未响应招标文件而予以</w:t>
      </w:r>
      <w:r>
        <w:rPr>
          <w:rFonts w:hint="eastAsia" w:ascii="仿宋" w:hAnsi="仿宋" w:eastAsia="仿宋" w:cs="仿宋"/>
          <w:b/>
          <w:color w:val="000000"/>
          <w:kern w:val="0"/>
          <w:sz w:val="28"/>
          <w:szCs w:val="28"/>
          <w:lang w:eastAsia="zh-Hans"/>
        </w:rPr>
        <w:t>无效标</w:t>
      </w:r>
      <w:r>
        <w:rPr>
          <w:rFonts w:hint="eastAsia" w:ascii="仿宋" w:hAnsi="仿宋" w:eastAsia="仿宋" w:cs="仿宋"/>
          <w:b/>
          <w:color w:val="000000"/>
          <w:kern w:val="0"/>
          <w:sz w:val="28"/>
          <w:szCs w:val="28"/>
        </w:rPr>
        <w:t>处理。</w:t>
      </w:r>
    </w:p>
    <w:p>
      <w:pPr>
        <w:adjustRightInd w:val="0"/>
        <w:snapToGrid w:val="0"/>
        <w:spacing w:line="360" w:lineRule="auto"/>
        <w:jc w:val="center"/>
        <w:rPr>
          <w:rFonts w:ascii="仿宋" w:hAnsi="仿宋" w:eastAsia="仿宋" w:cs="仿宋"/>
          <w:color w:val="000000"/>
          <w:kern w:val="0"/>
          <w:sz w:val="28"/>
          <w:szCs w:val="28"/>
        </w:rPr>
      </w:pPr>
    </w:p>
    <w:p>
      <w:pPr>
        <w:adjustRightInd w:val="0"/>
        <w:snapToGrid w:val="0"/>
        <w:spacing w:line="360" w:lineRule="auto"/>
        <w:jc w:val="center"/>
        <w:rPr>
          <w:rFonts w:ascii="仿宋" w:hAnsi="仿宋" w:eastAsia="仿宋" w:cs="仿宋"/>
          <w:color w:val="000000"/>
          <w:kern w:val="0"/>
          <w:sz w:val="28"/>
          <w:szCs w:val="28"/>
          <w:lang w:eastAsia="zh-Hans"/>
        </w:rPr>
        <w:sectPr>
          <w:pgSz w:w="11906" w:h="16838"/>
          <w:pgMar w:top="1440" w:right="1800" w:bottom="1440" w:left="1600" w:header="851" w:footer="992" w:gutter="0"/>
          <w:cols w:space="720" w:num="1"/>
          <w:docGrid w:type="lines" w:linePitch="312" w:charSpace="0"/>
        </w:sectPr>
      </w:pPr>
    </w:p>
    <w:p>
      <w:pPr>
        <w:pStyle w:val="4"/>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.2</w:t>
      </w:r>
      <w:r>
        <w:rPr>
          <w:rFonts w:hint="eastAsia" w:ascii="仿宋" w:hAnsi="仿宋" w:eastAsia="仿宋" w:cs="仿宋"/>
          <w:sz w:val="28"/>
          <w:szCs w:val="28"/>
        </w:rPr>
        <w:t>详细评分</w:t>
      </w:r>
    </w:p>
    <w:tbl>
      <w:tblPr>
        <w:tblStyle w:val="23"/>
        <w:tblW w:w="5000" w:type="pct"/>
        <w:jc w:val="center"/>
        <w:tblLayout w:type="autofit"/>
        <w:tblCellMar>
          <w:top w:w="0" w:type="dxa"/>
          <w:left w:w="108" w:type="dxa"/>
          <w:bottom w:w="0" w:type="dxa"/>
          <w:right w:w="108" w:type="dxa"/>
        </w:tblCellMar>
      </w:tblPr>
      <w:tblGrid>
        <w:gridCol w:w="1082"/>
        <w:gridCol w:w="2182"/>
        <w:gridCol w:w="5458"/>
      </w:tblGrid>
      <w:tr>
        <w:tblPrEx>
          <w:tblCellMar>
            <w:top w:w="0" w:type="dxa"/>
            <w:left w:w="108" w:type="dxa"/>
            <w:bottom w:w="0" w:type="dxa"/>
            <w:right w:w="108" w:type="dxa"/>
          </w:tblCellMar>
        </w:tblPrEx>
        <w:trPr>
          <w:trHeight w:val="34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经济部分（10分）</w:t>
            </w:r>
          </w:p>
        </w:tc>
      </w:tr>
      <w:tr>
        <w:tblPrEx>
          <w:tblCellMar>
            <w:top w:w="0" w:type="dxa"/>
            <w:left w:w="108" w:type="dxa"/>
            <w:bottom w:w="0" w:type="dxa"/>
            <w:right w:w="108" w:type="dxa"/>
          </w:tblCellMar>
        </w:tblPrEx>
        <w:trPr>
          <w:trHeight w:val="1620" w:hRule="atLeast"/>
          <w:jc w:val="center"/>
        </w:trPr>
        <w:tc>
          <w:tcPr>
            <w:tcW w:w="18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投标人报价（10分）</w:t>
            </w: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采用低价优先法计算，即满足招标文件要求且投标价格最低的投标报价为评标基准价，其价格得分为满分。其他投标人的价格得分统一按照下列公式计算：价格得分=（评标基准价/投标报价）×10%×100，如此类推，算出所有投标供应商的价格得分。</w:t>
            </w:r>
          </w:p>
        </w:tc>
      </w:tr>
      <w:tr>
        <w:tblPrEx>
          <w:tblCellMar>
            <w:top w:w="0" w:type="dxa"/>
            <w:left w:w="108" w:type="dxa"/>
            <w:bottom w:w="0" w:type="dxa"/>
            <w:right w:w="108" w:type="dxa"/>
          </w:tblCellMar>
        </w:tblPrEx>
        <w:trPr>
          <w:trHeight w:val="42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商务技术部分（90分）</w:t>
            </w:r>
          </w:p>
        </w:tc>
      </w:tr>
      <w:tr>
        <w:tblPrEx>
          <w:tblCellMar>
            <w:top w:w="0" w:type="dxa"/>
            <w:left w:w="108" w:type="dxa"/>
            <w:bottom w:w="0" w:type="dxa"/>
            <w:right w:w="108" w:type="dxa"/>
          </w:tblCellMar>
        </w:tblPrEx>
        <w:trPr>
          <w:trHeight w:val="500"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评审内容</w:t>
            </w:r>
          </w:p>
        </w:tc>
        <w:tc>
          <w:tcPr>
            <w:tcW w:w="3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评审标准</w:t>
            </w:r>
          </w:p>
        </w:tc>
      </w:tr>
      <w:tr>
        <w:tblPrEx>
          <w:tblCellMar>
            <w:top w:w="0" w:type="dxa"/>
            <w:left w:w="108" w:type="dxa"/>
            <w:bottom w:w="0" w:type="dxa"/>
            <w:right w:w="108" w:type="dxa"/>
          </w:tblCellMar>
        </w:tblPrEx>
        <w:trPr>
          <w:trHeight w:val="940"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投标人业绩（1</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分）</w:t>
            </w: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提供近三年（2019年1月1日至今）同类有效业绩（有效业绩需附合同或中标通知书复印件），每一份有效业绩得</w:t>
            </w:r>
            <w:r>
              <w:rPr>
                <w:rFonts w:hint="eastAsia" w:ascii="仿宋" w:hAnsi="仿宋" w:eastAsia="仿宋" w:cs="仿宋"/>
                <w:color w:val="000000"/>
                <w:kern w:val="0"/>
                <w:sz w:val="24"/>
                <w:szCs w:val="24"/>
                <w:lang w:val="en-US" w:eastAsia="zh-CN" w:bidi="ar"/>
              </w:rPr>
              <w:t>3</w:t>
            </w:r>
            <w:r>
              <w:rPr>
                <w:rFonts w:hint="eastAsia" w:ascii="仿宋" w:hAnsi="仿宋" w:eastAsia="仿宋" w:cs="仿宋"/>
                <w:color w:val="000000"/>
                <w:kern w:val="0"/>
                <w:sz w:val="24"/>
                <w:szCs w:val="24"/>
                <w:lang w:bidi="ar"/>
              </w:rPr>
              <w:t>分，本项满分</w:t>
            </w:r>
            <w:r>
              <w:rPr>
                <w:rFonts w:hint="eastAsia" w:ascii="仿宋" w:hAnsi="仿宋" w:eastAsia="仿宋" w:cs="仿宋"/>
                <w:color w:val="000000"/>
                <w:kern w:val="0"/>
                <w:sz w:val="24"/>
                <w:szCs w:val="24"/>
                <w:lang w:val="en-US" w:eastAsia="zh-CN" w:bidi="ar"/>
              </w:rPr>
              <w:t>15</w:t>
            </w:r>
            <w:r>
              <w:rPr>
                <w:rFonts w:hint="eastAsia" w:ascii="仿宋" w:hAnsi="仿宋" w:eastAsia="仿宋" w:cs="仿宋"/>
                <w:color w:val="000000"/>
                <w:kern w:val="0"/>
                <w:sz w:val="24"/>
                <w:szCs w:val="24"/>
                <w:lang w:bidi="ar"/>
              </w:rPr>
              <w:t>分。未提供相关证明的不得分。</w:t>
            </w:r>
          </w:p>
        </w:tc>
      </w:tr>
      <w:tr>
        <w:tblPrEx>
          <w:tblCellMar>
            <w:top w:w="0" w:type="dxa"/>
            <w:left w:w="108" w:type="dxa"/>
            <w:bottom w:w="0" w:type="dxa"/>
            <w:right w:w="108" w:type="dxa"/>
          </w:tblCellMar>
        </w:tblPrEx>
        <w:trPr>
          <w:trHeight w:val="2000"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人员配备</w:t>
            </w: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5</w:t>
            </w:r>
            <w:r>
              <w:rPr>
                <w:rFonts w:hint="eastAsia" w:ascii="仿宋" w:hAnsi="仿宋" w:eastAsia="仿宋" w:cs="仿宋"/>
                <w:color w:val="000000"/>
                <w:kern w:val="0"/>
                <w:sz w:val="24"/>
                <w:szCs w:val="24"/>
                <w:lang w:bidi="ar"/>
              </w:rPr>
              <w:t>分）</w:t>
            </w: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项目负责人：</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1.项目负责人具备</w:t>
            </w:r>
            <w:r>
              <w:rPr>
                <w:rFonts w:hint="eastAsia" w:ascii="仿宋" w:hAnsi="仿宋" w:eastAsia="仿宋" w:cs="仿宋"/>
                <w:color w:val="000000"/>
                <w:kern w:val="0"/>
                <w:sz w:val="24"/>
                <w:szCs w:val="24"/>
                <w:highlight w:val="none"/>
                <w:lang w:val="en-US" w:eastAsia="zh-CN" w:bidi="ar"/>
              </w:rPr>
              <w:t>中级及以上职称</w:t>
            </w:r>
            <w:r>
              <w:rPr>
                <w:rFonts w:hint="eastAsia" w:ascii="仿宋" w:hAnsi="仿宋" w:eastAsia="仿宋" w:cs="仿宋"/>
                <w:color w:val="000000"/>
                <w:kern w:val="0"/>
                <w:sz w:val="24"/>
                <w:szCs w:val="24"/>
                <w:highlight w:val="none"/>
                <w:lang w:eastAsia="zh-CN" w:bidi="ar"/>
              </w:rPr>
              <w:t>且</w:t>
            </w:r>
            <w:r>
              <w:rPr>
                <w:rFonts w:hint="eastAsia" w:ascii="仿宋" w:hAnsi="仿宋" w:eastAsia="仿宋" w:cs="仿宋"/>
                <w:color w:val="000000"/>
                <w:kern w:val="0"/>
                <w:sz w:val="24"/>
                <w:szCs w:val="24"/>
                <w:highlight w:val="none"/>
                <w:lang w:bidi="ar"/>
              </w:rPr>
              <w:t>项目负责人近3年</w:t>
            </w:r>
            <w:r>
              <w:rPr>
                <w:rFonts w:hint="eastAsia" w:ascii="仿宋" w:hAnsi="仿宋" w:eastAsia="仿宋" w:cs="仿宋"/>
                <w:color w:val="000000"/>
                <w:kern w:val="0"/>
                <w:sz w:val="24"/>
                <w:szCs w:val="24"/>
                <w:highlight w:val="none"/>
                <w:lang w:eastAsia="zh-CN" w:bidi="ar"/>
              </w:rPr>
              <w:t>负责过</w:t>
            </w:r>
            <w:r>
              <w:rPr>
                <w:rFonts w:hint="eastAsia" w:ascii="仿宋" w:hAnsi="仿宋" w:eastAsia="仿宋" w:cs="仿宋"/>
                <w:color w:val="000000"/>
                <w:kern w:val="0"/>
                <w:sz w:val="24"/>
                <w:szCs w:val="24"/>
                <w:highlight w:val="none"/>
                <w:lang w:bidi="ar"/>
              </w:rPr>
              <w:t>类似项目业绩，提供1个</w:t>
            </w:r>
            <w:r>
              <w:rPr>
                <w:rFonts w:hint="eastAsia" w:ascii="仿宋" w:hAnsi="仿宋" w:eastAsia="仿宋" w:cs="仿宋"/>
                <w:color w:val="000000"/>
                <w:kern w:val="0"/>
                <w:sz w:val="24"/>
                <w:szCs w:val="24"/>
                <w:highlight w:val="none"/>
                <w:lang w:val="en-US" w:eastAsia="zh-CN" w:bidi="ar"/>
              </w:rPr>
              <w:t>业绩</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得</w:t>
            </w:r>
            <w:r>
              <w:rPr>
                <w:rFonts w:hint="eastAsia" w:ascii="仿宋" w:hAnsi="仿宋" w:eastAsia="仿宋"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分，满分</w:t>
            </w:r>
            <w:r>
              <w:rPr>
                <w:rFonts w:hint="eastAsia" w:ascii="仿宋" w:hAnsi="仿宋" w:eastAsia="仿宋" w:cs="仿宋"/>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bidi="ar"/>
              </w:rPr>
              <w:t>分</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注：①需提供本单位缴纳的近三个月的社保证明；</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②业绩证明材料须反映出项目负责人</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eastAsia="zh-CN" w:bidi="ar"/>
              </w:rPr>
              <w:t>项目团队：</w:t>
            </w:r>
            <w:r>
              <w:rPr>
                <w:rFonts w:hint="eastAsia" w:ascii="仿宋" w:hAnsi="仿宋" w:eastAsia="仿宋" w:cs="仿宋"/>
                <w:color w:val="000000"/>
                <w:kern w:val="0"/>
                <w:sz w:val="24"/>
                <w:szCs w:val="24"/>
                <w:highlight w:val="none"/>
                <w:lang w:bidi="ar"/>
              </w:rPr>
              <w:t xml:space="preserve">  </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1.提供满足本项目需求的专业服务团队，人数不少于20人，人员结构及分工明确，人员信息齐全，得5分，有1项不满足或有缺陷扣2分，扣完为止；</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2.团队中有中级职称</w:t>
            </w:r>
            <w:r>
              <w:rPr>
                <w:rFonts w:hint="eastAsia" w:ascii="仿宋" w:hAnsi="仿宋" w:eastAsia="仿宋" w:cs="仿宋"/>
                <w:color w:val="000000"/>
                <w:kern w:val="0"/>
                <w:sz w:val="24"/>
                <w:szCs w:val="24"/>
                <w:highlight w:val="none"/>
                <w:lang w:val="en-US" w:eastAsia="zh-CN" w:bidi="ar"/>
              </w:rPr>
              <w:t>或</w:t>
            </w:r>
            <w:r>
              <w:rPr>
                <w:rFonts w:hint="eastAsia" w:ascii="仿宋" w:hAnsi="仿宋" w:eastAsia="仿宋" w:cs="仿宋"/>
                <w:color w:val="000000"/>
                <w:kern w:val="0"/>
                <w:sz w:val="24"/>
                <w:szCs w:val="24"/>
                <w:highlight w:val="none"/>
                <w:lang w:bidi="ar"/>
              </w:rPr>
              <w:t>网络工程师或运维IT服务人员资质证书或安防类人员证书的一个得1分，满分</w:t>
            </w:r>
            <w:r>
              <w:rPr>
                <w:rFonts w:hint="eastAsia" w:ascii="仿宋" w:hAnsi="仿宋" w:eastAsia="仿宋" w:cs="仿宋"/>
                <w:color w:val="000000"/>
                <w:kern w:val="0"/>
                <w:sz w:val="24"/>
                <w:szCs w:val="24"/>
                <w:highlight w:val="none"/>
                <w:lang w:val="en-US" w:eastAsia="zh-CN" w:bidi="ar"/>
              </w:rPr>
              <w:t>5</w:t>
            </w:r>
            <w:r>
              <w:rPr>
                <w:rFonts w:hint="eastAsia" w:ascii="仿宋" w:hAnsi="仿宋" w:eastAsia="仿宋" w:cs="仿宋"/>
                <w:color w:val="000000"/>
                <w:kern w:val="0"/>
                <w:sz w:val="24"/>
                <w:szCs w:val="24"/>
                <w:highlight w:val="none"/>
                <w:lang w:bidi="ar"/>
              </w:rPr>
              <w:t>分（提供证件复印件加盖公章）；</w:t>
            </w:r>
          </w:p>
          <w:p>
            <w:pPr>
              <w:widowControl/>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3.团队中有专业培训合格证的一个得0.5分，满分3分（提供证件复印件加盖公章）</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highlight w:val="none"/>
                <w:lang w:bidi="ar"/>
              </w:rPr>
              <w:t xml:space="preserve">注：需提供本单位缴纳的项目团队人员近三个月的社保证明。                                     </w:t>
            </w:r>
            <w:r>
              <w:rPr>
                <w:rFonts w:hint="eastAsia" w:ascii="仿宋" w:hAnsi="仿宋" w:eastAsia="仿宋" w:cs="仿宋"/>
                <w:color w:val="000000"/>
                <w:kern w:val="0"/>
                <w:sz w:val="24"/>
                <w:szCs w:val="24"/>
                <w:lang w:bidi="ar"/>
              </w:rPr>
              <w:t xml:space="preserve">                                </w:t>
            </w:r>
          </w:p>
        </w:tc>
      </w:tr>
      <w:tr>
        <w:tblPrEx>
          <w:tblCellMar>
            <w:top w:w="0" w:type="dxa"/>
            <w:left w:w="108" w:type="dxa"/>
            <w:bottom w:w="0" w:type="dxa"/>
            <w:right w:w="108" w:type="dxa"/>
          </w:tblCellMar>
        </w:tblPrEx>
        <w:trPr>
          <w:trHeight w:val="2180"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链路覆盖范围（</w:t>
            </w:r>
            <w:r>
              <w:rPr>
                <w:rFonts w:hint="eastAsia" w:ascii="仿宋" w:hAnsi="仿宋" w:eastAsia="仿宋" w:cs="仿宋"/>
                <w:color w:val="000000"/>
                <w:kern w:val="0"/>
                <w:sz w:val="24"/>
                <w:szCs w:val="24"/>
                <w:lang w:val="en-US" w:eastAsia="zh-CN" w:bidi="ar"/>
              </w:rPr>
              <w:t>30</w:t>
            </w:r>
            <w:r>
              <w:rPr>
                <w:rFonts w:hint="eastAsia" w:ascii="仿宋" w:hAnsi="仿宋" w:eastAsia="仿宋" w:cs="仿宋"/>
                <w:color w:val="000000"/>
                <w:kern w:val="0"/>
                <w:sz w:val="24"/>
                <w:szCs w:val="24"/>
                <w:lang w:bidi="ar"/>
              </w:rPr>
              <w:t>分）</w:t>
            </w: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要求投标人在监控点位所在区域内具有覆盖到</w:t>
            </w:r>
            <w:r>
              <w:rPr>
                <w:rFonts w:hint="eastAsia" w:ascii="仿宋" w:hAnsi="仿宋" w:eastAsia="仿宋" w:cs="仿宋"/>
                <w:color w:val="000000"/>
                <w:kern w:val="0"/>
                <w:sz w:val="24"/>
                <w:szCs w:val="24"/>
                <w:highlight w:val="yellow"/>
                <w:lang w:val="en-US" w:eastAsia="zh-CN" w:bidi="ar"/>
              </w:rPr>
              <w:t>全</w:t>
            </w:r>
            <w:r>
              <w:rPr>
                <w:rFonts w:hint="eastAsia" w:ascii="仿宋" w:hAnsi="仿宋" w:eastAsia="仿宋" w:cs="仿宋"/>
                <w:color w:val="000000"/>
                <w:kern w:val="0"/>
                <w:sz w:val="24"/>
                <w:szCs w:val="24"/>
                <w:highlight w:val="yellow"/>
                <w:lang w:bidi="ar"/>
              </w:rPr>
              <w:t>区</w:t>
            </w:r>
            <w:r>
              <w:rPr>
                <w:rFonts w:hint="eastAsia" w:ascii="仿宋" w:hAnsi="仿宋" w:eastAsia="仿宋" w:cs="仿宋"/>
                <w:color w:val="000000"/>
                <w:kern w:val="0"/>
                <w:sz w:val="24"/>
                <w:szCs w:val="24"/>
                <w:lang w:bidi="ar"/>
              </w:rPr>
              <w:t>的链路资源，可以满足本次项目所涉及的监控点位的接入及后续扩容的要求，光纤链路到达监控点位设备箱位置的为资源完全到位，根据资源到位率进行评分。资源到位率从高到低一次得分为</w:t>
            </w:r>
            <w:r>
              <w:rPr>
                <w:rFonts w:hint="eastAsia" w:ascii="仿宋" w:hAnsi="仿宋" w:eastAsia="仿宋" w:cs="仿宋"/>
                <w:color w:val="000000"/>
                <w:kern w:val="0"/>
                <w:sz w:val="24"/>
                <w:szCs w:val="24"/>
                <w:lang w:val="en-US" w:eastAsia="zh-CN" w:bidi="ar"/>
              </w:rPr>
              <w:t>30</w:t>
            </w:r>
            <w:r>
              <w:rPr>
                <w:rFonts w:hint="eastAsia" w:ascii="仿宋" w:hAnsi="仿宋" w:eastAsia="仿宋" w:cs="仿宋"/>
                <w:color w:val="000000"/>
                <w:kern w:val="0"/>
                <w:sz w:val="24"/>
                <w:szCs w:val="24"/>
                <w:lang w:bidi="ar"/>
              </w:rPr>
              <w:t>分、</w:t>
            </w:r>
            <w:r>
              <w:rPr>
                <w:rFonts w:hint="eastAsia" w:ascii="仿宋" w:hAnsi="仿宋" w:eastAsia="仿宋" w:cs="仿宋"/>
                <w:color w:val="000000"/>
                <w:kern w:val="0"/>
                <w:sz w:val="24"/>
                <w:szCs w:val="24"/>
                <w:lang w:val="en-US" w:eastAsia="zh-CN" w:bidi="ar"/>
              </w:rPr>
              <w:t>24</w:t>
            </w:r>
            <w:r>
              <w:rPr>
                <w:rFonts w:hint="eastAsia" w:ascii="仿宋" w:hAnsi="仿宋" w:eastAsia="仿宋" w:cs="仿宋"/>
                <w:color w:val="000000"/>
                <w:kern w:val="0"/>
                <w:sz w:val="24"/>
                <w:szCs w:val="24"/>
                <w:lang w:bidi="ar"/>
              </w:rPr>
              <w:t>分、</w:t>
            </w:r>
            <w:r>
              <w:rPr>
                <w:rFonts w:hint="eastAsia" w:ascii="仿宋" w:hAnsi="仿宋" w:eastAsia="仿宋" w:cs="仿宋"/>
                <w:color w:val="000000"/>
                <w:kern w:val="0"/>
                <w:sz w:val="24"/>
                <w:szCs w:val="24"/>
                <w:lang w:val="en-US" w:eastAsia="zh-CN" w:bidi="ar"/>
              </w:rPr>
              <w:t>18</w:t>
            </w:r>
            <w:r>
              <w:rPr>
                <w:rFonts w:hint="eastAsia" w:ascii="仿宋" w:hAnsi="仿宋" w:eastAsia="仿宋" w:cs="仿宋"/>
                <w:color w:val="000000"/>
                <w:kern w:val="0"/>
                <w:sz w:val="24"/>
                <w:szCs w:val="24"/>
                <w:lang w:bidi="ar"/>
              </w:rPr>
              <w:t>分、1</w:t>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分、</w:t>
            </w:r>
            <w:r>
              <w:rPr>
                <w:rFonts w:hint="eastAsia" w:ascii="仿宋" w:hAnsi="仿宋" w:eastAsia="仿宋" w:cs="仿宋"/>
                <w:color w:val="000000"/>
                <w:kern w:val="0"/>
                <w:sz w:val="24"/>
                <w:szCs w:val="24"/>
                <w:lang w:val="en-US" w:eastAsia="zh-CN" w:bidi="ar"/>
              </w:rPr>
              <w:t>6</w:t>
            </w:r>
            <w:r>
              <w:rPr>
                <w:rFonts w:hint="eastAsia" w:ascii="仿宋" w:hAnsi="仿宋" w:eastAsia="仿宋" w:cs="仿宋"/>
                <w:color w:val="000000"/>
                <w:kern w:val="0"/>
                <w:sz w:val="24"/>
                <w:szCs w:val="24"/>
                <w:lang w:bidi="ar"/>
              </w:rPr>
              <w:t>分，资源到位率为0%或没有描述的不得分。</w:t>
            </w:r>
          </w:p>
        </w:tc>
      </w:tr>
      <w:tr>
        <w:tblPrEx>
          <w:tblCellMar>
            <w:top w:w="0" w:type="dxa"/>
            <w:left w:w="108" w:type="dxa"/>
            <w:bottom w:w="0" w:type="dxa"/>
            <w:right w:w="108" w:type="dxa"/>
          </w:tblCellMar>
        </w:tblPrEx>
        <w:trPr>
          <w:trHeight w:val="1200"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服务方案 （15分）</w:t>
            </w: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针对服务方案描述科学、合理程度进行比较：</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方案科学性、合理性强的得15分，方案科学性、合理性良好的得10分，方案科学性、合理性一般得5分，其他情况不得分。</w:t>
            </w:r>
          </w:p>
        </w:tc>
      </w:tr>
      <w:tr>
        <w:tblPrEx>
          <w:tblCellMar>
            <w:top w:w="0" w:type="dxa"/>
            <w:left w:w="108" w:type="dxa"/>
            <w:bottom w:w="0" w:type="dxa"/>
            <w:right w:w="108" w:type="dxa"/>
          </w:tblCellMar>
        </w:tblPrEx>
        <w:trPr>
          <w:trHeight w:val="855"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应急处理</w:t>
            </w:r>
            <w:r>
              <w:rPr>
                <w:rFonts w:hint="eastAsia" w:ascii="仿宋" w:hAnsi="仿宋" w:eastAsia="仿宋" w:cs="仿宋"/>
                <w:color w:val="000000"/>
                <w:kern w:val="0"/>
                <w:sz w:val="24"/>
                <w:szCs w:val="24"/>
                <w:lang w:val="en-US" w:eastAsia="zh-CN" w:bidi="ar"/>
              </w:rPr>
              <w:t xml:space="preserve">方案 </w:t>
            </w:r>
            <w:r>
              <w:rPr>
                <w:rFonts w:hint="eastAsia" w:ascii="仿宋" w:hAnsi="仿宋" w:eastAsia="仿宋" w:cs="仿宋"/>
                <w:color w:val="000000"/>
                <w:kern w:val="0"/>
                <w:sz w:val="24"/>
                <w:szCs w:val="24"/>
                <w:lang w:bidi="ar"/>
              </w:rPr>
              <w:t xml:space="preserve">  （5分）</w:t>
            </w: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应急处理方案满足需求、完整合理、针对性强的得5分；基本满足需求的得3分；不够完善的得1分；未提供0分；                                   </w:t>
            </w:r>
          </w:p>
        </w:tc>
      </w:tr>
      <w:tr>
        <w:tblPrEx>
          <w:tblCellMar>
            <w:top w:w="0" w:type="dxa"/>
            <w:left w:w="108" w:type="dxa"/>
            <w:bottom w:w="0" w:type="dxa"/>
            <w:right w:w="108" w:type="dxa"/>
          </w:tblCellMar>
        </w:tblPrEx>
        <w:trPr>
          <w:trHeight w:val="1425"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售后服务</w:t>
            </w:r>
            <w:r>
              <w:rPr>
                <w:rFonts w:hint="eastAsia" w:ascii="仿宋" w:hAnsi="仿宋" w:eastAsia="仿宋" w:cs="仿宋"/>
                <w:color w:val="000000"/>
                <w:kern w:val="0"/>
                <w:sz w:val="24"/>
                <w:szCs w:val="24"/>
                <w:lang w:val="en-US" w:eastAsia="zh-CN" w:bidi="ar"/>
              </w:rPr>
              <w:t>方案</w:t>
            </w:r>
          </w:p>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（5分）</w:t>
            </w: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对售后服务工作的服务质量、准确性、及时性、提供的时间等，做出详细的承诺，障碍修复时限承诺24小时内修复得5分，48小时内修复得3分，72小时内修复得1分，超过72小时修复不得分。  </w:t>
            </w:r>
          </w:p>
        </w:tc>
      </w:tr>
      <w:tr>
        <w:tblPrEx>
          <w:tblCellMar>
            <w:top w:w="0" w:type="dxa"/>
            <w:left w:w="108" w:type="dxa"/>
            <w:bottom w:w="0" w:type="dxa"/>
            <w:right w:w="108" w:type="dxa"/>
          </w:tblCellMar>
        </w:tblPrEx>
        <w:trPr>
          <w:trHeight w:val="855"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工期承诺  （5分）</w:t>
            </w:r>
          </w:p>
        </w:tc>
        <w:tc>
          <w:tcPr>
            <w:tcW w:w="31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根据承诺链路接通工期长短评分，工期长短从低到高一次得5分，3分、2分、1分，没有承诺工期的不得分。</w:t>
            </w:r>
          </w:p>
        </w:tc>
      </w:tr>
    </w:tbl>
    <w:p>
      <w:pPr>
        <w:pStyle w:val="4"/>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.3</w:t>
      </w:r>
      <w:r>
        <w:rPr>
          <w:rFonts w:hint="eastAsia" w:ascii="仿宋" w:hAnsi="仿宋" w:eastAsia="仿宋" w:cs="仿宋"/>
          <w:sz w:val="28"/>
          <w:szCs w:val="28"/>
        </w:rPr>
        <w:t>评标方法</w:t>
      </w:r>
      <w:bookmarkEnd w:id="306"/>
      <w:bookmarkEnd w:id="307"/>
      <w:bookmarkEnd w:id="308"/>
      <w:bookmarkEnd w:id="309"/>
      <w:bookmarkEnd w:id="310"/>
      <w:bookmarkEnd w:id="311"/>
      <w:bookmarkEnd w:id="312"/>
      <w:bookmarkEnd w:id="313"/>
      <w:r>
        <w:rPr>
          <w:rFonts w:hint="eastAsia" w:ascii="仿宋" w:hAnsi="仿宋" w:eastAsia="仿宋" w:cs="仿宋"/>
          <w:sz w:val="28"/>
          <w:szCs w:val="28"/>
        </w:rPr>
        <w:t>：</w:t>
      </w:r>
      <w:r>
        <w:rPr>
          <w:rFonts w:hint="eastAsia" w:ascii="仿宋" w:hAnsi="仿宋" w:eastAsia="仿宋" w:cs="仿宋"/>
          <w:sz w:val="28"/>
          <w:szCs w:val="28"/>
          <w:lang w:eastAsia="zh-Hans"/>
        </w:rPr>
        <w:t>综合评分法</w:t>
      </w:r>
    </w:p>
    <w:p>
      <w:pPr>
        <w:pStyle w:val="4"/>
        <w:adjustRightInd w:val="0"/>
        <w:snapToGrid w:val="0"/>
        <w:spacing w:before="0" w:after="0" w:line="360" w:lineRule="auto"/>
        <w:rPr>
          <w:rFonts w:ascii="仿宋" w:hAnsi="仿宋" w:eastAsia="仿宋" w:cs="仿宋"/>
          <w:sz w:val="28"/>
          <w:szCs w:val="28"/>
        </w:rPr>
      </w:pPr>
      <w:bookmarkStart w:id="314" w:name="_Toc514837917"/>
      <w:bookmarkStart w:id="315" w:name="_Toc152042378"/>
      <w:bookmarkStart w:id="316" w:name="_Toc246996244"/>
      <w:bookmarkStart w:id="317" w:name="_Toc247085759"/>
      <w:bookmarkStart w:id="318" w:name="_Toc152045601"/>
      <w:bookmarkStart w:id="319" w:name="_Toc246996987"/>
      <w:bookmarkStart w:id="320" w:name="_Toc144974568"/>
      <w:bookmarkStart w:id="321" w:name="_Toc179632619"/>
      <w:r>
        <w:rPr>
          <w:rFonts w:hint="eastAsia" w:ascii="仿宋" w:hAnsi="仿宋" w:eastAsia="仿宋" w:cs="仿宋"/>
          <w:sz w:val="28"/>
          <w:szCs w:val="28"/>
        </w:rPr>
        <w:t>3</w:t>
      </w:r>
      <w:r>
        <w:rPr>
          <w:rFonts w:hint="eastAsia" w:ascii="仿宋" w:hAnsi="仿宋" w:eastAsia="仿宋" w:cs="仿宋"/>
          <w:sz w:val="28"/>
          <w:szCs w:val="28"/>
          <w:lang w:eastAsia="zh-Hans"/>
        </w:rPr>
        <w:t>.4</w:t>
      </w:r>
      <w:r>
        <w:rPr>
          <w:rFonts w:hint="eastAsia" w:ascii="仿宋" w:hAnsi="仿宋" w:eastAsia="仿宋" w:cs="仿宋"/>
          <w:sz w:val="28"/>
          <w:szCs w:val="28"/>
        </w:rPr>
        <w:t>评审标准</w:t>
      </w:r>
      <w:bookmarkEnd w:id="314"/>
      <w:bookmarkEnd w:id="315"/>
      <w:bookmarkEnd w:id="316"/>
      <w:bookmarkEnd w:id="317"/>
      <w:bookmarkEnd w:id="318"/>
      <w:bookmarkEnd w:id="319"/>
      <w:bookmarkEnd w:id="320"/>
      <w:bookmarkEnd w:id="321"/>
    </w:p>
    <w:p>
      <w:pPr>
        <w:pStyle w:val="5"/>
        <w:adjustRightInd w:val="0"/>
        <w:snapToGrid w:val="0"/>
        <w:spacing w:before="0" w:after="0" w:line="360" w:lineRule="auto"/>
        <w:rPr>
          <w:rFonts w:ascii="仿宋" w:hAnsi="仿宋" w:eastAsia="仿宋" w:cs="仿宋"/>
          <w:sz w:val="28"/>
          <w:szCs w:val="28"/>
        </w:rPr>
      </w:pPr>
      <w:bookmarkStart w:id="322" w:name="_Toc152042379"/>
      <w:bookmarkStart w:id="323" w:name="_Toc152045602"/>
      <w:bookmarkStart w:id="324" w:name="_Toc514837918"/>
      <w:bookmarkStart w:id="325" w:name="_Toc247085760"/>
      <w:bookmarkStart w:id="326" w:name="_Toc246996988"/>
      <w:bookmarkStart w:id="327" w:name="_Toc246996245"/>
      <w:bookmarkStart w:id="328" w:name="_Toc144974569"/>
      <w:bookmarkStart w:id="329" w:name="_Toc179632620"/>
      <w:r>
        <w:rPr>
          <w:rFonts w:hint="eastAsia" w:ascii="仿宋" w:hAnsi="仿宋" w:eastAsia="仿宋" w:cs="仿宋"/>
          <w:sz w:val="28"/>
          <w:szCs w:val="28"/>
        </w:rPr>
        <w:t>3</w:t>
      </w:r>
      <w:r>
        <w:rPr>
          <w:rFonts w:hint="eastAsia" w:ascii="仿宋" w:hAnsi="仿宋" w:eastAsia="仿宋" w:cs="仿宋"/>
          <w:sz w:val="28"/>
          <w:szCs w:val="28"/>
          <w:lang w:eastAsia="zh-Hans"/>
        </w:rPr>
        <w:t>.4.1</w:t>
      </w:r>
      <w:r>
        <w:rPr>
          <w:rFonts w:hint="eastAsia" w:ascii="仿宋" w:hAnsi="仿宋" w:eastAsia="仿宋" w:cs="仿宋"/>
          <w:sz w:val="28"/>
          <w:szCs w:val="28"/>
        </w:rPr>
        <w:t>初步评审标准</w:t>
      </w:r>
      <w:bookmarkEnd w:id="322"/>
      <w:bookmarkEnd w:id="323"/>
      <w:bookmarkEnd w:id="324"/>
      <w:bookmarkEnd w:id="325"/>
      <w:bookmarkEnd w:id="326"/>
      <w:bookmarkEnd w:id="327"/>
      <w:bookmarkEnd w:id="328"/>
      <w:bookmarkEnd w:id="329"/>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w:t>
      </w:r>
      <w:r>
        <w:rPr>
          <w:rFonts w:hint="eastAsia" w:ascii="仿宋" w:hAnsi="仿宋" w:eastAsia="仿宋" w:cs="仿宋"/>
          <w:sz w:val="28"/>
          <w:szCs w:val="28"/>
          <w:lang w:eastAsia="zh-Hans"/>
        </w:rPr>
        <w:t>审查</w:t>
      </w:r>
      <w:r>
        <w:rPr>
          <w:rFonts w:hint="eastAsia" w:ascii="仿宋" w:hAnsi="仿宋" w:eastAsia="仿宋" w:cs="仿宋"/>
          <w:sz w:val="28"/>
          <w:szCs w:val="28"/>
        </w:rPr>
        <w:t>标准：见评标办法前附表。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符合</w:t>
      </w:r>
      <w:r>
        <w:rPr>
          <w:rFonts w:hint="eastAsia" w:ascii="仿宋" w:hAnsi="仿宋" w:eastAsia="仿宋" w:cs="仿宋"/>
          <w:sz w:val="28"/>
          <w:szCs w:val="28"/>
        </w:rPr>
        <w:t>性评审标准：见评标办法前附表。</w:t>
      </w:r>
    </w:p>
    <w:p>
      <w:pPr>
        <w:pStyle w:val="5"/>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.4.2详细评审标准：详见见本章3.2</w:t>
      </w:r>
    </w:p>
    <w:p>
      <w:pPr>
        <w:pStyle w:val="5"/>
        <w:adjustRightInd w:val="0"/>
        <w:snapToGrid w:val="0"/>
        <w:spacing w:before="0" w:after="0" w:line="360" w:lineRule="auto"/>
        <w:rPr>
          <w:rFonts w:ascii="仿宋" w:hAnsi="仿宋" w:eastAsia="仿宋" w:cs="仿宋"/>
          <w:sz w:val="28"/>
          <w:szCs w:val="28"/>
        </w:rPr>
      </w:pPr>
      <w:bookmarkStart w:id="330" w:name="_Toc514837919"/>
      <w:bookmarkStart w:id="331" w:name="_Toc179632621"/>
      <w:bookmarkStart w:id="332" w:name="_Toc152045603"/>
      <w:bookmarkStart w:id="333" w:name="_Toc246996246"/>
      <w:bookmarkStart w:id="334" w:name="_Toc247085761"/>
      <w:bookmarkStart w:id="335" w:name="_Toc152042380"/>
      <w:bookmarkStart w:id="336" w:name="_Toc144974570"/>
      <w:bookmarkStart w:id="337" w:name="_Toc246996989"/>
      <w:r>
        <w:rPr>
          <w:rFonts w:hint="eastAsia" w:ascii="仿宋" w:hAnsi="仿宋" w:eastAsia="仿宋" w:cs="仿宋"/>
          <w:sz w:val="28"/>
          <w:szCs w:val="28"/>
        </w:rPr>
        <w:t>3</w:t>
      </w:r>
      <w:r>
        <w:rPr>
          <w:rFonts w:hint="eastAsia" w:ascii="仿宋" w:hAnsi="仿宋" w:eastAsia="仿宋" w:cs="仿宋"/>
          <w:sz w:val="28"/>
          <w:szCs w:val="28"/>
          <w:lang w:eastAsia="zh-Hans"/>
        </w:rPr>
        <w:t>.4.3</w:t>
      </w:r>
      <w:r>
        <w:rPr>
          <w:rFonts w:hint="eastAsia" w:ascii="仿宋" w:hAnsi="仿宋" w:eastAsia="仿宋" w:cs="仿宋"/>
          <w:sz w:val="28"/>
          <w:szCs w:val="28"/>
        </w:rPr>
        <w:t>分值构成</w:t>
      </w:r>
      <w:r>
        <w:rPr>
          <w:rFonts w:hint="eastAsia" w:ascii="仿宋" w:hAnsi="仿宋" w:eastAsia="仿宋" w:cs="仿宋"/>
          <w:sz w:val="28"/>
          <w:szCs w:val="28"/>
          <w:lang w:eastAsia="zh-Hans"/>
        </w:rPr>
        <w:t>及</w:t>
      </w:r>
      <w:r>
        <w:rPr>
          <w:rFonts w:hint="eastAsia" w:ascii="仿宋" w:hAnsi="仿宋" w:eastAsia="仿宋" w:cs="仿宋"/>
          <w:sz w:val="28"/>
          <w:szCs w:val="28"/>
        </w:rPr>
        <w:t>评分标准</w:t>
      </w:r>
      <w:bookmarkEnd w:id="330"/>
      <w:bookmarkEnd w:id="331"/>
      <w:bookmarkEnd w:id="332"/>
      <w:bookmarkEnd w:id="333"/>
      <w:bookmarkEnd w:id="334"/>
      <w:bookmarkEnd w:id="335"/>
      <w:bookmarkEnd w:id="336"/>
      <w:bookmarkEnd w:id="337"/>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一）</w:t>
      </w:r>
      <w:r>
        <w:rPr>
          <w:rFonts w:hint="eastAsia" w:ascii="仿宋" w:hAnsi="仿宋" w:eastAsia="仿宋" w:cs="仿宋"/>
          <w:sz w:val="28"/>
          <w:szCs w:val="28"/>
        </w:rPr>
        <w:t>分值构成：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投标报价部分</w:t>
      </w:r>
      <w:r>
        <w:rPr>
          <w:rFonts w:hint="eastAsia" w:ascii="仿宋" w:hAnsi="仿宋" w:eastAsia="仿宋" w:cs="仿宋"/>
          <w:sz w:val="28"/>
          <w:szCs w:val="28"/>
        </w:rPr>
        <w:t>：10</w:t>
      </w:r>
      <w:r>
        <w:rPr>
          <w:rFonts w:hint="eastAsia" w:ascii="仿宋" w:hAnsi="仿宋" w:eastAsia="仿宋" w:cs="仿宋"/>
          <w:sz w:val="28"/>
          <w:szCs w:val="28"/>
          <w:lang w:eastAsia="zh-Hans"/>
        </w:rPr>
        <w:t>分；</w:t>
      </w:r>
    </w:p>
    <w:p>
      <w:pPr>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商务</w:t>
      </w:r>
      <w:r>
        <w:rPr>
          <w:rFonts w:hint="eastAsia" w:ascii="仿宋" w:hAnsi="仿宋" w:eastAsia="仿宋" w:cs="仿宋"/>
          <w:sz w:val="28"/>
          <w:szCs w:val="28"/>
        </w:rPr>
        <w:t>技术部分：90</w:t>
      </w:r>
      <w:r>
        <w:rPr>
          <w:rFonts w:hint="eastAsia" w:ascii="仿宋" w:hAnsi="仿宋" w:eastAsia="仿宋" w:cs="仿宋"/>
          <w:sz w:val="28"/>
          <w:szCs w:val="28"/>
          <w:lang w:eastAsia="zh-Hans"/>
        </w:rPr>
        <w:t>分；</w:t>
      </w:r>
    </w:p>
    <w:p>
      <w:pPr>
        <w:pStyle w:val="10"/>
        <w:adjustRightInd w:val="0"/>
        <w:snapToGrid w:val="0"/>
        <w:spacing w:line="360" w:lineRule="auto"/>
        <w:ind w:left="0" w:firstLine="0" w:firstLineChars="0"/>
        <w:rPr>
          <w:rFonts w:ascii="仿宋" w:hAnsi="仿宋" w:eastAsia="仿宋" w:cs="仿宋"/>
          <w:sz w:val="28"/>
          <w:szCs w:val="28"/>
          <w:lang w:eastAsia="zh-Hans"/>
        </w:rPr>
      </w:pPr>
      <w:r>
        <w:rPr>
          <w:rFonts w:hint="eastAsia" w:ascii="仿宋" w:hAnsi="仿宋" w:eastAsia="仿宋" w:cs="仿宋"/>
          <w:sz w:val="28"/>
          <w:szCs w:val="28"/>
          <w:lang w:eastAsia="zh-Hans"/>
        </w:rPr>
        <w:t>（二）报价评分方法</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lang w:eastAsia="zh-Hans"/>
        </w:rPr>
        <w:t>（1）投标报价得分：</w:t>
      </w:r>
      <w:r>
        <w:rPr>
          <w:rFonts w:hint="eastAsia" w:ascii="仿宋" w:hAnsi="仿宋" w:eastAsia="仿宋" w:cs="仿宋"/>
          <w:color w:val="000000"/>
          <w:sz w:val="28"/>
          <w:szCs w:val="28"/>
        </w:rPr>
        <w:t>采用低价优先法计算，即满足招标文件要求且</w:t>
      </w:r>
      <w:r>
        <w:rPr>
          <w:rFonts w:hint="eastAsia" w:ascii="仿宋" w:hAnsi="仿宋" w:eastAsia="仿宋" w:cs="仿宋"/>
          <w:sz w:val="28"/>
          <w:szCs w:val="28"/>
        </w:rPr>
        <w:t>投标报价最低</w:t>
      </w:r>
      <w:r>
        <w:rPr>
          <w:rFonts w:hint="eastAsia" w:ascii="仿宋" w:hAnsi="仿宋" w:eastAsia="仿宋" w:cs="仿宋"/>
          <w:color w:val="000000"/>
          <w:sz w:val="28"/>
          <w:szCs w:val="28"/>
        </w:rPr>
        <w:t>为评标基准价，其价格得分为满分。其他投标人的价格得分统一按照下列公式计算：价格得分=（投标报价/评标基准价）×10%×100，如此类推，算出所有投标供应商的价格得分。</w:t>
      </w:r>
    </w:p>
    <w:p>
      <w:pPr>
        <w:adjustRightInd w:val="0"/>
        <w:snapToGrid w:val="0"/>
        <w:spacing w:line="360" w:lineRule="auto"/>
        <w:ind w:left="480" w:hanging="560" w:hangingChars="200"/>
        <w:rPr>
          <w:rFonts w:ascii="仿宋" w:hAnsi="仿宋" w:eastAsia="仿宋" w:cs="仿宋"/>
          <w:sz w:val="28"/>
          <w:szCs w:val="28"/>
        </w:rPr>
      </w:pPr>
      <w:r>
        <w:rPr>
          <w:rFonts w:hint="eastAsia" w:ascii="仿宋" w:hAnsi="仿宋" w:eastAsia="仿宋" w:cs="仿宋"/>
          <w:kern w:val="0"/>
          <w:sz w:val="28"/>
          <w:szCs w:val="28"/>
        </w:rPr>
        <w:t>评审优惠内容及价格扣除：</w:t>
      </w:r>
      <w:r>
        <w:rPr>
          <w:rFonts w:hint="eastAsia" w:ascii="仿宋" w:hAnsi="仿宋" w:eastAsia="仿宋" w:cs="仿宋"/>
          <w:kern w:val="0"/>
          <w:sz w:val="28"/>
          <w:szCs w:val="28"/>
        </w:rPr>
        <w:br w:type="textWrapping"/>
      </w:r>
      <w:r>
        <w:rPr>
          <w:rFonts w:hint="eastAsia" w:ascii="仿宋" w:hAnsi="仿宋" w:eastAsia="仿宋" w:cs="仿宋"/>
          <w:sz w:val="28"/>
          <w:szCs w:val="28"/>
        </w:rPr>
        <w:t>本项目将对小型和微型企业（含监狱企业、残疾人福利性单位）产品的价格给予6%的扣除，用扣除后的价格参与评审打分。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若投标人和小微企业产品/服务制造商均符合小微企业条件，并且提供了《中小企业声明函》及加盖单位公章的声明函附件（须说明投标人和产品制造商的从业人员、营业收入、资产总额等相关情况）的，则其评标价格=投标人报价中属于小型和微型企业产品的价格部分×（100%-6%）+投标人报价中不属于小型和微型企业产品的价格部分；否则，其评标价=投标报价。</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提供相同品牌产品且通过资格审查、符合性审查的不同投标人参加同一合同项下投标的，按一家投标人计算，评审后得分最高的同品牌投标人获得中标人推荐资格；</w:t>
      </w:r>
    </w:p>
    <w:p>
      <w:pPr>
        <w:pStyle w:val="10"/>
        <w:numPr>
          <w:ilvl w:val="0"/>
          <w:numId w:val="4"/>
        </w:numPr>
        <w:adjustRightInd w:val="0"/>
        <w:snapToGrid w:val="0"/>
        <w:spacing w:line="360" w:lineRule="auto"/>
        <w:ind w:left="0" w:firstLine="240"/>
        <w:rPr>
          <w:rFonts w:ascii="仿宋" w:hAnsi="仿宋" w:eastAsia="仿宋" w:cs="仿宋"/>
          <w:sz w:val="28"/>
          <w:szCs w:val="28"/>
          <w:lang w:eastAsia="zh-Hans"/>
        </w:rPr>
      </w:pPr>
      <w:r>
        <w:rPr>
          <w:rFonts w:hint="eastAsia" w:ascii="仿宋" w:hAnsi="仿宋" w:eastAsia="仿宋" w:cs="仿宋"/>
          <w:sz w:val="28"/>
          <w:szCs w:val="28"/>
          <w:lang w:eastAsia="zh-Hans"/>
        </w:rPr>
        <w:t>商务技术得分：按商务技术评分标准打分。</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说明：评委对各投标人商务、技术内容量化打分时，合计最高得分与最低得分相差20%以上时，应当做出合理的解释说明，否则不予计分。</w:t>
      </w:r>
    </w:p>
    <w:p>
      <w:pPr>
        <w:pStyle w:val="5"/>
        <w:adjustRightInd w:val="0"/>
        <w:snapToGrid w:val="0"/>
        <w:spacing w:before="0" w:after="0" w:line="360" w:lineRule="auto"/>
        <w:rPr>
          <w:rFonts w:ascii="仿宋" w:hAnsi="仿宋" w:eastAsia="仿宋" w:cs="仿宋"/>
          <w:sz w:val="28"/>
          <w:szCs w:val="28"/>
        </w:rPr>
      </w:pPr>
      <w:bookmarkStart w:id="338" w:name="_Toc179632622"/>
      <w:bookmarkStart w:id="339" w:name="_Toc144974571"/>
      <w:bookmarkStart w:id="340" w:name="_Toc152045604"/>
      <w:bookmarkStart w:id="341" w:name="_Toc514837920"/>
      <w:bookmarkStart w:id="342" w:name="_Toc246996990"/>
      <w:bookmarkStart w:id="343" w:name="_Toc246996247"/>
      <w:bookmarkStart w:id="344" w:name="_Toc152042381"/>
      <w:bookmarkStart w:id="345" w:name="_Toc247085762"/>
      <w:r>
        <w:rPr>
          <w:rFonts w:hint="eastAsia" w:ascii="仿宋" w:hAnsi="仿宋" w:eastAsia="仿宋" w:cs="仿宋"/>
          <w:sz w:val="28"/>
          <w:szCs w:val="28"/>
        </w:rPr>
        <w:t>3</w:t>
      </w:r>
      <w:r>
        <w:rPr>
          <w:rFonts w:hint="eastAsia" w:ascii="仿宋" w:hAnsi="仿宋" w:eastAsia="仿宋" w:cs="仿宋"/>
          <w:sz w:val="28"/>
          <w:szCs w:val="28"/>
          <w:lang w:eastAsia="zh-Hans"/>
        </w:rPr>
        <w:t>.5</w:t>
      </w:r>
      <w:r>
        <w:rPr>
          <w:rFonts w:hint="eastAsia" w:ascii="仿宋" w:hAnsi="仿宋" w:eastAsia="仿宋" w:cs="仿宋"/>
          <w:sz w:val="28"/>
          <w:szCs w:val="28"/>
        </w:rPr>
        <w:t>评标程序</w:t>
      </w:r>
      <w:bookmarkEnd w:id="338"/>
      <w:bookmarkEnd w:id="339"/>
      <w:bookmarkEnd w:id="340"/>
      <w:bookmarkEnd w:id="341"/>
      <w:bookmarkEnd w:id="342"/>
      <w:bookmarkEnd w:id="343"/>
      <w:bookmarkEnd w:id="344"/>
      <w:bookmarkEnd w:id="345"/>
    </w:p>
    <w:p>
      <w:pPr>
        <w:pStyle w:val="5"/>
        <w:adjustRightInd w:val="0"/>
        <w:snapToGrid w:val="0"/>
        <w:spacing w:before="0" w:after="0" w:line="360" w:lineRule="auto"/>
        <w:rPr>
          <w:rFonts w:ascii="仿宋" w:hAnsi="仿宋" w:eastAsia="仿宋" w:cs="仿宋"/>
          <w:sz w:val="28"/>
          <w:szCs w:val="28"/>
        </w:rPr>
      </w:pPr>
      <w:bookmarkStart w:id="346" w:name="_Toc152042382"/>
      <w:bookmarkStart w:id="347" w:name="_Toc152045605"/>
      <w:bookmarkStart w:id="348" w:name="_Toc144974572"/>
      <w:bookmarkStart w:id="349" w:name="_Toc514837921"/>
      <w:bookmarkStart w:id="350" w:name="_Toc246996991"/>
      <w:bookmarkStart w:id="351" w:name="_Toc179632623"/>
      <w:bookmarkStart w:id="352" w:name="_Toc246996248"/>
      <w:bookmarkStart w:id="353" w:name="_Toc247085763"/>
      <w:r>
        <w:rPr>
          <w:rFonts w:hint="eastAsia" w:ascii="仿宋" w:hAnsi="仿宋" w:eastAsia="仿宋" w:cs="仿宋"/>
          <w:sz w:val="28"/>
          <w:szCs w:val="28"/>
        </w:rPr>
        <w:t>3</w:t>
      </w:r>
      <w:r>
        <w:rPr>
          <w:rFonts w:hint="eastAsia" w:ascii="仿宋" w:hAnsi="仿宋" w:eastAsia="仿宋" w:cs="仿宋"/>
          <w:sz w:val="28"/>
          <w:szCs w:val="28"/>
          <w:lang w:eastAsia="zh-Hans"/>
        </w:rPr>
        <w:t>.5.1</w:t>
      </w:r>
      <w:r>
        <w:rPr>
          <w:rFonts w:hint="eastAsia" w:ascii="仿宋" w:hAnsi="仿宋" w:eastAsia="仿宋" w:cs="仿宋"/>
          <w:sz w:val="28"/>
          <w:szCs w:val="28"/>
        </w:rPr>
        <w:t xml:space="preserve"> 初步评审</w:t>
      </w:r>
      <w:bookmarkEnd w:id="346"/>
      <w:bookmarkEnd w:id="347"/>
      <w:bookmarkEnd w:id="348"/>
      <w:bookmarkEnd w:id="349"/>
      <w:bookmarkEnd w:id="350"/>
      <w:bookmarkEnd w:id="351"/>
      <w:bookmarkEnd w:id="352"/>
      <w:bookmarkEnd w:id="353"/>
    </w:p>
    <w:p>
      <w:pPr>
        <w:adjustRightInd w:val="0"/>
        <w:snapToGrid w:val="0"/>
        <w:spacing w:line="360" w:lineRule="auto"/>
        <w:rPr>
          <w:rFonts w:ascii="仿宋" w:hAnsi="仿宋" w:eastAsia="仿宋" w:cs="仿宋"/>
          <w:color w:val="000000"/>
          <w:sz w:val="28"/>
          <w:szCs w:val="28"/>
        </w:rPr>
      </w:pPr>
      <w:bookmarkStart w:id="354" w:name="_Toc246996249"/>
      <w:bookmarkStart w:id="355" w:name="_Toc144974573"/>
      <w:bookmarkStart w:id="356" w:name="_Toc514837922"/>
      <w:bookmarkStart w:id="357" w:name="_Toc247085764"/>
      <w:bookmarkStart w:id="358" w:name="_Toc152042384"/>
      <w:bookmarkStart w:id="359" w:name="_Toc152045606"/>
      <w:bookmarkStart w:id="360" w:name="_Toc246996992"/>
      <w:bookmarkStart w:id="361" w:name="_Toc179632624"/>
      <w:r>
        <w:rPr>
          <w:rFonts w:hint="eastAsia" w:ascii="仿宋" w:hAnsi="仿宋" w:eastAsia="仿宋" w:cs="仿宋"/>
          <w:b/>
          <w:bCs/>
          <w:color w:val="000000"/>
          <w:sz w:val="28"/>
          <w:szCs w:val="28"/>
          <w:lang w:eastAsia="zh-Hans"/>
        </w:rPr>
        <w:t>评标委员会在</w:t>
      </w:r>
      <w:r>
        <w:rPr>
          <w:rFonts w:hint="eastAsia" w:ascii="仿宋" w:hAnsi="仿宋" w:eastAsia="仿宋" w:cs="仿宋"/>
          <w:b/>
          <w:bCs/>
          <w:color w:val="000000"/>
          <w:sz w:val="28"/>
          <w:szCs w:val="28"/>
        </w:rPr>
        <w:t>有关行政监督部门的工作人员将对投标人进行资格审查，投标人须单独提供以下资料，</w:t>
      </w:r>
      <w:r>
        <w:rPr>
          <w:rFonts w:hint="eastAsia" w:ascii="仿宋" w:hAnsi="仿宋" w:eastAsia="仿宋" w:cs="仿宋"/>
          <w:b/>
          <w:bCs/>
          <w:color w:val="000000"/>
          <w:sz w:val="28"/>
          <w:szCs w:val="28"/>
          <w:u w:val="single"/>
        </w:rPr>
        <w:t>如缺项将导致</w:t>
      </w:r>
      <w:r>
        <w:rPr>
          <w:rFonts w:hint="eastAsia" w:ascii="仿宋" w:hAnsi="仿宋" w:eastAsia="仿宋" w:cs="仿宋"/>
          <w:b/>
          <w:bCs/>
          <w:color w:val="000000"/>
          <w:sz w:val="28"/>
          <w:szCs w:val="28"/>
          <w:u w:val="single"/>
          <w:lang w:eastAsia="zh-Hans"/>
        </w:rPr>
        <w:t>投标无效</w:t>
      </w:r>
      <w:r>
        <w:rPr>
          <w:rFonts w:hint="eastAsia" w:ascii="仿宋" w:hAnsi="仿宋" w:eastAsia="仿宋" w:cs="仿宋"/>
          <w:b/>
          <w:bCs/>
          <w:color w:val="000000"/>
          <w:sz w:val="28"/>
          <w:szCs w:val="28"/>
        </w:rPr>
        <w:t>。</w:t>
      </w:r>
    </w:p>
    <w:p>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资格审查含：</w:t>
      </w:r>
    </w:p>
    <w:p>
      <w:pPr>
        <w:adjustRightInd w:val="0"/>
        <w:snapToGrid w:val="0"/>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rPr>
        <w:t>投标人应出具有效的“一证一码”或“三证合一”的营业执照副本原件；</w:t>
      </w:r>
    </w:p>
    <w:p>
      <w:pPr>
        <w:adjustRightInd w:val="0"/>
        <w:snapToGrid w:val="0"/>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法定代表人参加投标的，应提供法定代表人居民身份证原件；法定代表人授权人参加投标的，应提供法定代表人授权书及被授权人居民身份证原件；</w:t>
      </w:r>
    </w:p>
    <w:p>
      <w:pPr>
        <w:adjustRightInd w:val="0"/>
        <w:snapToGrid w:val="0"/>
        <w:spacing w:line="360" w:lineRule="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投标人出具通过“信用中国”网站（www.creditchina.gov.cn）和中国政府采购网（www.ccgp.gov.cn）渠道查询的本单位信用记录的网页，并加盖投标单位公章</w:t>
      </w:r>
      <w:r>
        <w:rPr>
          <w:rFonts w:hint="eastAsia" w:ascii="仿宋" w:hAnsi="仿宋" w:eastAsia="仿宋" w:cs="仿宋"/>
          <w:b/>
          <w:bCs/>
          <w:color w:val="000000"/>
          <w:sz w:val="28"/>
          <w:szCs w:val="28"/>
          <w:lang w:eastAsia="zh-CN"/>
        </w:rPr>
        <w:t>；</w:t>
      </w:r>
    </w:p>
    <w:p>
      <w:pPr>
        <w:adjustRightInd w:val="0"/>
        <w:snapToGrid w:val="0"/>
        <w:spacing w:line="360" w:lineRule="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、提供社会保险登记证原件或社保机构出具的社保缴纳证明并加盖投标单位公章（近三个月至今任意一月，当月新成立公司不需提供）；</w:t>
      </w:r>
    </w:p>
    <w:p>
      <w:pPr>
        <w:adjustRightInd w:val="0"/>
        <w:snapToGrid w:val="0"/>
        <w:spacing w:line="360" w:lineRule="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5</w:t>
      </w:r>
      <w:r>
        <w:rPr>
          <w:rFonts w:hint="eastAsia" w:ascii="仿宋" w:hAnsi="仿宋" w:eastAsia="仿宋" w:cs="仿宋"/>
          <w:b/>
          <w:bCs/>
          <w:color w:val="000000"/>
          <w:sz w:val="28"/>
          <w:szCs w:val="28"/>
        </w:rPr>
        <w:t>、提供2020年度财务审计报告的扫描件加盖公章</w:t>
      </w:r>
      <w:r>
        <w:rPr>
          <w:rFonts w:hint="eastAsia" w:ascii="仿宋" w:hAnsi="仿宋" w:eastAsia="仿宋" w:cs="仿宋"/>
          <w:b/>
          <w:bCs/>
          <w:color w:val="000000"/>
          <w:sz w:val="28"/>
          <w:szCs w:val="28"/>
          <w:lang w:eastAsia="zh-CN"/>
        </w:rPr>
        <w:t>。</w:t>
      </w:r>
    </w:p>
    <w:p>
      <w:pPr>
        <w:adjustRightInd w:val="0"/>
        <w:snapToGrid w:val="0"/>
        <w:spacing w:line="360" w:lineRule="auto"/>
        <w:ind w:left="600" w:hanging="700" w:hangingChars="250"/>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.5.2</w:t>
      </w:r>
      <w:r>
        <w:rPr>
          <w:rFonts w:hint="eastAsia" w:ascii="仿宋" w:hAnsi="仿宋" w:eastAsia="仿宋" w:cs="仿宋"/>
          <w:color w:val="000000"/>
          <w:sz w:val="28"/>
          <w:szCs w:val="28"/>
        </w:rPr>
        <w:t>本次招标按招标文件中投标规定的时间地点进行开标，将投标</w:t>
      </w:r>
      <w:r>
        <w:rPr>
          <w:rFonts w:hint="eastAsia" w:ascii="仿宋" w:hAnsi="仿宋" w:eastAsia="仿宋" w:cs="仿宋"/>
          <w:color w:val="000000"/>
          <w:sz w:val="28"/>
          <w:szCs w:val="28"/>
          <w:lang w:eastAsia="zh-Hans"/>
        </w:rPr>
        <w:t>人</w:t>
      </w:r>
      <w:r>
        <w:rPr>
          <w:rFonts w:hint="eastAsia" w:ascii="仿宋" w:hAnsi="仿宋" w:eastAsia="仿宋" w:cs="仿宋"/>
          <w:color w:val="000000"/>
          <w:sz w:val="28"/>
          <w:szCs w:val="28"/>
        </w:rPr>
        <w:t>的法定代表人或其授权委托人准时参加开标会。</w:t>
      </w:r>
    </w:p>
    <w:p>
      <w:pPr>
        <w:adjustRightInd w:val="0"/>
        <w:snapToGrid w:val="0"/>
        <w:spacing w:line="360" w:lineRule="auto"/>
        <w:ind w:left="600" w:hanging="700" w:hangingChars="250"/>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.5.3</w:t>
      </w:r>
      <w:r>
        <w:rPr>
          <w:rFonts w:hint="eastAsia" w:ascii="仿宋" w:hAnsi="仿宋" w:eastAsia="仿宋" w:cs="仿宋"/>
          <w:color w:val="000000"/>
          <w:sz w:val="28"/>
          <w:szCs w:val="28"/>
        </w:rPr>
        <w:t>宣开标和唱标的顺序，按照递交投标文件的先后顺序依次进行。</w:t>
      </w:r>
    </w:p>
    <w:p>
      <w:pPr>
        <w:adjustRightInd w:val="0"/>
        <w:snapToGrid w:val="0"/>
        <w:spacing w:line="360" w:lineRule="auto"/>
        <w:ind w:left="600" w:hanging="700" w:hangingChars="250"/>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.5.4</w:t>
      </w:r>
      <w:r>
        <w:rPr>
          <w:rFonts w:hint="eastAsia" w:ascii="仿宋" w:hAnsi="仿宋" w:eastAsia="仿宋" w:cs="仿宋"/>
          <w:color w:val="000000"/>
          <w:sz w:val="28"/>
          <w:szCs w:val="28"/>
        </w:rPr>
        <w:t>检查投标文件的密封情况，确认无误后拆封，按开标顺序当众唱</w:t>
      </w:r>
    </w:p>
    <w:p>
      <w:pPr>
        <w:adjustRightInd w:val="0"/>
        <w:snapToGrid w:val="0"/>
        <w:spacing w:line="360" w:lineRule="auto"/>
        <w:ind w:left="600" w:hanging="700" w:hangingChars="250"/>
        <w:rPr>
          <w:rFonts w:hint="eastAsia" w:ascii="仿宋" w:hAnsi="仿宋" w:eastAsia="仿宋" w:cs="仿宋"/>
          <w:color w:val="000000"/>
          <w:sz w:val="28"/>
          <w:szCs w:val="28"/>
        </w:rPr>
      </w:pPr>
      <w:r>
        <w:rPr>
          <w:rFonts w:hint="eastAsia" w:ascii="仿宋" w:hAnsi="仿宋" w:eastAsia="仿宋" w:cs="仿宋"/>
          <w:color w:val="000000"/>
          <w:sz w:val="28"/>
          <w:szCs w:val="28"/>
        </w:rPr>
        <w:t>标，唱标以投标人提交的“开标一览表”的内容为准，并对唱标内容</w:t>
      </w:r>
    </w:p>
    <w:p>
      <w:pPr>
        <w:adjustRightInd w:val="0"/>
        <w:snapToGrid w:val="0"/>
        <w:spacing w:line="360" w:lineRule="auto"/>
        <w:ind w:left="600" w:hanging="700" w:hangingChars="250"/>
        <w:rPr>
          <w:rFonts w:ascii="仿宋" w:hAnsi="仿宋" w:eastAsia="仿宋" w:cs="仿宋"/>
          <w:color w:val="000000"/>
          <w:sz w:val="28"/>
          <w:szCs w:val="28"/>
        </w:rPr>
      </w:pPr>
      <w:r>
        <w:rPr>
          <w:rFonts w:hint="eastAsia" w:ascii="仿宋" w:hAnsi="仿宋" w:eastAsia="仿宋" w:cs="仿宋"/>
          <w:color w:val="000000"/>
          <w:sz w:val="28"/>
          <w:szCs w:val="28"/>
        </w:rPr>
        <w:t>作以记录。</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.5.5</w:t>
      </w:r>
      <w:r>
        <w:rPr>
          <w:rFonts w:hint="eastAsia" w:ascii="仿宋" w:hAnsi="仿宋" w:eastAsia="仿宋" w:cs="仿宋"/>
          <w:color w:val="000000"/>
          <w:sz w:val="28"/>
          <w:szCs w:val="28"/>
        </w:rPr>
        <w:t>评标原则在开标会议上宣布。</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.5.6</w:t>
      </w:r>
      <w:r>
        <w:rPr>
          <w:rFonts w:hint="eastAsia" w:ascii="仿宋" w:hAnsi="仿宋" w:eastAsia="仿宋" w:cs="仿宋"/>
          <w:color w:val="000000"/>
          <w:sz w:val="28"/>
          <w:szCs w:val="28"/>
        </w:rPr>
        <w:t xml:space="preserve"> 对招标人的纪律要求</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招标人不得泄露招标投标活动中应当保密的情况和资料，不得与投标人串通损害国家利益、社会公共利益或者他人合法权益。</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.5.7</w:t>
      </w:r>
      <w:r>
        <w:rPr>
          <w:rFonts w:hint="eastAsia" w:ascii="仿宋" w:hAnsi="仿宋" w:eastAsia="仿宋" w:cs="仿宋"/>
          <w:color w:val="000000"/>
          <w:sz w:val="28"/>
          <w:szCs w:val="28"/>
        </w:rPr>
        <w:t>对投标人的纪律要求</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投标人不得互相串通投标或者与招标人串通投标，不得向招标人或者评标委员会成员行贿谋取中标，不得以他人名义投标或者以其他方式弄虚作假骗取中标；投标人不得以任何方式干扰、影响评标工作。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auto"/>
        <w:ind w:left="720" w:hanging="840" w:hangingChars="300"/>
        <w:rPr>
          <w:rFonts w:hint="eastAsia" w:ascii="仿宋" w:hAnsi="仿宋" w:eastAsia="仿宋" w:cs="仿宋"/>
          <w:color w:val="000000"/>
          <w:sz w:val="28"/>
          <w:szCs w:val="28"/>
        </w:rPr>
      </w:pPr>
      <w:r>
        <w:rPr>
          <w:rFonts w:hint="eastAsia" w:ascii="仿宋" w:hAnsi="仿宋" w:eastAsia="仿宋" w:cs="仿宋"/>
          <w:color w:val="000000"/>
          <w:sz w:val="28"/>
          <w:szCs w:val="28"/>
        </w:rPr>
        <w:t>在评标过程中，评标委员会发现有下列情形之一的，视为投标人串通</w:t>
      </w:r>
    </w:p>
    <w:p>
      <w:pPr>
        <w:adjustRightInd w:val="0"/>
        <w:snapToGrid w:val="0"/>
        <w:spacing w:line="360" w:lineRule="auto"/>
        <w:ind w:left="720" w:hanging="840" w:hangingChars="300"/>
        <w:rPr>
          <w:rFonts w:ascii="仿宋" w:hAnsi="仿宋" w:eastAsia="仿宋" w:cs="仿宋"/>
          <w:color w:val="000000"/>
          <w:sz w:val="28"/>
          <w:szCs w:val="28"/>
        </w:rPr>
      </w:pPr>
      <w:r>
        <w:rPr>
          <w:rFonts w:hint="eastAsia" w:ascii="仿宋" w:hAnsi="仿宋" w:eastAsia="仿宋" w:cs="仿宋"/>
          <w:color w:val="000000"/>
          <w:sz w:val="28"/>
          <w:szCs w:val="28"/>
        </w:rPr>
        <w:t>投标，其投标无效：</w:t>
      </w:r>
    </w:p>
    <w:p>
      <w:pPr>
        <w:adjustRightInd w:val="0"/>
        <w:snapToGrid w:val="0"/>
        <w:spacing w:line="360" w:lineRule="auto"/>
        <w:ind w:left="720" w:hanging="840" w:hangingChars="300"/>
        <w:rPr>
          <w:rFonts w:ascii="仿宋" w:hAnsi="仿宋" w:eastAsia="仿宋" w:cs="仿宋"/>
          <w:color w:val="000000"/>
          <w:sz w:val="28"/>
          <w:szCs w:val="28"/>
        </w:rPr>
      </w:pPr>
      <w:r>
        <w:rPr>
          <w:rFonts w:hint="eastAsia" w:ascii="仿宋" w:hAnsi="仿宋" w:eastAsia="仿宋" w:cs="仿宋"/>
          <w:color w:val="000000"/>
          <w:sz w:val="28"/>
          <w:szCs w:val="28"/>
        </w:rPr>
        <w:t>（1）不同投标人的投标文件由同一单位或者个人编制；</w:t>
      </w:r>
    </w:p>
    <w:p>
      <w:pPr>
        <w:adjustRightInd w:val="0"/>
        <w:snapToGrid w:val="0"/>
        <w:spacing w:line="360" w:lineRule="auto"/>
        <w:ind w:left="720" w:hanging="840" w:hangingChars="300"/>
        <w:rPr>
          <w:rFonts w:ascii="仿宋" w:hAnsi="仿宋" w:eastAsia="仿宋" w:cs="仿宋"/>
          <w:color w:val="000000"/>
          <w:sz w:val="28"/>
          <w:szCs w:val="28"/>
        </w:rPr>
      </w:pPr>
      <w:r>
        <w:rPr>
          <w:rFonts w:hint="eastAsia" w:ascii="仿宋" w:hAnsi="仿宋" w:eastAsia="仿宋" w:cs="仿宋"/>
          <w:color w:val="000000"/>
          <w:sz w:val="28"/>
          <w:szCs w:val="28"/>
        </w:rPr>
        <w:t>（2）不同投标人委托同一单位或者个人办理投标事宜；</w:t>
      </w:r>
    </w:p>
    <w:p>
      <w:pPr>
        <w:adjustRightInd w:val="0"/>
        <w:snapToGrid w:val="0"/>
        <w:spacing w:line="360" w:lineRule="auto"/>
        <w:ind w:left="720" w:hanging="840" w:hangingChars="300"/>
        <w:rPr>
          <w:rFonts w:ascii="仿宋" w:hAnsi="仿宋" w:eastAsia="仿宋" w:cs="仿宋"/>
          <w:color w:val="000000"/>
          <w:sz w:val="28"/>
          <w:szCs w:val="28"/>
        </w:rPr>
      </w:pPr>
      <w:r>
        <w:rPr>
          <w:rFonts w:hint="eastAsia" w:ascii="仿宋" w:hAnsi="仿宋" w:eastAsia="仿宋" w:cs="仿宋"/>
          <w:color w:val="000000"/>
          <w:sz w:val="28"/>
          <w:szCs w:val="28"/>
        </w:rPr>
        <w:t>（3）不同投标人的投标文件载明的项目管理成员或者联系人员为同一人；</w:t>
      </w:r>
    </w:p>
    <w:p>
      <w:pPr>
        <w:adjustRightInd w:val="0"/>
        <w:snapToGrid w:val="0"/>
        <w:spacing w:line="360" w:lineRule="auto"/>
        <w:ind w:left="720" w:hanging="840" w:hangingChars="300"/>
        <w:rPr>
          <w:rFonts w:ascii="仿宋" w:hAnsi="仿宋" w:eastAsia="仿宋" w:cs="仿宋"/>
          <w:color w:val="000000"/>
          <w:sz w:val="28"/>
          <w:szCs w:val="28"/>
        </w:rPr>
      </w:pPr>
      <w:r>
        <w:rPr>
          <w:rFonts w:hint="eastAsia" w:ascii="仿宋" w:hAnsi="仿宋" w:eastAsia="仿宋" w:cs="仿宋"/>
          <w:color w:val="000000"/>
          <w:sz w:val="28"/>
          <w:szCs w:val="28"/>
        </w:rPr>
        <w:t>（4）不同投标人的投标文件异常一致或者投标报价呈规律性差异；</w:t>
      </w:r>
    </w:p>
    <w:p>
      <w:pPr>
        <w:adjustRightInd w:val="0"/>
        <w:snapToGrid w:val="0"/>
        <w:spacing w:line="360" w:lineRule="auto"/>
        <w:ind w:left="720" w:hanging="840" w:hangingChars="300"/>
        <w:rPr>
          <w:rFonts w:ascii="仿宋" w:hAnsi="仿宋" w:eastAsia="仿宋" w:cs="仿宋"/>
          <w:color w:val="000000"/>
          <w:sz w:val="28"/>
          <w:szCs w:val="28"/>
        </w:rPr>
      </w:pPr>
      <w:r>
        <w:rPr>
          <w:rFonts w:hint="eastAsia" w:ascii="仿宋" w:hAnsi="仿宋" w:eastAsia="仿宋" w:cs="仿宋"/>
          <w:color w:val="000000"/>
          <w:sz w:val="28"/>
          <w:szCs w:val="28"/>
        </w:rPr>
        <w:t>（5）不同投标人的投标文件相互混装；</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（6）不同投标人的投标保证金从同一单位或者个人的账户转出。</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.5.8</w:t>
      </w:r>
      <w:r>
        <w:rPr>
          <w:rFonts w:hint="eastAsia" w:ascii="仿宋" w:hAnsi="仿宋" w:eastAsia="仿宋" w:cs="仿宋"/>
          <w:color w:val="000000"/>
          <w:sz w:val="28"/>
          <w:szCs w:val="28"/>
        </w:rPr>
        <w:t xml:space="preserve"> 对与评标活动有关的工作人员的纪律要求</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与评标活动有关的工作人员不得收受他人的财物或者好处，不得向其他人透露对投标文件的评审和比较、中标候选人的推荐情况及评标有关其他情况。在评标活动中，与评标活动有关的工作人员不得擅离职守，影响评标程序正常进行。</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.5.9</w:t>
      </w:r>
      <w:r>
        <w:rPr>
          <w:rFonts w:hint="eastAsia" w:ascii="仿宋" w:hAnsi="仿宋" w:eastAsia="仿宋" w:cs="仿宋"/>
          <w:color w:val="000000"/>
          <w:sz w:val="28"/>
          <w:szCs w:val="28"/>
        </w:rPr>
        <w:t>对评标委员会成员要求评标纪律</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.5.10</w:t>
      </w:r>
      <w:r>
        <w:rPr>
          <w:rFonts w:hint="eastAsia" w:ascii="仿宋" w:hAnsi="仿宋" w:eastAsia="仿宋" w:cs="仿宋"/>
          <w:color w:val="000000"/>
          <w:sz w:val="28"/>
          <w:szCs w:val="28"/>
        </w:rPr>
        <w:t>评委会应当依照有关法律法规的规定，按照招标文件确定的评标标准和办法客观、公正的对投标文件提出评审意见。招标文件设有规定的评标标准和方法不得作为评标依据。</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.5.11</w:t>
      </w:r>
      <w:r>
        <w:rPr>
          <w:rFonts w:hint="eastAsia" w:ascii="仿宋" w:hAnsi="仿宋" w:eastAsia="仿宋" w:cs="仿宋"/>
          <w:color w:val="000000"/>
          <w:sz w:val="28"/>
          <w:szCs w:val="28"/>
        </w:rPr>
        <w:t>评标委员会成员不得私下接触投标人，不得收受投标人给予的财务或者其他好处，不得向招标人征询确定中标人意向。</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.5.12</w:t>
      </w:r>
      <w:r>
        <w:rPr>
          <w:rFonts w:hint="eastAsia" w:ascii="仿宋" w:hAnsi="仿宋" w:eastAsia="仿宋" w:cs="仿宋"/>
          <w:color w:val="000000"/>
          <w:sz w:val="28"/>
          <w:szCs w:val="28"/>
        </w:rPr>
        <w:t>不得接受任何单位或个人明示或暗示提出的倾向或排斥特定投标人的要求。</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.5.13</w:t>
      </w:r>
      <w:r>
        <w:rPr>
          <w:rFonts w:hint="eastAsia" w:ascii="仿宋" w:hAnsi="仿宋" w:eastAsia="仿宋" w:cs="仿宋"/>
          <w:color w:val="000000"/>
          <w:sz w:val="28"/>
          <w:szCs w:val="28"/>
        </w:rPr>
        <w:t>不得有其他不客观，不公正履行职务的行为。</w:t>
      </w:r>
    </w:p>
    <w:p>
      <w:pPr>
        <w:pStyle w:val="5"/>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.6</w:t>
      </w:r>
      <w:r>
        <w:rPr>
          <w:rFonts w:hint="eastAsia" w:ascii="仿宋" w:hAnsi="仿宋" w:eastAsia="仿宋" w:cs="仿宋"/>
          <w:sz w:val="28"/>
          <w:szCs w:val="28"/>
        </w:rPr>
        <w:t>评标过程</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.6.1</w:t>
      </w:r>
      <w:r>
        <w:rPr>
          <w:rFonts w:hint="eastAsia" w:ascii="仿宋" w:hAnsi="仿宋" w:eastAsia="仿宋" w:cs="仿宋"/>
          <w:color w:val="000000"/>
          <w:sz w:val="28"/>
          <w:szCs w:val="28"/>
        </w:rPr>
        <w:t>评标的依据为招标文件和投标文件。</w:t>
      </w:r>
    </w:p>
    <w:p>
      <w:pPr>
        <w:tabs>
          <w:tab w:val="left" w:pos="1434"/>
        </w:tabs>
        <w:adjustRightInd w:val="0"/>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.6.2</w:t>
      </w:r>
      <w:r>
        <w:rPr>
          <w:rFonts w:hint="eastAsia" w:ascii="仿宋" w:hAnsi="仿宋" w:eastAsia="仿宋" w:cs="仿宋"/>
          <w:color w:val="000000"/>
          <w:sz w:val="28"/>
          <w:szCs w:val="28"/>
        </w:rPr>
        <w:t>开标后评委会将组织审查投标文件是否完整，是否有计算错误，要求的保证金是否提供，文件是否恰当地签署。</w:t>
      </w:r>
    </w:p>
    <w:p>
      <w:pPr>
        <w:adjustRightInd w:val="0"/>
        <w:snapToGrid w:val="0"/>
        <w:spacing w:line="360" w:lineRule="auto"/>
        <w:ind w:left="600" w:hanging="700" w:hangingChars="250"/>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Hans"/>
        </w:rPr>
        <w:t>.6.3</w:t>
      </w:r>
      <w:r>
        <w:rPr>
          <w:rFonts w:hint="eastAsia" w:ascii="仿宋" w:hAnsi="仿宋" w:eastAsia="仿宋" w:cs="仿宋"/>
          <w:color w:val="000000"/>
          <w:sz w:val="28"/>
          <w:szCs w:val="28"/>
        </w:rPr>
        <w:t xml:space="preserve"> 在对投标文件进行详细评估之前，评委会将对投标人提供的投标文件的符</w:t>
      </w:r>
    </w:p>
    <w:p>
      <w:pPr>
        <w:adjustRightInd w:val="0"/>
        <w:snapToGrid w:val="0"/>
        <w:spacing w:line="360" w:lineRule="auto"/>
        <w:ind w:left="600" w:hanging="700" w:hangingChars="250"/>
        <w:rPr>
          <w:rFonts w:ascii="仿宋" w:hAnsi="仿宋" w:eastAsia="仿宋" w:cs="仿宋"/>
          <w:color w:val="000000"/>
          <w:sz w:val="28"/>
          <w:szCs w:val="28"/>
        </w:rPr>
      </w:pPr>
      <w:r>
        <w:rPr>
          <w:rFonts w:hint="eastAsia" w:ascii="仿宋" w:hAnsi="仿宋" w:eastAsia="仿宋" w:cs="仿宋"/>
          <w:color w:val="000000"/>
          <w:sz w:val="28"/>
          <w:szCs w:val="28"/>
        </w:rPr>
        <w:t>合性进行审查。如果投标人符合性审查未通过，其投标将被拒绝。符合性审查内</w:t>
      </w:r>
    </w:p>
    <w:p>
      <w:pPr>
        <w:adjustRightInd w:val="0"/>
        <w:snapToGrid w:val="0"/>
        <w:spacing w:line="360" w:lineRule="auto"/>
        <w:ind w:left="600" w:hanging="700" w:hangingChars="250"/>
        <w:rPr>
          <w:rFonts w:ascii="仿宋" w:hAnsi="仿宋" w:eastAsia="仿宋" w:cs="仿宋"/>
          <w:color w:val="000000"/>
          <w:sz w:val="28"/>
          <w:szCs w:val="28"/>
        </w:rPr>
      </w:pPr>
      <w:r>
        <w:rPr>
          <w:rFonts w:hint="eastAsia" w:ascii="仿宋" w:hAnsi="仿宋" w:eastAsia="仿宋" w:cs="仿宋"/>
          <w:color w:val="000000"/>
          <w:sz w:val="28"/>
          <w:szCs w:val="28"/>
        </w:rPr>
        <w:t>容</w:t>
      </w:r>
      <w:r>
        <w:rPr>
          <w:rFonts w:hint="eastAsia" w:ascii="仿宋" w:hAnsi="仿宋" w:eastAsia="仿宋" w:cs="仿宋"/>
          <w:color w:val="000000"/>
          <w:sz w:val="28"/>
          <w:szCs w:val="28"/>
          <w:lang w:eastAsia="zh-Hans"/>
        </w:rPr>
        <w:t>详见</w:t>
      </w:r>
      <w:r>
        <w:rPr>
          <w:rFonts w:hint="eastAsia" w:ascii="仿宋" w:hAnsi="仿宋" w:eastAsia="仿宋" w:cs="仿宋"/>
          <w:sz w:val="28"/>
          <w:szCs w:val="28"/>
        </w:rPr>
        <w:t>评标办法前附表。</w:t>
      </w:r>
      <w:bookmarkEnd w:id="354"/>
      <w:bookmarkEnd w:id="355"/>
      <w:bookmarkEnd w:id="356"/>
      <w:bookmarkEnd w:id="357"/>
      <w:bookmarkEnd w:id="358"/>
      <w:bookmarkEnd w:id="359"/>
      <w:bookmarkEnd w:id="360"/>
      <w:bookmarkEnd w:id="361"/>
    </w:p>
    <w:p>
      <w:pPr>
        <w:pStyle w:val="5"/>
        <w:adjustRightInd w:val="0"/>
        <w:snapToGrid w:val="0"/>
        <w:spacing w:before="0" w:after="0" w:line="360" w:lineRule="auto"/>
        <w:rPr>
          <w:rFonts w:ascii="仿宋" w:hAnsi="仿宋" w:eastAsia="仿宋" w:cs="仿宋"/>
          <w:sz w:val="28"/>
          <w:szCs w:val="28"/>
        </w:rPr>
      </w:pPr>
      <w:bookmarkStart w:id="362" w:name="_Toc152045607"/>
      <w:bookmarkStart w:id="363" w:name="_Toc144974575"/>
      <w:bookmarkStart w:id="364" w:name="_Toc246996250"/>
      <w:bookmarkStart w:id="365" w:name="_Toc179632625"/>
      <w:bookmarkStart w:id="366" w:name="_Toc246996993"/>
      <w:bookmarkStart w:id="367" w:name="_Toc247085765"/>
      <w:bookmarkStart w:id="368" w:name="_Toc514837923"/>
      <w:bookmarkStart w:id="369" w:name="_Toc152042385"/>
      <w:r>
        <w:rPr>
          <w:rFonts w:hint="eastAsia" w:ascii="仿宋" w:hAnsi="仿宋" w:eastAsia="仿宋" w:cs="仿宋"/>
          <w:b w:val="0"/>
          <w:bCs w:val="0"/>
          <w:color w:val="000000"/>
          <w:sz w:val="28"/>
          <w:szCs w:val="28"/>
          <w:lang w:eastAsia="zh-Hans"/>
        </w:rPr>
        <w:t>3.6.4评标委员会确定每一个通过符合性审查的投标人进行详细评审；详细评审要求详见评标办法前附表。</w:t>
      </w:r>
    </w:p>
    <w:p>
      <w:pPr>
        <w:pStyle w:val="5"/>
        <w:adjustRightInd w:val="0"/>
        <w:snapToGrid w:val="0"/>
        <w:spacing w:before="0" w:after="0" w:line="360" w:lineRule="auto"/>
        <w:rPr>
          <w:rFonts w:ascii="仿宋" w:hAnsi="仿宋" w:eastAsia="仿宋" w:cs="仿宋"/>
          <w:sz w:val="28"/>
          <w:szCs w:val="28"/>
        </w:rPr>
      </w:pPr>
      <w:r>
        <w:rPr>
          <w:rFonts w:hint="eastAsia" w:ascii="仿宋" w:hAnsi="仿宋" w:eastAsia="仿宋" w:cs="仿宋"/>
          <w:sz w:val="28"/>
          <w:szCs w:val="28"/>
        </w:rPr>
        <w:t>3.7投标文件的澄清</w:t>
      </w:r>
      <w:bookmarkEnd w:id="362"/>
      <w:bookmarkEnd w:id="363"/>
      <w:bookmarkEnd w:id="364"/>
      <w:bookmarkEnd w:id="365"/>
      <w:bookmarkEnd w:id="366"/>
      <w:bookmarkEnd w:id="367"/>
      <w:bookmarkEnd w:id="368"/>
      <w:bookmarkEnd w:id="369"/>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 澄清、说明或补正不得超出投标文件的范围且不得改变投标文件的实质性内容，并构成投标文件的组成部分。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（3）评标委员会对投标人提交的澄清、说明或补正有疑问的，可以要求投标人进一步澄清、说明或补正，直至满足评标委员会的要求。</w:t>
      </w:r>
    </w:p>
    <w:p>
      <w:pPr>
        <w:pStyle w:val="5"/>
        <w:adjustRightInd w:val="0"/>
        <w:snapToGrid w:val="0"/>
        <w:spacing w:before="0" w:after="0" w:line="360" w:lineRule="auto"/>
        <w:rPr>
          <w:rFonts w:ascii="仿宋" w:hAnsi="仿宋" w:eastAsia="仿宋" w:cs="仿宋"/>
          <w:sz w:val="28"/>
          <w:szCs w:val="28"/>
        </w:rPr>
      </w:pPr>
      <w:bookmarkStart w:id="370" w:name="_Toc514837924"/>
      <w:bookmarkStart w:id="371" w:name="_Toc152045608"/>
      <w:bookmarkStart w:id="372" w:name="_Toc246996994"/>
      <w:bookmarkStart w:id="373" w:name="_Toc246996251"/>
      <w:bookmarkStart w:id="374" w:name="_Toc144974576"/>
      <w:bookmarkStart w:id="375" w:name="_Toc152042386"/>
      <w:bookmarkStart w:id="376" w:name="_Toc179632626"/>
      <w:bookmarkStart w:id="377" w:name="_Toc247085766"/>
      <w:r>
        <w:rPr>
          <w:rFonts w:hint="eastAsia" w:ascii="仿宋" w:hAnsi="仿宋" w:eastAsia="仿宋" w:cs="仿宋"/>
          <w:sz w:val="28"/>
          <w:szCs w:val="28"/>
        </w:rPr>
        <w:t>3</w:t>
      </w:r>
      <w:r>
        <w:rPr>
          <w:rFonts w:hint="eastAsia" w:ascii="仿宋" w:hAnsi="仿宋" w:eastAsia="仿宋" w:cs="仿宋"/>
          <w:sz w:val="28"/>
          <w:szCs w:val="28"/>
          <w:lang w:eastAsia="zh-Hans"/>
        </w:rPr>
        <w:t>.8</w:t>
      </w:r>
      <w:r>
        <w:rPr>
          <w:rFonts w:hint="eastAsia" w:ascii="仿宋" w:hAnsi="仿宋" w:eastAsia="仿宋" w:cs="仿宋"/>
          <w:sz w:val="28"/>
          <w:szCs w:val="28"/>
        </w:rPr>
        <w:t>评标结果</w:t>
      </w:r>
      <w:bookmarkEnd w:id="370"/>
      <w:bookmarkEnd w:id="371"/>
      <w:bookmarkEnd w:id="372"/>
      <w:bookmarkEnd w:id="373"/>
      <w:bookmarkEnd w:id="374"/>
      <w:bookmarkEnd w:id="375"/>
      <w:bookmarkEnd w:id="376"/>
      <w:bookmarkEnd w:id="377"/>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 除第二章“投标人须知”前附表授权直接确定中标人外，评标委员会按照得分由高到低的顺序推荐中标候选人，并标明排序。</w:t>
      </w:r>
    </w:p>
    <w:p>
      <w:pPr>
        <w:adjustRightInd w:val="0"/>
        <w:snapToGrid w:val="0"/>
        <w:spacing w:line="360" w:lineRule="auto"/>
        <w:jc w:val="left"/>
        <w:rPr>
          <w:rFonts w:ascii="仿宋" w:hAnsi="仿宋" w:eastAsia="仿宋" w:cs="仿宋"/>
          <w:b/>
          <w:bCs/>
          <w:sz w:val="28"/>
          <w:szCs w:val="28"/>
          <w:lang w:eastAsia="zh-Hans"/>
        </w:rPr>
        <w:sectPr>
          <w:pgSz w:w="11906" w:h="16838"/>
          <w:pgMar w:top="1440" w:right="1800" w:bottom="1440" w:left="1600" w:header="851" w:footer="992" w:gutter="0"/>
          <w:cols w:space="720" w:num="1"/>
          <w:docGrid w:type="lines" w:linePitch="312" w:charSpace="0"/>
        </w:sectPr>
      </w:pPr>
      <w:r>
        <w:rPr>
          <w:rFonts w:hint="eastAsia" w:ascii="仿宋" w:hAnsi="仿宋" w:eastAsia="仿宋" w:cs="仿宋"/>
          <w:sz w:val="28"/>
          <w:szCs w:val="28"/>
        </w:rPr>
        <w:t xml:space="preserve">   （2）评标委员会完成评标后，应当向招标人提交书面评标报告和中标候选人名单。</w:t>
      </w:r>
    </w:p>
    <w:p>
      <w:pPr>
        <w:adjustRightInd w:val="0"/>
        <w:snapToGrid w:val="0"/>
        <w:spacing w:line="360" w:lineRule="auto"/>
        <w:ind w:firstLine="560" w:firstLineChars="200"/>
        <w:rPr>
          <w:rFonts w:ascii="仿宋" w:hAnsi="仿宋" w:eastAsia="仿宋" w:cs="仿宋"/>
          <w:sz w:val="28"/>
          <w:szCs w:val="28"/>
        </w:rPr>
      </w:pPr>
    </w:p>
    <w:bookmarkEnd w:id="293"/>
    <w:bookmarkEnd w:id="294"/>
    <w:bookmarkEnd w:id="295"/>
    <w:p>
      <w:pPr>
        <w:adjustRightInd w:val="0"/>
        <w:snapToGrid w:val="0"/>
        <w:spacing w:line="360" w:lineRule="auto"/>
        <w:ind w:firstLine="562" w:firstLineChars="200"/>
        <w:jc w:val="center"/>
        <w:rPr>
          <w:rFonts w:ascii="仿宋" w:hAnsi="仿宋" w:eastAsia="仿宋" w:cs="仿宋"/>
          <w:b/>
          <w:bCs/>
          <w:sz w:val="28"/>
          <w:szCs w:val="28"/>
        </w:rPr>
      </w:pPr>
      <w:bookmarkStart w:id="378" w:name="_Toc20328_WPSOffice_Level1"/>
      <w:bookmarkStart w:id="379" w:name="_Toc24934"/>
      <w:bookmarkStart w:id="380" w:name="_Toc641651152_WPSOffice_Level1"/>
      <w:r>
        <w:rPr>
          <w:rFonts w:hint="eastAsia" w:ascii="仿宋" w:hAnsi="仿宋" w:eastAsia="仿宋" w:cs="仿宋"/>
          <w:b/>
          <w:bCs/>
          <w:sz w:val="28"/>
          <w:szCs w:val="28"/>
        </w:rPr>
        <w:t>第四章  合同主要条款</w:t>
      </w:r>
      <w:bookmarkEnd w:id="378"/>
      <w:bookmarkEnd w:id="379"/>
    </w:p>
    <w:p>
      <w:pPr>
        <w:spacing w:line="360" w:lineRule="auto"/>
        <w:jc w:val="center"/>
        <w:outlineLvl w:val="0"/>
        <w:rPr>
          <w:rFonts w:hint="eastAsia" w:ascii="仿宋" w:hAnsi="仿宋" w:eastAsia="仿宋" w:cs="仿宋"/>
          <w:b/>
          <w:sz w:val="28"/>
          <w:szCs w:val="28"/>
        </w:rPr>
      </w:pPr>
      <w:r>
        <w:rPr>
          <w:rFonts w:hint="eastAsia" w:ascii="仿宋" w:hAnsi="仿宋" w:eastAsia="仿宋" w:cs="仿宋"/>
          <w:b/>
          <w:sz w:val="28"/>
          <w:szCs w:val="28"/>
        </w:rPr>
        <w:t>（仅供参考，以采购人实际签订为准）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第一节  主要条款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1.合同：系指买卖双方签署的、合同格式中载明的买卖双方所达成的协议，包括所有的附件、附录和构成合同的其它文件。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2.合同价：系指根据合同规定，在卖方完全履行合同义务后，买方应付给卖方的款项。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3.产品：系指卖方根据合同规定须向买方提供的一切工程、材料、设备、机械、仪表、备件、工具、手册和其它技术资料及其它材料。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4.服务：系指根据合同规定卖方承担与供货有关的服务，如运输、保险、安装、调试、性能考核、提供操作，维修及其他技术指导、培训等和合同中规定的卖方应承担的其他义务。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5.买方：系指购买产品和服务的法人。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6.卖方：系指投标文件被买方接受，而且根据合同规定向买方提供产品和服务的具有法人资格的公司或其他实体。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7.交货方式及交货日期：现场交货指卖方负责办理运输和保险，将产品运抵现场并承担一切费。合同项下的全部产品运抵现场的日期为交货日期。“现场”系指合同项下的产品将要进行安装和使用的地点，其地名在采购文件的“投标资料表”中的合同条款资料中指明。工厂交货指由卖方负责办理运输和保险事宜，运输费和保险费由买方承担。运输部门出具最后一批货物运单的日期为交货日期。买方自行提货指由买方在合同规定地点自行办理提货。提单日期为交货日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8.验收：系指合同双方依据事先规定的程序和条件，确认合同项下的产品符合技术规范要求并被买方接受的手续。若采购文件技术规范中无相应验收规范的说明，则以国家有关部门最新颁布的相应标准及规范为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9.技术规格：卖方提供产品的技术规格应与采购文件规定的技术规格和技术规格附件（如果有的话）、投标文件的技术规格偏差表（如果被买方接受的话）、投标文件的“供货范围和技术说明”相一致。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10.标准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10.1本合同下交付的产品应符合技术规格所述的标准。如果没有提及适用标准，则应符合中国国家标准，这些标准必须是最新版本的标准。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10.2除技术规范中另有规定外，计量单位均使用国家法定的计量单位。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11.使用合同文件和资料：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11.1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11.2除了合同本身外，11.1条款所列举的任何文件是买方的财产。如果买方有要求，卖方应在完成合同后将这些文件及全部复制件归还给买方。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12.专利权：卖方应保护买方在使用该产品或其任何一部分时不受第三方提出侵犯专利权、商标权或工业设计权等知识产权的指控。如果任何第三方提出侵权指控，卖方须与第三方交涉并承担可能发生的一切法律责任和费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13.包装要求：除非合同另有规定，卖方提供的全部产品，均应采用国家或行业标准进行包装，使包装适宜于远距离运输、防潮、防震、防锈和防装卸时受损，确保产品安全无损运抵现场。由于包装不善所引起的产品锈蚀、损坏和损失均由卖方承担赔偿责任。每件包装箱内应附一份详细装箱单和质量合格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14.保险：如果产品是按照现场交货方式报价的，由卖方以发票金额的110%办理产品运抵现场的“一切险”，保险范围覆盖卖方承诺装运的产品。如果产品是按工厂交货、或买方自行提货方式报价的，其运输保险可由卖方办理，运保费由买方负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15.技术资料：合同项下的产品技术资料（除合同文件有专门规定外）将以下列方式交付：合同生效后60天之内，卖方应将合同规定的中文技术资料，如目录索引、图纸、技术说明书、操作手册、使用指南、维修指南和/或服务手册和示意图寄给买方。另外一套完整的上述资料应包装好，随同每批产品一起发运。如果买方确认卖方提供的技术资料不完整或在运输过程中丢失，卖方在收到买方通知后3天内将这些资料免费寄给买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16.质量保证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16.1卖方应保证产品是新近出产的、全新的、未使用过的，除非合同另有规定，产品应含有设计上和材料的全部最新而成熟的改进，并符合最新版本的国家或行业的标准，完全符合合同规定的质量、规格和性能的要求。卖方应保证所提供的产品在正确安装、正常运转和保养条件下，可满足买方使用需求并在其使用寿命期内应具有满意的性能。在产品质量保证期之内，卖方应对由于设计、工艺或材料的缺陷而发生的任何不足或故障负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16.2根据买方按检验标准自行检验结果或/和当地质检部门检验结果，在质量保证期内，如果发现产品的数量、质量或规格与合同不符，或证实产品是有缺陷的，包括潜在的缺陷或使用不符合要求的零部件和材料等，买方应尽快以书面形式通知卖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16.3在合同产品的质量保证期内，卖方应在合同文件中规定的收到通知后应做出响应的期限内，免费维修或更换有缺陷的产品或部件。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如果卖方在上述规定的收到通知后应做出响应的期限内没有弥补缺陷，买方可采取必要的补救措施，但风险和费用将由卖方承担。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17.检验和考核验收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17.1在交货前，制造商应对产品的质量、规格、性能、数量和重量等进行详细而全面的检验，并出具一份证明产品符合合同规定的证书。该证书将作为申请付款单据的一部分，但有关质量、规格、性能、数量或重量的检验不应视为最终检验。制造商检验的结果和细节应在证书中加以说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17.2产品运抵现场后，买方有权对产品的质量、规格、数量和重量进行检验，并出具检验证书。如发现产品的规格或数量或两者都与合同不符，买方有权在产品运抵现场后90天内，根据按检验标准自行检验结果和当地质检部门出具的检验证书向卖方提出索赔。责任由保险公司或运输部门承担的，由投保/托运方负责交涉索赔事宜；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产品运抵现场后，由卖方的代表进行检查，买方有权监督卖方代表的检查，所有产品的质量、规格、数量与合同的不符，包括运输中的损坏、丢失均由卖方负责。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17.3如果产品的质量和规格与合同不符，或在合同规定的质量保证期内证实产品是有缺陷的，包括潜在的缺陷或使用不符合要求的材料，买方有权向卖方提出索赔。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17.4买方有权提出在产品制造过程中派人到制造厂进行监造，卖方有义务为买方监造人员提供方便，当买方需要对产品出厂前的试验进行监察时，制造厂应该事先作出安排。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17.5合同产品的安装工作在按照技术资料的规定完成后，双方应按照合同规定对合同产品进行性能考核（即终交验收考核）。如果合同附件规定的所有保证指标在性能考核中都已达到，双方的被授权代表应在性能考核后5日内签署合同产品的验收证书一式四份，双方各执两份。证书签署日应视为安装完成日亦即完成终交验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17.6如果在合同文件规定允许的最后一次性能考核中仍有指标没有达到合同附件的要求，买方有权按第17条的规定向卖方提出索赔。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18.伴随服务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18.1卖方可能被要求提供下列服务中的任一或所有服务，包括合同规定的附加服务(如果有的话)：</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实施或监督所供产品的现场组装和/或试运行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提供产品组装和/或维修所需的工具。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为所供的每一适当的单台设备提供详细的操作和维护手册。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在双方商定的一定期限内对所提供产品实施运行或监督或维护或修理，但前提条件是该服务并不能免除卖方在合同保证期内所承担的义务。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在卖方厂家和/或在项目现场就所供产品的组装、试运行、运行、维护和/或修理对买方人员进行培训。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18.2卖方应提供合同文件规定的所有服务。为履行要求的伴随服务的报价或商定的费用应包括在合同总价中。</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19.备件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19.1卖方应承担下列与提供备件有关的责任：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买方从卖方选购备件，但前提条件是该选择并不能免除卖方在合同保证期内所承担的质量责任和服务义务。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在备件停止生产的情况下，卖方应事先将要停止生产的计划通知买方。使买方有足够的时间采购所需的备件。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在备件停止生产后，如果买方要求，卖方应免费向买方提供备件的蓝图，图纸和规格。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20.索赔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20.1除了责任应由保险公司或运输部门承担的之外，买方有权根据按检验标准自行检验的结果和当地质检部门出具的质检证书向卖方提出索赔。</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20.2若卖方未按本合同条款第13条和第14条规定承担在产品检验或性能考核中和质量保证期内的义务和责任，买方有权向卖方提出索赔。在此情况下双方可通过协商，按照下列的一种或多种方式解决索赔事宜。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卖方同意退货，并按合同规定的同种货币将货款退还给买方，并承担由此发生的一切损失和费用，包括利息、银行手续费、运费、保险费、检验费、仓储费、装卸费以及为保护退回产品所需的其它必要费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（2）根据产品低劣程度、损坏程度以及买方所遭受损失的数额，经买卖双方商定降低产品的价格。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用符合规格、质量和性能要求的新零件、部件或产品来更换有缺陷的部分或/和修补缺陷部分，卖方应承担一切费用和风险，并负担买方所发生的一切直接费用。同时，卖方应相应延长修补或更换件的质量保证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（4）属于卖方责任应免费修理合同产品缺陷或消除不符合合同之处的情况，如果卖方不能派遣人员到现场，买方有权自行消除缺陷或不符合合同之处，由此产生的一切费用均由卖方负担。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（5）赔偿由卖方违约引起的其他损失。</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20.3如果在买方发出索赔通知后30天内，卖方未作答复，上述索赔应视为已被卖方接受。如卖方未能在买方提出索赔通知后30天内或买方同意的更长时间内，按照第17.2条款规定的任何一种方法解决索赔事宜，买方将从议付货款或从卖方开具的履约保证金保函中扣回索赔金额。如果这些金额不足以满足索赔金额，买方有权向卖方提出不足部分的赔偿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20.4当属于17.2条情况的索赔发生时，如果索赔通知是在保证期满后30日内提出的，应被认为是有效的。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21.延期交货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21.1卖方应按照“招标产品清单”中买方规定的时间表交货和提供服务。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21.2在履行合同过程中，如果卖方遇到不能按时交货和提供服务的情况，应及时以书面形式将不能按时交货的理由、延误时间通知买方。买方收到卖方的通知后，应进行分析，如果同意，可通过修改合同，酌情延长交货时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21.3如果卖方无正当理由地拖延交货，将被扣没履约保证金并加以违约损失索赔和/或终止合同。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22.误期赔偿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22.1除了合同的专门约定外， 如果卖方没有按照合同规定的时间交货和提供服务，买方可从货款中扣除误期赔偿费，赔偿费应按每迟交一周，按迟交产品或未提供服务交货价的0.5%计收(一周按7天计算，不足7天按一周计算)。但违约赔偿费的最高限额为迟交产品或没有提供服务的合同价的5%。如果卖方在达到最高误期赔偿限额后仍不能交货，买方可考虑终止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23.不可抗力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23.1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23.2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24.税费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24.1根据国家现行税法对买方征收的与合同有关的一切税费均由买方负担。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24.2根据国家现行税法对卖方征收的与合同有关的一切税费均由卖方负担。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24.3在中国境外发生的与合同执行有关的一切税费均由卖方负担。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24.4在中国境外生产的产品的进口关税均由卖方负责。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25.履约保证金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25.1卖方在收到的中标通知书的发出日起三十天内，通过一家银行，向买方提供相当于合同总价10%的履约保证金保函。履约保证金保函的有效期到产品完成安装调试，用户在交接验收文件上签字时止。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25.2卖方提供的履约保证金保函应按采购文件所附的格式提供，与此有关的费用由卖方负担。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25.3如卖方未能履行合同规定的任何义务，买方有权从履约保证金中得到补偿。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26.违约终止合同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26.1如果卖方有下述违约行为或采购文件中规定的其它违约行为的情况，买方可以向卖方发出书面违约通知，全部或部分地终止合同，在这些情况下，并不影响买方向卖方提出的索赔：卖方未能在合同规定的限期或买方同意延长的最终限期内提供全部或部分产品、技术文件；或卖方未能使合同产品达到合同附件规定的最低技术性能和保证指标；或卖方未能履行合同规定的其它义务（细微义务除外），且卖方在收到买方发出的违约通知后30天内或经买方书面认可延长的时间内未能纠正其违约行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26.2在买方根据第23.1条款规定，终止了全部或部分合同，买方可以依其认为适当的条件和方法向卖方或其他供货人购买与合同被终止部分同种的产品，卖方应对买方购买同种产品所超出的费用负责。而且卖方还应继续执行合同中未终止的部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27.其他情况终止合同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27.1如果卖方破产或发生资不抵债的情况，买方可在任何时候以书面通知终止合同，而不给对方补偿。该终止合同将不损害或影响买方已经采取或将要采取的补救措施的权利。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27.2如果买方认定卖方在竞标、采购和合同执行等过程中有腐败或欺诈行为，买方有权在任何时候发出书面通知终止合同。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28.转让和分包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28.1未经买方事先书面同意， 卖方不得部分转让或全部转让其应履行的合同义务。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28.2对投标中明确分包的合同，卖方应将合同的全部分包合同书面通知买方，但此分包通知书不能解除卖方履行合同的责任和义务。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28.3分包必须符合合同条款第11条的规定。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29.合同的协商变更与修改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29.1买方可以以书面方式向卖方发出变更要求，协商在本合同的一般范围内变更下述一项或几项：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(1)当本合同项下提供的产品是专为买方制造时，在相关部分尚未投入生产前变更图纸、设计或规格；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(2)在合同项下的产品托运之前，变更运输、包装的方法、服务地点；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(3)卖方提供的服务。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29.2除了上述的情况外，不应对合同进行任何变更或修改，除非双方同意并签订书面的合同修改书。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合同修改书应由双方授权代表签字，具有合同的法律效力。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30.争端的解决</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30.1合同实施或与合同有关的一切争端应依据《中华人民共和国合同法》并通过双方协商解决。如果协商开始后六十天还不能解决，争端应提交仲裁或诉讼，仲裁和诉讼应在买方所在地进行。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30.2仲裁或诉讼裁决应为最终裁决，对双方均有约束力。除另有裁决外，仲裁或诉讼费均应由败诉方负担。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30.3在仲裁或诉讼期间，除正在进行仲裁或诉讼的部分外，合同其他部分应继续执行。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31.通知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31.1本合同任何一方给另一方的通知，都应以书面或传真的形式发送，而另一方应以书面或传真形式确认，回复对方。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31.2通知以送到日期或通知书的生效日起为生效日期，两者中以较晚的一个日期为准。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8"/>
          <w:szCs w:val="28"/>
          <w:highlight w:val="none"/>
          <w:lang w:eastAsia="zh-Hans"/>
        </w:rPr>
      </w:pPr>
    </w:p>
    <w:p>
      <w:pPr>
        <w:pStyle w:val="2"/>
        <w:rPr>
          <w:sz w:val="28"/>
          <w:szCs w:val="28"/>
        </w:rPr>
      </w:pPr>
    </w:p>
    <w:bookmarkEnd w:id="380"/>
    <w:p>
      <w:pPr>
        <w:pStyle w:val="3"/>
        <w:rPr>
          <w:rFonts w:ascii="仿宋" w:hAnsi="仿宋" w:eastAsia="仿宋" w:cs="仿宋"/>
          <w:sz w:val="28"/>
          <w:szCs w:val="28"/>
          <w:highlight w:val="none"/>
          <w:lang w:eastAsia="zh-Hans"/>
        </w:rPr>
      </w:pPr>
      <w:bookmarkStart w:id="381" w:name="_Toc1434631445_WPSOffice_Level1"/>
      <w:r>
        <w:rPr>
          <w:rFonts w:hint="eastAsia" w:ascii="仿宋" w:hAnsi="仿宋" w:eastAsia="仿宋" w:cs="仿宋"/>
          <w:sz w:val="28"/>
          <w:szCs w:val="28"/>
          <w:highlight w:val="none"/>
          <w:lang w:eastAsia="zh-Hans"/>
        </w:rPr>
        <w:br w:type="page"/>
      </w:r>
      <w:r>
        <w:rPr>
          <w:rFonts w:hint="eastAsia" w:ascii="仿宋" w:hAnsi="仿宋" w:eastAsia="仿宋" w:cs="仿宋"/>
          <w:sz w:val="28"/>
          <w:szCs w:val="28"/>
          <w:highlight w:val="none"/>
          <w:lang w:eastAsia="zh-Hans"/>
        </w:rPr>
        <w:t>第五章 采购需求</w:t>
      </w:r>
      <w:bookmarkEnd w:id="381"/>
    </w:p>
    <w:p>
      <w:pPr>
        <w:numPr>
          <w:ilvl w:val="0"/>
          <w:numId w:val="5"/>
        </w:num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项目概述</w:t>
      </w:r>
    </w:p>
    <w:p>
      <w:pPr>
        <w:pStyle w:val="58"/>
        <w:spacing w:before="0" w:beforeAutospacing="0" w:after="0" w:afterAutospacing="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了提升水磨沟区的社会治安综合管控水平,满足新形势下社会治安、维稳处突工作的现实需要，扩大技防覆盖面，由此在重点场所试点进行信息化建设，以达到“全面控制、重点防范、快速反应、精确打击”的管理目标。</w:t>
      </w:r>
    </w:p>
    <w:p>
      <w:pPr>
        <w:pStyle w:val="58"/>
        <w:spacing w:before="0" w:beforeAutospacing="0" w:after="0" w:afterAutospacing="0" w:line="360" w:lineRule="auto"/>
        <w:ind w:firstLine="560" w:firstLineChars="200"/>
        <w:rPr>
          <w:sz w:val="28"/>
          <w:szCs w:val="28"/>
        </w:rPr>
      </w:pPr>
      <w:r>
        <w:rPr>
          <w:rFonts w:hint="eastAsia" w:ascii="仿宋" w:hAnsi="仿宋" w:eastAsia="仿宋" w:cs="仿宋"/>
          <w:sz w:val="28"/>
          <w:szCs w:val="28"/>
        </w:rPr>
        <w:t>水磨沟区将依据“全域覆盖、全网共享、全时可用、全程可控”的建设要求，按照“科学布局、分类设计、分步实施”的设计原则，统筹水磨沟区重点场所信息化建设。</w:t>
      </w:r>
    </w:p>
    <w:p>
      <w:pPr>
        <w:numPr>
          <w:ilvl w:val="0"/>
          <w:numId w:val="5"/>
        </w:num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设计说明</w:t>
      </w:r>
    </w:p>
    <w:p>
      <w:pPr>
        <w:spacing w:line="360" w:lineRule="auto"/>
        <w:ind w:firstLine="560" w:firstLineChars="200"/>
        <w:jc w:val="left"/>
        <w:rPr>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年水磨沟区专网链路租用采购项目</w:t>
      </w:r>
      <w:r>
        <w:rPr>
          <w:rFonts w:hint="eastAsia" w:ascii="仿宋" w:hAnsi="仿宋" w:eastAsia="仿宋" w:cs="仿宋"/>
          <w:sz w:val="28"/>
          <w:szCs w:val="28"/>
        </w:rPr>
        <w:t xml:space="preserve">的设计要求以“统一规划、统一标准、技术先进、突出应用、稳定可靠、资源共享、信息安全”为原则，确保专网链路的设计满足社会治安和社区管理的全局需求。 </w:t>
      </w:r>
    </w:p>
    <w:p>
      <w:pPr>
        <w:numPr>
          <w:ilvl w:val="0"/>
          <w:numId w:val="5"/>
        </w:num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建设原则</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年水磨沟区专网链路租用采购项目</w:t>
      </w:r>
      <w:r>
        <w:rPr>
          <w:rFonts w:hint="eastAsia" w:ascii="仿宋" w:hAnsi="仿宋" w:eastAsia="仿宋" w:cs="仿宋"/>
          <w:snapToGrid w:val="0"/>
          <w:kern w:val="24"/>
          <w:sz w:val="28"/>
          <w:szCs w:val="28"/>
        </w:rPr>
        <w:t>的以“实用、</w:t>
      </w:r>
      <w:r>
        <w:rPr>
          <w:rFonts w:hint="eastAsia" w:ascii="仿宋" w:hAnsi="仿宋" w:eastAsia="仿宋" w:cs="仿宋"/>
          <w:sz w:val="28"/>
          <w:szCs w:val="28"/>
        </w:rPr>
        <w:t>可靠、</w:t>
      </w:r>
      <w:r>
        <w:rPr>
          <w:rFonts w:hint="eastAsia" w:ascii="仿宋" w:hAnsi="仿宋" w:eastAsia="仿宋" w:cs="仿宋"/>
          <w:snapToGrid w:val="0"/>
          <w:kern w:val="24"/>
          <w:sz w:val="28"/>
          <w:szCs w:val="28"/>
        </w:rPr>
        <w:t>先进、经济”为指导思想和基本原则。</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标准化：为了便于管理、维护和扩充，系统所采用的技术必须符合国际通用标准，采用统一的系统标准和通信协议，使系统前端与管理平台之间互联互控，充分发挥整个系统的功能。</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先进性：系统采用包括先进的传输技术、图像压缩编码技术、存储技术、控制技术在内的先进技术，所采用的设备与技术是成熟的且符合技术发展方向，能适应以后发展，并能够方便地升级，以保证前期投资地长期效益。</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开放性：系统有良好的开放性和兼容性，可扩展性好，不仅系统规模和功能易于扩充，而且具有尽可能好的互操作性、可移植性，以满足信息化系统发展的需求。</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可靠性：组网设备按工业级标准选配，使用具有系统易于维护，能全天候长期稳定可靠运行，具有高可靠性。</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安全性：系统具有安全防范和保密措施，防止非法侵入系统及非法操作，不易受黑客攻击和病毒感染，具有很高安全性。</w:t>
      </w:r>
    </w:p>
    <w:p>
      <w:pPr>
        <w:spacing w:line="360" w:lineRule="auto"/>
        <w:ind w:firstLine="560" w:firstLineChars="200"/>
        <w:jc w:val="left"/>
        <w:rPr>
          <w:sz w:val="28"/>
          <w:szCs w:val="28"/>
        </w:rPr>
      </w:pPr>
      <w:r>
        <w:rPr>
          <w:rFonts w:hint="eastAsia" w:ascii="仿宋" w:hAnsi="仿宋" w:eastAsia="仿宋" w:cs="仿宋"/>
          <w:sz w:val="28"/>
          <w:szCs w:val="28"/>
        </w:rPr>
        <w:t>实用性和可扩充性：充分考虑目前需要及将来的长远利益。优先满足监控系统的基本要求，又要充分考虑今后的发展需要，充分保护现有的投资，而且具有较高的性价比。</w:t>
      </w:r>
    </w:p>
    <w:p>
      <w:pPr>
        <w:numPr>
          <w:ilvl w:val="0"/>
          <w:numId w:val="5"/>
        </w:numPr>
        <w:spacing w:line="360" w:lineRule="auto"/>
        <w:rPr>
          <w:rFonts w:hint="eastAsia" w:ascii="仿宋" w:hAnsi="仿宋" w:eastAsia="仿宋" w:cs="仿宋"/>
          <w:sz w:val="28"/>
          <w:szCs w:val="28"/>
        </w:rPr>
      </w:pPr>
      <w:r>
        <w:rPr>
          <w:rFonts w:hint="eastAsia" w:ascii="仿宋" w:hAnsi="仿宋" w:eastAsia="仿宋" w:cs="仿宋"/>
          <w:b/>
          <w:bCs/>
          <w:sz w:val="28"/>
          <w:szCs w:val="28"/>
          <w:highlight w:val="none"/>
          <w:lang w:val="en-US" w:eastAsia="zh-CN"/>
        </w:rPr>
        <w:t>项目规模</w:t>
      </w:r>
    </w:p>
    <w:p>
      <w:pPr>
        <w:spacing w:line="360" w:lineRule="auto"/>
        <w:ind w:firstLine="560" w:firstLineChars="200"/>
        <w:jc w:val="left"/>
        <w:rPr>
          <w:rFonts w:hint="eastAsia" w:ascii="仿宋" w:hAnsi="仿宋" w:eastAsia="仿宋" w:cs="仿宋"/>
          <w:b/>
          <w:spacing w:val="14"/>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年水磨沟区专网链路租用采购项目包含两个标段</w:t>
      </w:r>
    </w:p>
    <w:p>
      <w:pPr>
        <w:widowControl/>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第一</w:t>
      </w:r>
      <w:r>
        <w:rPr>
          <w:rFonts w:hint="eastAsia" w:ascii="仿宋" w:hAnsi="仿宋" w:eastAsia="仿宋" w:cs="仿宋"/>
          <w:sz w:val="28"/>
          <w:szCs w:val="28"/>
          <w:lang w:val="en-US" w:eastAsia="zh-CN"/>
        </w:rPr>
        <w:t>标项</w:t>
      </w:r>
      <w:r>
        <w:rPr>
          <w:rFonts w:hint="eastAsia" w:ascii="仿宋" w:hAnsi="仿宋" w:eastAsia="仿宋" w:cs="仿宋"/>
          <w:sz w:val="28"/>
          <w:szCs w:val="28"/>
        </w:rPr>
        <w:t>：</w:t>
      </w:r>
    </w:p>
    <w:tbl>
      <w:tblPr>
        <w:tblStyle w:val="23"/>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4263"/>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租用时长（月）</w:t>
            </w:r>
          </w:p>
        </w:tc>
        <w:tc>
          <w:tcPr>
            <w:tcW w:w="3389"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4263"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12个月</w:t>
            </w:r>
          </w:p>
        </w:tc>
        <w:tc>
          <w:tcPr>
            <w:tcW w:w="3389"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9个月</w:t>
            </w:r>
          </w:p>
        </w:tc>
        <w:tc>
          <w:tcPr>
            <w:tcW w:w="3389"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3</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6个月</w:t>
            </w:r>
          </w:p>
        </w:tc>
        <w:tc>
          <w:tcPr>
            <w:tcW w:w="3389"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4</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5个月</w:t>
            </w:r>
          </w:p>
        </w:tc>
        <w:tc>
          <w:tcPr>
            <w:tcW w:w="3389"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4个月</w:t>
            </w:r>
          </w:p>
        </w:tc>
        <w:tc>
          <w:tcPr>
            <w:tcW w:w="3389"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6"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3个月</w:t>
            </w:r>
          </w:p>
        </w:tc>
        <w:tc>
          <w:tcPr>
            <w:tcW w:w="3389"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6"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p>
        </w:tc>
        <w:tc>
          <w:tcPr>
            <w:tcW w:w="4263"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合计</w:t>
            </w:r>
          </w:p>
        </w:tc>
        <w:tc>
          <w:tcPr>
            <w:tcW w:w="3389" w:type="dxa"/>
            <w:shd w:val="clear" w:color="auto" w:fill="auto"/>
            <w:noWrap/>
            <w:vAlign w:val="center"/>
          </w:tcPr>
          <w:p>
            <w:pPr>
              <w:widowControl/>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二</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IDC-主机托管</w:t>
            </w:r>
          </w:p>
        </w:tc>
        <w:tc>
          <w:tcPr>
            <w:tcW w:w="3389"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r>
    </w:tbl>
    <w:p>
      <w:pPr>
        <w:pStyle w:val="2"/>
        <w:rPr>
          <w:rFonts w:hint="eastAsia"/>
        </w:rPr>
      </w:pPr>
    </w:p>
    <w:p>
      <w:pPr>
        <w:widowControl/>
        <w:snapToGrid w:val="0"/>
        <w:spacing w:line="360" w:lineRule="auto"/>
        <w:ind w:firstLine="560" w:firstLineChars="200"/>
        <w:jc w:val="left"/>
        <w:rPr>
          <w:sz w:val="28"/>
          <w:szCs w:val="28"/>
        </w:rPr>
      </w:pPr>
      <w:r>
        <w:rPr>
          <w:rFonts w:hint="eastAsia" w:ascii="仿宋" w:hAnsi="仿宋" w:eastAsia="仿宋" w:cs="仿宋"/>
          <w:sz w:val="28"/>
          <w:szCs w:val="28"/>
        </w:rPr>
        <w:t>第二</w:t>
      </w:r>
      <w:r>
        <w:rPr>
          <w:rFonts w:hint="eastAsia" w:ascii="仿宋" w:hAnsi="仿宋" w:eastAsia="仿宋" w:cs="仿宋"/>
          <w:sz w:val="28"/>
          <w:szCs w:val="28"/>
          <w:lang w:val="en-US" w:eastAsia="zh-CN"/>
        </w:rPr>
        <w:t>标项</w:t>
      </w:r>
      <w:r>
        <w:rPr>
          <w:rFonts w:hint="eastAsia" w:ascii="仿宋" w:hAnsi="仿宋" w:eastAsia="仿宋" w:cs="仿宋"/>
          <w:sz w:val="28"/>
          <w:szCs w:val="28"/>
        </w:rPr>
        <w:t>：</w:t>
      </w:r>
    </w:p>
    <w:tbl>
      <w:tblPr>
        <w:tblStyle w:val="23"/>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4263"/>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租用时长（月）</w:t>
            </w:r>
          </w:p>
        </w:tc>
        <w:tc>
          <w:tcPr>
            <w:tcW w:w="3389"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12个月</w:t>
            </w:r>
          </w:p>
        </w:tc>
        <w:tc>
          <w:tcPr>
            <w:tcW w:w="3389"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7个月</w:t>
            </w:r>
          </w:p>
        </w:tc>
        <w:tc>
          <w:tcPr>
            <w:tcW w:w="3389"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3</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5个月</w:t>
            </w:r>
          </w:p>
        </w:tc>
        <w:tc>
          <w:tcPr>
            <w:tcW w:w="3389"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4</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4个月</w:t>
            </w:r>
          </w:p>
        </w:tc>
        <w:tc>
          <w:tcPr>
            <w:tcW w:w="3389"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6"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4263"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合计</w:t>
            </w:r>
          </w:p>
        </w:tc>
        <w:tc>
          <w:tcPr>
            <w:tcW w:w="3389" w:type="dxa"/>
            <w:shd w:val="clear" w:color="auto" w:fill="auto"/>
            <w:noWrap/>
            <w:vAlign w:val="center"/>
          </w:tcPr>
          <w:p>
            <w:pPr>
              <w:widowControl/>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1092</w:t>
            </w:r>
          </w:p>
        </w:tc>
      </w:tr>
    </w:tbl>
    <w:p>
      <w:pPr>
        <w:pStyle w:val="2"/>
      </w:pPr>
    </w:p>
    <w:p>
      <w:pPr>
        <w:numPr>
          <w:ilvl w:val="0"/>
          <w:numId w:val="5"/>
        </w:numPr>
        <w:spacing w:line="360" w:lineRule="auto"/>
        <w:rPr>
          <w:rFonts w:ascii="仿宋" w:hAnsi="仿宋" w:eastAsia="仿宋" w:cs="仿宋"/>
          <w:b/>
          <w:bCs/>
          <w:sz w:val="28"/>
          <w:szCs w:val="28"/>
          <w:highlight w:val="none"/>
        </w:rPr>
      </w:pPr>
      <w:r>
        <w:rPr>
          <w:rFonts w:hint="eastAsia" w:ascii="仿宋" w:hAnsi="仿宋" w:eastAsia="仿宋" w:cs="仿宋"/>
          <w:b/>
          <w:bCs/>
          <w:color w:val="000000"/>
          <w:sz w:val="28"/>
          <w:szCs w:val="28"/>
          <w:highlight w:val="none"/>
        </w:rPr>
        <w:t>总体需求</w:t>
      </w:r>
    </w:p>
    <w:p>
      <w:pPr>
        <w:adjustRightInd w:val="0"/>
        <w:snapToGrid w:val="0"/>
        <w:spacing w:line="360" w:lineRule="auto"/>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1、服务地点：</w:t>
      </w:r>
      <w:r>
        <w:rPr>
          <w:rFonts w:hint="eastAsia" w:ascii="仿宋" w:hAnsi="仿宋" w:eastAsia="仿宋" w:cs="仿宋"/>
          <w:sz w:val="28"/>
          <w:szCs w:val="28"/>
          <w:lang w:eastAsia="zh-Hans"/>
        </w:rPr>
        <w:t>按甲方指定地点。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2、服务期限：中标后1年。</w:t>
      </w:r>
    </w:p>
    <w:p>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3、链路接通工期：签订合同后五个日历日</w:t>
      </w:r>
    </w:p>
    <w:p>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服务标准：提供7×24小时服务。必须在1小时内响应，2小时内派技术人员到达现场维修，一般故障必须在8小时内修复；疑难故障或由于特殊器件影响不能及时处理的，要提供应急技术解决方案，最迟应在72小时内修复，修复标准为系统各项功能运行正常，可以正常使用</w:t>
      </w:r>
      <w:r>
        <w:rPr>
          <w:rFonts w:hint="eastAsia" w:ascii="仿宋" w:hAnsi="仿宋" w:eastAsia="仿宋" w:cs="仿宋"/>
          <w:sz w:val="28"/>
          <w:szCs w:val="28"/>
          <w:lang w:eastAsia="zh-CN"/>
        </w:rPr>
        <w:t>。</w:t>
      </w:r>
    </w:p>
    <w:p>
      <w:pPr>
        <w:tabs>
          <w:tab w:val="left" w:pos="8504"/>
        </w:tabs>
        <w:spacing w:line="360" w:lineRule="auto"/>
        <w:jc w:val="left"/>
        <w:rPr>
          <w:rFonts w:hint="eastAsia" w:ascii="仿宋" w:hAnsi="仿宋" w:eastAsia="仿宋" w:cs="仿宋"/>
          <w:b/>
          <w:spacing w:val="14"/>
          <w:sz w:val="28"/>
          <w:szCs w:val="28"/>
        </w:rPr>
      </w:pPr>
      <w:bookmarkStart w:id="382" w:name="_Toc2051791246_WPSOffice_Level1"/>
      <w:r>
        <w:rPr>
          <w:rFonts w:hint="eastAsia" w:ascii="仿宋" w:hAnsi="仿宋" w:eastAsia="仿宋" w:cs="仿宋"/>
          <w:b/>
          <w:sz w:val="28"/>
          <w:szCs w:val="28"/>
          <w:lang w:eastAsia="zh-CN"/>
        </w:rPr>
        <w:t>六、</w:t>
      </w:r>
      <w:r>
        <w:rPr>
          <w:rFonts w:hint="eastAsia" w:ascii="仿宋" w:hAnsi="仿宋" w:eastAsia="仿宋" w:cs="仿宋"/>
          <w:b/>
          <w:sz w:val="28"/>
          <w:szCs w:val="28"/>
        </w:rPr>
        <w:t>技术参数要求</w:t>
      </w:r>
    </w:p>
    <w:p>
      <w:pPr>
        <w:widowControl/>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投标人</w:t>
      </w:r>
      <w:r>
        <w:rPr>
          <w:rFonts w:hint="eastAsia" w:ascii="仿宋" w:hAnsi="仿宋" w:eastAsia="仿宋" w:cs="仿宋"/>
          <w:sz w:val="28"/>
          <w:szCs w:val="28"/>
        </w:rPr>
        <w:t>提供</w:t>
      </w:r>
      <w:r>
        <w:rPr>
          <w:rFonts w:hint="eastAsia" w:ascii="仿宋" w:hAnsi="仿宋" w:eastAsia="仿宋" w:cs="仿宋"/>
          <w:color w:val="000000"/>
          <w:sz w:val="28"/>
          <w:szCs w:val="28"/>
        </w:rPr>
        <w:t>专网链路</w:t>
      </w:r>
      <w:r>
        <w:rPr>
          <w:rFonts w:hint="eastAsia" w:ascii="仿宋" w:hAnsi="仿宋" w:eastAsia="仿宋" w:cs="仿宋"/>
          <w:sz w:val="28"/>
          <w:szCs w:val="28"/>
        </w:rPr>
        <w:t>租赁服务，供应商需提供线路和网源等设备的日常维护、维修服务。</w:t>
      </w:r>
    </w:p>
    <w:p>
      <w:pPr>
        <w:widowControl/>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2、根据招标人不同点位的要求提供相应的带宽。</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投标人</w:t>
      </w:r>
      <w:r>
        <w:rPr>
          <w:rFonts w:hint="eastAsia" w:ascii="仿宋" w:hAnsi="仿宋" w:eastAsia="仿宋" w:cs="仿宋"/>
          <w:sz w:val="28"/>
          <w:szCs w:val="28"/>
        </w:rPr>
        <w:t>应组织专业技术人员提供技术支撑，保证接入线路的畅通。</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投标人</w:t>
      </w:r>
      <w:r>
        <w:rPr>
          <w:rFonts w:hint="eastAsia" w:ascii="仿宋" w:hAnsi="仿宋" w:eastAsia="仿宋" w:cs="仿宋"/>
          <w:sz w:val="28"/>
          <w:szCs w:val="28"/>
        </w:rPr>
        <w:t>在线路接入等施工过程中，不得中断甲方现有的办公网络，不得改变原有的网络拓扑和配置。</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5、项目执行期间，若国家颁布新的光纤资费标准，自新的资费标准生效时起按新的资费标准执行。</w:t>
      </w:r>
    </w:p>
    <w:p>
      <w:pPr>
        <w:spacing w:line="360" w:lineRule="auto"/>
        <w:ind w:firstLine="560" w:firstLineChars="200"/>
        <w:jc w:val="left"/>
        <w:rPr>
          <w:rFonts w:hint="eastAsia" w:ascii="仿宋" w:hAnsi="仿宋" w:eastAsia="仿宋" w:cs="仿宋"/>
          <w:b/>
          <w:sz w:val="28"/>
          <w:szCs w:val="28"/>
        </w:rPr>
      </w:pPr>
      <w:r>
        <w:rPr>
          <w:rFonts w:hint="eastAsia" w:ascii="仿宋" w:hAnsi="仿宋" w:eastAsia="仿宋" w:cs="仿宋"/>
          <w:sz w:val="28"/>
          <w:szCs w:val="28"/>
        </w:rPr>
        <w:t>6、服务要求：提供7×24小时服务。必须在1小时内响应，2小时内派技术人员到达现场维修，一般故障必须在8小时内修复；疑难故障或由于特殊器件影响不能及时处理的，要提供应急技术解决方案，最迟应在72小时内修复，修复标准为系统各项功能运行正常，可以正常使用；不可抗拒的地震、火灾、战争、雨雪、大风、国家市政法令变更等因素而影响恢复的情况除外。</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投标人</w:t>
      </w:r>
      <w:r>
        <w:rPr>
          <w:rFonts w:hint="eastAsia" w:ascii="仿宋" w:hAnsi="仿宋" w:eastAsia="仿宋" w:cs="仿宋"/>
          <w:sz w:val="28"/>
          <w:szCs w:val="28"/>
        </w:rPr>
        <w:t>对突发性故障提供紧急维修服务，紧急情况下甲方有权要求乙方在非工作时间、休息日及法定节假日进行维修工作。</w:t>
      </w:r>
    </w:p>
    <w:p>
      <w:pPr>
        <w:spacing w:line="360" w:lineRule="auto"/>
        <w:ind w:firstLine="560" w:firstLineChars="200"/>
        <w:jc w:val="left"/>
        <w:rPr>
          <w:rFonts w:hint="eastAsia" w:ascii="仿宋" w:hAnsi="仿宋" w:eastAsia="仿宋" w:cs="仿宋"/>
          <w:b/>
          <w:spacing w:val="14"/>
          <w:sz w:val="28"/>
          <w:szCs w:val="28"/>
        </w:rPr>
      </w:pPr>
      <w:r>
        <w:rPr>
          <w:rFonts w:hint="eastAsia" w:ascii="仿宋" w:hAnsi="仿宋" w:eastAsia="仿宋" w:cs="仿宋"/>
          <w:sz w:val="28"/>
          <w:szCs w:val="28"/>
        </w:rPr>
        <w:t>7、保密要求：</w:t>
      </w:r>
      <w:r>
        <w:rPr>
          <w:rFonts w:hint="eastAsia" w:ascii="仿宋" w:hAnsi="仿宋" w:eastAsia="仿宋" w:cs="仿宋"/>
          <w:sz w:val="28"/>
          <w:szCs w:val="28"/>
          <w:lang w:val="en-US" w:eastAsia="zh-CN"/>
        </w:rPr>
        <w:t>投标人</w:t>
      </w:r>
      <w:r>
        <w:rPr>
          <w:rFonts w:hint="eastAsia" w:ascii="仿宋" w:hAnsi="仿宋" w:eastAsia="仿宋" w:cs="仿宋"/>
          <w:sz w:val="28"/>
          <w:szCs w:val="28"/>
        </w:rPr>
        <w:t>应对甲方提供的资料、信息（包括但不限于商业秘密，技术资料、图纸、数据、密码、以及与业务有关的客户的信息等）负保密责任。不得向第三方泄露甲方的网络拓扑、线路连接方式、设备密码、设备配置等信息。</w:t>
      </w:r>
    </w:p>
    <w:p>
      <w:pPr>
        <w:spacing w:line="360" w:lineRule="auto"/>
        <w:ind w:firstLine="560" w:firstLineChars="200"/>
        <w:jc w:val="left"/>
        <w:rPr>
          <w:rFonts w:hint="eastAsia" w:ascii="仿宋" w:hAnsi="仿宋" w:eastAsia="仿宋" w:cs="仿宋"/>
          <w:sz w:val="28"/>
          <w:szCs w:val="28"/>
        </w:rPr>
      </w:pPr>
    </w:p>
    <w:p>
      <w:pPr>
        <w:rPr>
          <w:rFonts w:hint="eastAsia" w:ascii="仿宋" w:hAnsi="仿宋" w:eastAsia="仿宋" w:cs="仿宋"/>
          <w:sz w:val="28"/>
          <w:szCs w:val="28"/>
          <w:highlight w:val="green"/>
        </w:rPr>
        <w:sectPr>
          <w:headerReference r:id="rId4" w:type="default"/>
          <w:footerReference r:id="rId5" w:type="default"/>
          <w:pgSz w:w="11906" w:h="16838"/>
          <w:pgMar w:top="1418" w:right="1588" w:bottom="1418" w:left="1588" w:header="851" w:footer="992" w:gutter="0"/>
          <w:cols w:space="720" w:num="1"/>
          <w:docGrid w:type="lines" w:linePitch="312" w:charSpace="0"/>
        </w:sectPr>
      </w:pPr>
    </w:p>
    <w:p>
      <w:pPr>
        <w:pStyle w:val="3"/>
        <w:rPr>
          <w:rFonts w:ascii="仿宋" w:hAnsi="仿宋" w:eastAsia="仿宋" w:cs="仿宋"/>
          <w:sz w:val="28"/>
          <w:szCs w:val="28"/>
          <w:lang w:eastAsia="zh-Hans"/>
        </w:rPr>
      </w:pPr>
      <w:r>
        <w:rPr>
          <w:rFonts w:hint="eastAsia" w:ascii="仿宋" w:hAnsi="仿宋" w:eastAsia="仿宋" w:cs="仿宋"/>
          <w:sz w:val="28"/>
          <w:szCs w:val="28"/>
          <w:lang w:eastAsia="zh-Hans"/>
        </w:rPr>
        <w:t>第六章 投标文件主要参考格式</w:t>
      </w:r>
      <w:bookmarkEnd w:id="382"/>
    </w:p>
    <w:p>
      <w:pPr>
        <w:adjustRightInd w:val="0"/>
        <w:snapToGrid w:val="0"/>
        <w:spacing w:line="360" w:lineRule="auto"/>
        <w:rPr>
          <w:rFonts w:ascii="仿宋" w:hAnsi="仿宋" w:eastAsia="仿宋" w:cs="仿宋"/>
          <w:sz w:val="28"/>
          <w:szCs w:val="28"/>
        </w:rPr>
      </w:pPr>
      <w:r>
        <w:rPr>
          <w:rFonts w:hint="eastAsia" w:ascii="仿宋" w:hAnsi="仿宋" w:eastAsia="仿宋" w:cs="仿宋"/>
          <w:b/>
          <w:sz w:val="28"/>
          <w:szCs w:val="28"/>
        </w:rPr>
        <w:t>投标文件封面</w:t>
      </w:r>
    </w:p>
    <w:p>
      <w:pPr>
        <w:adjustRightInd w:val="0"/>
        <w:snapToGrid w:val="0"/>
        <w:spacing w:line="360" w:lineRule="auto"/>
        <w:rPr>
          <w:rFonts w:ascii="仿宋" w:hAnsi="仿宋" w:eastAsia="仿宋" w:cs="仿宋"/>
          <w:sz w:val="28"/>
          <w:szCs w:val="28"/>
        </w:rPr>
      </w:pPr>
    </w:p>
    <w:p>
      <w:pPr>
        <w:adjustRightInd w:val="0"/>
        <w:snapToGrid w:val="0"/>
        <w:spacing w:line="360" w:lineRule="auto"/>
        <w:jc w:val="center"/>
        <w:rPr>
          <w:rFonts w:ascii="仿宋" w:hAnsi="仿宋" w:eastAsia="仿宋" w:cs="仿宋"/>
          <w:sz w:val="44"/>
          <w:szCs w:val="44"/>
        </w:rPr>
      </w:pPr>
      <w:r>
        <w:rPr>
          <w:rFonts w:hint="eastAsia" w:ascii="仿宋" w:hAnsi="仿宋" w:eastAsia="仿宋" w:cs="仿宋"/>
          <w:sz w:val="44"/>
          <w:szCs w:val="44"/>
        </w:rPr>
        <w:t>水磨沟区</w:t>
      </w:r>
      <w:r>
        <w:rPr>
          <w:rFonts w:hint="eastAsia" w:ascii="仿宋" w:hAnsi="仿宋" w:eastAsia="仿宋" w:cs="仿宋"/>
          <w:sz w:val="44"/>
          <w:szCs w:val="44"/>
          <w:lang w:eastAsia="zh-CN"/>
        </w:rPr>
        <w:t xml:space="preserve"> </w:t>
      </w:r>
      <w:r>
        <w:rPr>
          <w:rFonts w:hint="eastAsia" w:ascii="仿宋" w:hAnsi="仿宋" w:eastAsia="仿宋" w:cs="仿宋"/>
          <w:sz w:val="44"/>
          <w:szCs w:val="44"/>
        </w:rPr>
        <w:t>相关设备专线链路租赁</w:t>
      </w:r>
    </w:p>
    <w:p>
      <w:pPr>
        <w:adjustRightInd w:val="0"/>
        <w:snapToGrid w:val="0"/>
        <w:spacing w:line="360" w:lineRule="auto"/>
        <w:jc w:val="center"/>
        <w:rPr>
          <w:rFonts w:ascii="仿宋" w:hAnsi="仿宋" w:eastAsia="仿宋" w:cs="仿宋"/>
          <w:sz w:val="44"/>
          <w:szCs w:val="44"/>
        </w:rPr>
      </w:pPr>
    </w:p>
    <w:p>
      <w:pPr>
        <w:adjustRightInd w:val="0"/>
        <w:snapToGrid w:val="0"/>
        <w:spacing w:line="360" w:lineRule="auto"/>
        <w:jc w:val="center"/>
        <w:rPr>
          <w:rFonts w:ascii="仿宋" w:hAnsi="仿宋" w:eastAsia="仿宋" w:cs="仿宋"/>
          <w:sz w:val="44"/>
          <w:szCs w:val="44"/>
        </w:rPr>
      </w:pPr>
      <w:bookmarkStart w:id="383" w:name="_Toc494675200_WPSOffice_Level1"/>
      <w:r>
        <w:rPr>
          <w:rFonts w:hint="eastAsia" w:ascii="仿宋" w:hAnsi="仿宋" w:eastAsia="仿宋" w:cs="仿宋"/>
          <w:sz w:val="44"/>
          <w:szCs w:val="44"/>
        </w:rPr>
        <w:t>投 标 文 件</w:t>
      </w:r>
      <w:bookmarkEnd w:id="383"/>
    </w:p>
    <w:p>
      <w:pPr>
        <w:pStyle w:val="7"/>
        <w:jc w:val="center"/>
        <w:rPr>
          <w:rFonts w:ascii="仿宋" w:hAnsi="仿宋" w:eastAsia="仿宋" w:cs="仿宋"/>
          <w:sz w:val="44"/>
          <w:szCs w:val="44"/>
        </w:rPr>
      </w:pPr>
      <w:bookmarkStart w:id="384" w:name="_Toc1096888863_WPSOffice_Level1"/>
      <w:r>
        <w:rPr>
          <w:rFonts w:hint="eastAsia" w:ascii="仿宋" w:hAnsi="仿宋" w:eastAsia="仿宋" w:cs="仿宋"/>
          <w:sz w:val="44"/>
          <w:szCs w:val="44"/>
        </w:rPr>
        <w:t>（正本/副本）</w:t>
      </w:r>
      <w:bookmarkEnd w:id="384"/>
    </w:p>
    <w:p>
      <w:pPr>
        <w:adjustRightInd w:val="0"/>
        <w:snapToGrid w:val="0"/>
        <w:spacing w:line="360" w:lineRule="auto"/>
        <w:rPr>
          <w:rFonts w:ascii="仿宋" w:hAnsi="仿宋" w:eastAsia="仿宋" w:cs="仿宋"/>
          <w:sz w:val="44"/>
          <w:szCs w:val="44"/>
        </w:rPr>
      </w:pPr>
    </w:p>
    <w:p>
      <w:pPr>
        <w:pStyle w:val="2"/>
        <w:rPr>
          <w:rFonts w:ascii="仿宋" w:hAnsi="仿宋" w:eastAsia="仿宋" w:cs="仿宋"/>
          <w:sz w:val="44"/>
          <w:szCs w:val="44"/>
        </w:rPr>
      </w:pPr>
    </w:p>
    <w:p/>
    <w:p>
      <w:pPr>
        <w:adjustRightInd w:val="0"/>
        <w:snapToGrid w:val="0"/>
        <w:spacing w:line="360" w:lineRule="auto"/>
        <w:rPr>
          <w:rFonts w:ascii="仿宋" w:hAnsi="仿宋" w:eastAsia="仿宋" w:cs="仿宋"/>
          <w:sz w:val="32"/>
          <w:szCs w:val="32"/>
        </w:rPr>
      </w:pPr>
    </w:p>
    <w:p>
      <w:pPr>
        <w:adjustRightInd w:val="0"/>
        <w:snapToGrid w:val="0"/>
        <w:spacing w:line="360" w:lineRule="auto"/>
        <w:ind w:firstLine="480"/>
        <w:rPr>
          <w:rFonts w:ascii="仿宋" w:hAnsi="仿宋" w:eastAsia="仿宋" w:cs="仿宋"/>
          <w:sz w:val="32"/>
          <w:szCs w:val="32"/>
        </w:rPr>
      </w:pPr>
      <w:bookmarkStart w:id="385" w:name="_Toc1411494593_WPSOffice_Level1"/>
      <w:r>
        <w:rPr>
          <w:rFonts w:hint="eastAsia" w:ascii="仿宋" w:hAnsi="仿宋" w:eastAsia="仿宋" w:cs="仿宋"/>
          <w:sz w:val="32"/>
          <w:szCs w:val="32"/>
        </w:rPr>
        <w:t>采购人：</w:t>
      </w:r>
      <w:bookmarkEnd w:id="385"/>
    </w:p>
    <w:p>
      <w:pPr>
        <w:adjustRightInd w:val="0"/>
        <w:snapToGrid w:val="0"/>
        <w:spacing w:line="360" w:lineRule="auto"/>
        <w:ind w:firstLine="480"/>
        <w:rPr>
          <w:rFonts w:ascii="仿宋" w:hAnsi="仿宋" w:eastAsia="仿宋" w:cs="仿宋"/>
          <w:sz w:val="32"/>
          <w:szCs w:val="32"/>
        </w:rPr>
      </w:pPr>
      <w:bookmarkStart w:id="386" w:name="_Toc1885259789_WPSOffice_Level1"/>
      <w:r>
        <w:rPr>
          <w:rFonts w:hint="eastAsia" w:ascii="仿宋" w:hAnsi="仿宋" w:eastAsia="仿宋" w:cs="仿宋"/>
          <w:sz w:val="32"/>
          <w:szCs w:val="32"/>
        </w:rPr>
        <w:t>项目名称：</w:t>
      </w:r>
      <w:bookmarkEnd w:id="386"/>
    </w:p>
    <w:p>
      <w:pPr>
        <w:adjustRightInd w:val="0"/>
        <w:snapToGrid w:val="0"/>
        <w:spacing w:line="360" w:lineRule="auto"/>
        <w:ind w:firstLine="480"/>
        <w:rPr>
          <w:rFonts w:ascii="仿宋" w:hAnsi="仿宋" w:eastAsia="仿宋" w:cs="仿宋"/>
          <w:sz w:val="32"/>
          <w:szCs w:val="32"/>
        </w:rPr>
      </w:pPr>
      <w:bookmarkStart w:id="387" w:name="_Toc1587545885_WPSOffice_Level1"/>
      <w:r>
        <w:rPr>
          <w:rFonts w:hint="eastAsia" w:ascii="仿宋" w:hAnsi="仿宋" w:eastAsia="仿宋" w:cs="仿宋"/>
          <w:sz w:val="32"/>
          <w:szCs w:val="32"/>
        </w:rPr>
        <w:t>项目编号：</w:t>
      </w:r>
      <w:bookmarkEnd w:id="387"/>
    </w:p>
    <w:p>
      <w:pPr>
        <w:adjustRightInd w:val="0"/>
        <w:snapToGrid w:val="0"/>
        <w:spacing w:line="360" w:lineRule="auto"/>
        <w:ind w:firstLine="480"/>
        <w:rPr>
          <w:rFonts w:ascii="仿宋" w:hAnsi="仿宋" w:eastAsia="仿宋" w:cs="仿宋"/>
          <w:sz w:val="32"/>
          <w:szCs w:val="32"/>
        </w:rPr>
      </w:pPr>
      <w:r>
        <w:rPr>
          <w:rFonts w:hint="eastAsia" w:ascii="仿宋" w:hAnsi="仿宋" w:eastAsia="仿宋" w:cs="仿宋"/>
          <w:sz w:val="32"/>
          <w:szCs w:val="32"/>
        </w:rPr>
        <w:t>投标标项：</w:t>
      </w:r>
    </w:p>
    <w:p>
      <w:pPr>
        <w:adjustRightInd w:val="0"/>
        <w:snapToGrid w:val="0"/>
        <w:spacing w:line="360" w:lineRule="auto"/>
        <w:ind w:firstLine="480"/>
        <w:rPr>
          <w:rFonts w:ascii="仿宋" w:hAnsi="仿宋" w:eastAsia="仿宋" w:cs="仿宋"/>
          <w:sz w:val="32"/>
          <w:szCs w:val="32"/>
        </w:rPr>
      </w:pPr>
      <w:bookmarkStart w:id="388" w:name="_Toc1546858867_WPSOffice_Level1"/>
      <w:r>
        <w:rPr>
          <w:rFonts w:hint="eastAsia" w:ascii="仿宋" w:hAnsi="仿宋" w:eastAsia="仿宋" w:cs="仿宋"/>
          <w:sz w:val="32"/>
          <w:szCs w:val="32"/>
        </w:rPr>
        <w:t>投标单位名称（盖章）：</w:t>
      </w:r>
      <w:bookmarkEnd w:id="388"/>
    </w:p>
    <w:p>
      <w:pPr>
        <w:adjustRightInd w:val="0"/>
        <w:snapToGrid w:val="0"/>
        <w:spacing w:line="360" w:lineRule="auto"/>
        <w:ind w:firstLine="480"/>
        <w:rPr>
          <w:rFonts w:ascii="仿宋" w:hAnsi="仿宋" w:eastAsia="仿宋" w:cs="仿宋"/>
          <w:sz w:val="32"/>
          <w:szCs w:val="32"/>
        </w:rPr>
      </w:pPr>
      <w:bookmarkStart w:id="389" w:name="_Toc619947087_WPSOffice_Level1"/>
      <w:r>
        <w:rPr>
          <w:rFonts w:hint="eastAsia" w:ascii="仿宋" w:hAnsi="仿宋" w:eastAsia="仿宋" w:cs="仿宋"/>
          <w:sz w:val="32"/>
          <w:szCs w:val="32"/>
        </w:rPr>
        <w:t>投标单位联系人（签字或盖章）：</w:t>
      </w:r>
      <w:bookmarkEnd w:id="389"/>
    </w:p>
    <w:p>
      <w:pPr>
        <w:adjustRightInd w:val="0"/>
        <w:snapToGrid w:val="0"/>
        <w:spacing w:line="360" w:lineRule="auto"/>
        <w:ind w:firstLine="480"/>
        <w:rPr>
          <w:rFonts w:hint="eastAsia" w:ascii="仿宋" w:hAnsi="仿宋" w:eastAsia="仿宋" w:cs="仿宋"/>
          <w:sz w:val="32"/>
          <w:szCs w:val="32"/>
        </w:rPr>
      </w:pPr>
      <w:bookmarkStart w:id="390" w:name="_Toc2007519612_WPSOffice_Level1"/>
      <w:r>
        <w:rPr>
          <w:rFonts w:hint="eastAsia" w:ascii="仿宋" w:hAnsi="仿宋" w:eastAsia="仿宋" w:cs="仿宋"/>
          <w:sz w:val="32"/>
          <w:szCs w:val="32"/>
        </w:rPr>
        <w:t>投标单位联系电话：</w:t>
      </w:r>
      <w:bookmarkEnd w:id="390"/>
    </w:p>
    <w:p>
      <w:pPr>
        <w:pStyle w:val="2"/>
      </w:pPr>
    </w:p>
    <w:p>
      <w:pPr>
        <w:adjustRightInd w:val="0"/>
        <w:snapToGrid w:val="0"/>
        <w:spacing w:line="360" w:lineRule="auto"/>
        <w:ind w:firstLine="560" w:firstLineChars="200"/>
        <w:jc w:val="center"/>
        <w:rPr>
          <w:rFonts w:ascii="仿宋" w:hAnsi="仿宋" w:eastAsia="仿宋" w:cs="仿宋"/>
          <w:b/>
          <w:bCs/>
          <w:sz w:val="28"/>
          <w:szCs w:val="28"/>
        </w:rPr>
      </w:pPr>
      <w:bookmarkStart w:id="391" w:name="_Toc1266540867_WPSOffice_Level1"/>
      <w:r>
        <w:rPr>
          <w:rFonts w:hint="eastAsia" w:ascii="仿宋" w:hAnsi="仿宋" w:eastAsia="仿宋" w:cs="仿宋"/>
          <w:sz w:val="28"/>
          <w:szCs w:val="28"/>
        </w:rPr>
        <w:t>2022</w:t>
      </w:r>
      <w:r>
        <w:rPr>
          <w:rFonts w:hint="eastAsia" w:ascii="仿宋" w:hAnsi="仿宋" w:eastAsia="仿宋" w:cs="仿宋"/>
          <w:sz w:val="28"/>
          <w:szCs w:val="28"/>
          <w:lang w:eastAsia="zh-Hans"/>
        </w:rPr>
        <w:t>年  月  日</w:t>
      </w:r>
      <w:r>
        <w:rPr>
          <w:rFonts w:hint="eastAsia" w:ascii="仿宋" w:hAnsi="仿宋" w:eastAsia="仿宋" w:cs="仿宋"/>
          <w:sz w:val="28"/>
          <w:szCs w:val="28"/>
        </w:rPr>
        <w:br w:type="page"/>
      </w:r>
      <w:bookmarkStart w:id="392" w:name="_Toc179632807"/>
      <w:bookmarkStart w:id="393" w:name="_Toc152042576"/>
      <w:bookmarkStart w:id="394" w:name="_Toc152045787"/>
      <w:bookmarkStart w:id="395" w:name="_Toc514837978"/>
      <w:bookmarkStart w:id="396" w:name="_Toc246996355"/>
      <w:bookmarkStart w:id="397" w:name="_Toc246997098"/>
      <w:bookmarkStart w:id="398" w:name="_Toc144974856"/>
      <w:bookmarkStart w:id="399" w:name="_Toc247085873"/>
      <w:r>
        <w:rPr>
          <w:rFonts w:hint="eastAsia" w:ascii="仿宋" w:hAnsi="仿宋" w:eastAsia="仿宋" w:cs="仿宋"/>
          <w:b/>
          <w:bCs/>
          <w:sz w:val="28"/>
          <w:szCs w:val="28"/>
        </w:rPr>
        <w:t>目 录</w:t>
      </w:r>
      <w:bookmarkEnd w:id="391"/>
      <w:bookmarkEnd w:id="392"/>
      <w:bookmarkEnd w:id="393"/>
      <w:bookmarkEnd w:id="394"/>
      <w:bookmarkEnd w:id="395"/>
      <w:bookmarkEnd w:id="396"/>
      <w:bookmarkEnd w:id="397"/>
      <w:bookmarkEnd w:id="398"/>
      <w:bookmarkEnd w:id="399"/>
    </w:p>
    <w:p>
      <w:pPr>
        <w:adjustRightInd w:val="0"/>
        <w:snapToGrid w:val="0"/>
        <w:spacing w:line="360" w:lineRule="auto"/>
        <w:rPr>
          <w:rFonts w:ascii="仿宋" w:hAnsi="仿宋" w:eastAsia="仿宋" w:cs="仿宋"/>
          <w:bCs/>
          <w:sz w:val="28"/>
          <w:szCs w:val="28"/>
        </w:rPr>
      </w:pPr>
    </w:p>
    <w:p>
      <w:pPr>
        <w:numPr>
          <w:ilvl w:val="0"/>
          <w:numId w:val="6"/>
        </w:numPr>
        <w:adjustRightInd w:val="0"/>
        <w:snapToGrid w:val="0"/>
        <w:spacing w:line="360" w:lineRule="auto"/>
        <w:ind w:firstLine="1120" w:firstLineChars="400"/>
        <w:rPr>
          <w:rFonts w:ascii="仿宋" w:hAnsi="仿宋" w:eastAsia="仿宋" w:cs="仿宋"/>
          <w:sz w:val="28"/>
          <w:szCs w:val="28"/>
          <w:lang w:eastAsia="zh-Hans"/>
        </w:rPr>
      </w:pPr>
      <w:bookmarkStart w:id="400" w:name="_Toc894442605_WPSOffice_Level1"/>
      <w:r>
        <w:rPr>
          <w:rFonts w:hint="eastAsia" w:ascii="仿宋" w:hAnsi="仿宋" w:eastAsia="仿宋" w:cs="仿宋"/>
          <w:sz w:val="28"/>
          <w:szCs w:val="28"/>
          <w:lang w:eastAsia="zh-Hans"/>
        </w:rPr>
        <w:t>投标函</w:t>
      </w:r>
      <w:bookmarkEnd w:id="400"/>
    </w:p>
    <w:p>
      <w:pPr>
        <w:numPr>
          <w:ilvl w:val="0"/>
          <w:numId w:val="6"/>
        </w:numPr>
        <w:adjustRightInd w:val="0"/>
        <w:snapToGrid w:val="0"/>
        <w:spacing w:line="360" w:lineRule="auto"/>
        <w:ind w:firstLine="1120" w:firstLineChars="400"/>
        <w:rPr>
          <w:rFonts w:ascii="仿宋" w:hAnsi="仿宋" w:eastAsia="仿宋" w:cs="仿宋"/>
          <w:sz w:val="28"/>
          <w:szCs w:val="28"/>
          <w:lang w:eastAsia="zh-Hans"/>
        </w:rPr>
      </w:pPr>
      <w:r>
        <w:rPr>
          <w:rFonts w:hint="eastAsia" w:ascii="仿宋" w:hAnsi="仿宋" w:eastAsia="仿宋" w:cs="仿宋"/>
          <w:sz w:val="28"/>
          <w:szCs w:val="28"/>
        </w:rPr>
        <w:t>开标一览表</w:t>
      </w:r>
    </w:p>
    <w:p>
      <w:pPr>
        <w:numPr>
          <w:ilvl w:val="0"/>
          <w:numId w:val="6"/>
        </w:numPr>
        <w:adjustRightInd w:val="0"/>
        <w:snapToGrid w:val="0"/>
        <w:spacing w:line="360" w:lineRule="auto"/>
        <w:ind w:firstLine="1120" w:firstLineChars="400"/>
        <w:rPr>
          <w:rFonts w:ascii="仿宋" w:hAnsi="仿宋" w:eastAsia="仿宋" w:cs="仿宋"/>
          <w:sz w:val="28"/>
          <w:szCs w:val="28"/>
        </w:rPr>
      </w:pPr>
      <w:bookmarkStart w:id="401" w:name="_Toc1580526141_WPSOffice_Level1"/>
      <w:r>
        <w:rPr>
          <w:rFonts w:hint="eastAsia" w:ascii="仿宋" w:hAnsi="仿宋" w:eastAsia="仿宋" w:cs="仿宋"/>
          <w:sz w:val="28"/>
          <w:szCs w:val="28"/>
        </w:rPr>
        <w:t>法定代表人身份证明（适用于无委托代理人的情况）</w:t>
      </w:r>
      <w:bookmarkEnd w:id="401"/>
    </w:p>
    <w:p>
      <w:pPr>
        <w:numPr>
          <w:ilvl w:val="0"/>
          <w:numId w:val="6"/>
        </w:numPr>
        <w:adjustRightInd w:val="0"/>
        <w:snapToGrid w:val="0"/>
        <w:spacing w:line="360" w:lineRule="auto"/>
        <w:ind w:firstLine="1120" w:firstLineChars="400"/>
        <w:rPr>
          <w:rFonts w:ascii="仿宋" w:hAnsi="仿宋" w:eastAsia="仿宋" w:cs="仿宋"/>
          <w:sz w:val="28"/>
          <w:szCs w:val="28"/>
        </w:rPr>
      </w:pPr>
      <w:bookmarkStart w:id="402" w:name="_Toc1677622044_WPSOffice_Level1"/>
      <w:r>
        <w:rPr>
          <w:rFonts w:hint="eastAsia" w:ascii="仿宋" w:hAnsi="仿宋" w:eastAsia="仿宋" w:cs="仿宋"/>
          <w:sz w:val="28"/>
          <w:szCs w:val="28"/>
        </w:rPr>
        <w:t>授权委托书（适用于有委托代理人的情况）</w:t>
      </w:r>
      <w:bookmarkEnd w:id="402"/>
    </w:p>
    <w:p>
      <w:pPr>
        <w:numPr>
          <w:ilvl w:val="0"/>
          <w:numId w:val="6"/>
        </w:numPr>
        <w:adjustRightInd w:val="0"/>
        <w:snapToGrid w:val="0"/>
        <w:spacing w:line="360" w:lineRule="auto"/>
        <w:ind w:firstLine="1120" w:firstLineChars="400"/>
        <w:rPr>
          <w:rFonts w:ascii="仿宋" w:hAnsi="仿宋" w:eastAsia="仿宋" w:cs="仿宋"/>
          <w:sz w:val="28"/>
          <w:szCs w:val="28"/>
          <w:lang w:eastAsia="zh-Hans"/>
        </w:rPr>
      </w:pPr>
      <w:bookmarkStart w:id="403" w:name="_Toc1480892045_WPSOffice_Level1"/>
      <w:r>
        <w:rPr>
          <w:rFonts w:hint="eastAsia" w:ascii="仿宋" w:hAnsi="仿宋" w:eastAsia="仿宋" w:cs="仿宋"/>
          <w:sz w:val="28"/>
          <w:szCs w:val="28"/>
        </w:rPr>
        <w:t>投标保证金</w:t>
      </w:r>
      <w:r>
        <w:rPr>
          <w:rFonts w:hint="eastAsia" w:ascii="仿宋" w:hAnsi="仿宋" w:eastAsia="仿宋" w:cs="仿宋"/>
          <w:sz w:val="28"/>
          <w:szCs w:val="28"/>
          <w:lang w:eastAsia="zh-Hans"/>
        </w:rPr>
        <w:t>缴纳凭证</w:t>
      </w:r>
      <w:bookmarkEnd w:id="403"/>
    </w:p>
    <w:p>
      <w:pPr>
        <w:numPr>
          <w:ilvl w:val="0"/>
          <w:numId w:val="6"/>
        </w:numPr>
        <w:adjustRightInd w:val="0"/>
        <w:snapToGrid w:val="0"/>
        <w:spacing w:line="360" w:lineRule="auto"/>
        <w:ind w:firstLine="1120" w:firstLineChars="400"/>
        <w:rPr>
          <w:rFonts w:ascii="仿宋" w:hAnsi="仿宋" w:eastAsia="仿宋" w:cs="仿宋"/>
          <w:sz w:val="28"/>
          <w:szCs w:val="28"/>
        </w:rPr>
      </w:pPr>
      <w:bookmarkStart w:id="404" w:name="_Toc17131585_WPSOffice_Level1"/>
      <w:r>
        <w:rPr>
          <w:rFonts w:hint="eastAsia" w:ascii="仿宋" w:hAnsi="仿宋" w:eastAsia="仿宋" w:cs="仿宋"/>
          <w:sz w:val="28"/>
          <w:szCs w:val="28"/>
        </w:rPr>
        <w:t>商务</w:t>
      </w:r>
      <w:r>
        <w:rPr>
          <w:rFonts w:hint="eastAsia" w:ascii="仿宋" w:hAnsi="仿宋" w:eastAsia="仿宋" w:cs="仿宋"/>
          <w:sz w:val="28"/>
          <w:szCs w:val="28"/>
          <w:lang w:eastAsia="zh-Hans"/>
        </w:rPr>
        <w:t>偏离表</w:t>
      </w:r>
      <w:bookmarkEnd w:id="404"/>
    </w:p>
    <w:p>
      <w:pPr>
        <w:numPr>
          <w:ilvl w:val="0"/>
          <w:numId w:val="6"/>
        </w:numPr>
        <w:adjustRightInd w:val="0"/>
        <w:snapToGrid w:val="0"/>
        <w:spacing w:line="360" w:lineRule="auto"/>
        <w:ind w:firstLine="1120" w:firstLineChars="400"/>
        <w:rPr>
          <w:rFonts w:ascii="仿宋" w:hAnsi="仿宋" w:eastAsia="仿宋" w:cs="仿宋"/>
          <w:sz w:val="28"/>
          <w:szCs w:val="28"/>
        </w:rPr>
      </w:pPr>
      <w:bookmarkStart w:id="405" w:name="_Toc1714307515_WPSOffice_Level1"/>
      <w:r>
        <w:rPr>
          <w:rFonts w:hint="eastAsia" w:ascii="仿宋" w:hAnsi="仿宋" w:eastAsia="仿宋" w:cs="仿宋"/>
          <w:sz w:val="28"/>
          <w:szCs w:val="28"/>
        </w:rPr>
        <w:t>资格审查资料</w:t>
      </w:r>
      <w:bookmarkEnd w:id="405"/>
    </w:p>
    <w:p>
      <w:pPr>
        <w:numPr>
          <w:ilvl w:val="0"/>
          <w:numId w:val="6"/>
        </w:numPr>
        <w:adjustRightInd w:val="0"/>
        <w:snapToGrid w:val="0"/>
        <w:spacing w:line="360" w:lineRule="auto"/>
        <w:ind w:firstLine="1120" w:firstLineChars="400"/>
        <w:rPr>
          <w:rFonts w:ascii="仿宋" w:hAnsi="仿宋" w:eastAsia="仿宋" w:cs="仿宋"/>
          <w:sz w:val="28"/>
          <w:szCs w:val="28"/>
        </w:rPr>
      </w:pPr>
      <w:bookmarkStart w:id="406" w:name="_Toc1725796453_WPSOffice_Level1"/>
      <w:r>
        <w:rPr>
          <w:rFonts w:hint="eastAsia" w:ascii="仿宋" w:hAnsi="仿宋" w:eastAsia="仿宋" w:cs="仿宋"/>
          <w:sz w:val="28"/>
          <w:szCs w:val="28"/>
        </w:rPr>
        <w:t>技术</w:t>
      </w:r>
      <w:r>
        <w:rPr>
          <w:rFonts w:hint="eastAsia" w:ascii="仿宋" w:hAnsi="仿宋" w:eastAsia="仿宋" w:cs="仿宋"/>
          <w:sz w:val="28"/>
          <w:szCs w:val="28"/>
          <w:lang w:eastAsia="zh-Hans"/>
        </w:rPr>
        <w:t>商务部分</w:t>
      </w:r>
      <w:bookmarkEnd w:id="406"/>
      <w:bookmarkStart w:id="407" w:name="_Toc457288941_WPSOffice_Level1"/>
    </w:p>
    <w:p>
      <w:pPr>
        <w:numPr>
          <w:ilvl w:val="0"/>
          <w:numId w:val="6"/>
        </w:numPr>
        <w:adjustRightInd w:val="0"/>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其他资料</w:t>
      </w:r>
      <w:bookmarkEnd w:id="407"/>
    </w:p>
    <w:p>
      <w:pPr>
        <w:widowControl/>
        <w:spacing w:line="440" w:lineRule="exact"/>
        <w:jc w:val="left"/>
        <w:rPr>
          <w:rFonts w:ascii="仿宋" w:hAnsi="仿宋" w:eastAsia="仿宋" w:cs="仿宋"/>
          <w:bCs/>
          <w:sz w:val="28"/>
          <w:szCs w:val="28"/>
        </w:rPr>
      </w:pPr>
    </w:p>
    <w:p>
      <w:pPr>
        <w:widowControl/>
        <w:spacing w:line="300" w:lineRule="auto"/>
        <w:jc w:val="left"/>
        <w:rPr>
          <w:rFonts w:ascii="仿宋" w:hAnsi="仿宋" w:eastAsia="仿宋" w:cs="仿宋"/>
          <w:bCs/>
          <w:sz w:val="28"/>
          <w:szCs w:val="28"/>
        </w:rPr>
      </w:pPr>
      <w:r>
        <w:rPr>
          <w:rFonts w:hint="eastAsia" w:ascii="仿宋" w:hAnsi="仿宋" w:eastAsia="仿宋" w:cs="仿宋"/>
          <w:b/>
          <w:sz w:val="28"/>
          <w:szCs w:val="28"/>
        </w:rPr>
        <w:t>注：1、投标人制作投标文件，应按照投标文件组成顺序制作，编好始末页码且在投标文件目录中一一列明并对应。</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br w:type="page"/>
      </w:r>
      <w:bookmarkStart w:id="408" w:name="_Toc246996356"/>
      <w:bookmarkStart w:id="409" w:name="_Toc247085874"/>
      <w:bookmarkStart w:id="410" w:name="_Toc514837979"/>
      <w:bookmarkStart w:id="411" w:name="_Toc246997099"/>
      <w:bookmarkStart w:id="412" w:name="_Toc144974857"/>
      <w:bookmarkStart w:id="413" w:name="_Toc179632808"/>
      <w:bookmarkStart w:id="414" w:name="_Toc152045788"/>
      <w:bookmarkStart w:id="415" w:name="_Toc152042577"/>
      <w:r>
        <w:rPr>
          <w:rFonts w:hint="eastAsia" w:ascii="仿宋" w:hAnsi="仿宋" w:eastAsia="仿宋" w:cs="仿宋"/>
          <w:b/>
          <w:bCs/>
          <w:sz w:val="28"/>
          <w:szCs w:val="28"/>
        </w:rPr>
        <w:t>一、投标函</w:t>
      </w:r>
      <w:bookmarkEnd w:id="408"/>
      <w:bookmarkEnd w:id="409"/>
      <w:bookmarkEnd w:id="410"/>
      <w:bookmarkEnd w:id="411"/>
      <w:bookmarkEnd w:id="412"/>
      <w:bookmarkEnd w:id="413"/>
      <w:bookmarkEnd w:id="414"/>
      <w:bookmarkEnd w:id="415"/>
    </w:p>
    <w:p>
      <w:pPr>
        <w:spacing w:line="360" w:lineRule="auto"/>
        <w:jc w:val="center"/>
        <w:rPr>
          <w:rFonts w:ascii="仿宋" w:hAnsi="仿宋" w:eastAsia="仿宋" w:cs="仿宋"/>
          <w:b/>
          <w:color w:val="000000"/>
          <w:sz w:val="28"/>
          <w:szCs w:val="28"/>
        </w:rPr>
      </w:pP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招标人：中共乌鲁木齐市水磨沟区委员会政法委员会</w:t>
      </w:r>
    </w:p>
    <w:p>
      <w:pPr>
        <w:spacing w:line="360" w:lineRule="auto"/>
        <w:rPr>
          <w:rFonts w:ascii="仿宋" w:hAnsi="仿宋" w:eastAsia="仿宋" w:cs="仿宋"/>
          <w:color w:val="000000"/>
          <w:sz w:val="28"/>
          <w:szCs w:val="28"/>
          <w:u w:val="single"/>
        </w:rPr>
      </w:pPr>
    </w:p>
    <w:p>
      <w:pPr>
        <w:adjustRightInd w:val="0"/>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根据已收到的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项目的招标文件，遵照国家、地方招标投标法律法规的规定，我单位经考察现场和研究贵方的招标文件后愿意以人民币（大写：）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（小写：¥       ）的投标总报价，提供本项目招标范围内的水磨沟区</w:t>
      </w:r>
      <w:r>
        <w:rPr>
          <w:rFonts w:hint="eastAsia" w:ascii="仿宋" w:hAnsi="仿宋" w:eastAsia="仿宋" w:cs="仿宋"/>
          <w:color w:val="000000"/>
          <w:sz w:val="28"/>
          <w:szCs w:val="28"/>
          <w:lang w:eastAsia="zh-CN"/>
        </w:rPr>
        <w:t xml:space="preserve"> </w:t>
      </w:r>
      <w:r>
        <w:rPr>
          <w:rFonts w:hint="eastAsia" w:ascii="仿宋" w:hAnsi="仿宋" w:eastAsia="仿宋" w:cs="仿宋"/>
          <w:color w:val="000000"/>
          <w:sz w:val="28"/>
          <w:szCs w:val="28"/>
        </w:rPr>
        <w:t>相关设备专线链路租赁标项？的服务。并按合同约定履行义务。为此：</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1、我方承诺：已经具备《中华人民共和国政府采购法》中规定的参加政府采购活动的投标人应当具备的条件和本招标文件中规定的条件。</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2、我方同意在本项目招标文件中规定的投标有效期内遵守本投标文件中的承诺且在此期限期满之前均具有约束力。如果在开标后规定的投标有效期内撤回投标，我方的投标保证金可被贵方没收。</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3、按照招标文件规定提供全部投标文件。</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4、接受招标文件中的全部条款且无任何异议，保证遵守招标文件的规定。</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5、我方承诺：完全满足和响应招标文件中的各项技术和服务要求，若有偏差，已在偏离表中予以明确特别说明。</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6、我方已详细审核全部投标文件，包括投标文件修改书（如有的话）、参考资料及有关附件，确认无误。</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7、我方承诺：</w:t>
      </w:r>
      <w:r>
        <w:rPr>
          <w:rFonts w:hint="eastAsia" w:ascii="仿宋" w:hAnsi="仿宋" w:eastAsia="仿宋" w:cs="仿宋"/>
          <w:color w:val="000000"/>
          <w:sz w:val="28"/>
          <w:szCs w:val="28"/>
        </w:rPr>
        <w:t>与采购人和采购代理机构无任何的隶属关系或者其他利害关系。</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8、保证忠实地执行双方所签订的合同，并承担合同规定的责任和义务。</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9、我方承诺：投标文件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10、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1）提供虚假材料谋取中标、成交的；</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2）采取不正当手段诋毁、排挤其他投标人的；</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3）与采购人、其他投标人或者采购代理机构恶意串通的；</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4）向采购人、采购代理机构行贿或者提供其他不正当利益的；</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5）在招标采购过程中与采购人进行协商磋商的；</w:t>
      </w:r>
    </w:p>
    <w:p>
      <w:pPr>
        <w:pStyle w:val="13"/>
        <w:widowControl/>
        <w:spacing w:line="360" w:lineRule="auto"/>
        <w:ind w:left="0" w:leftChars="0" w:firstLine="560" w:firstLineChars="200"/>
        <w:rPr>
          <w:rFonts w:ascii="仿宋" w:hAnsi="仿宋" w:eastAsia="仿宋" w:cs="仿宋"/>
          <w:sz w:val="28"/>
          <w:szCs w:val="28"/>
        </w:rPr>
      </w:pPr>
      <w:r>
        <w:rPr>
          <w:rFonts w:hint="eastAsia" w:ascii="仿宋" w:hAnsi="仿宋" w:eastAsia="仿宋" w:cs="仿宋"/>
          <w:sz w:val="28"/>
          <w:szCs w:val="28"/>
        </w:rPr>
        <w:t>6）拒绝有关部门监督检查或提供虚假情况的。</w:t>
      </w:r>
    </w:p>
    <w:p>
      <w:pPr>
        <w:spacing w:line="360" w:lineRule="auto"/>
        <w:rPr>
          <w:rFonts w:ascii="仿宋" w:hAnsi="仿宋" w:eastAsia="仿宋" w:cs="仿宋"/>
          <w:color w:val="000000"/>
          <w:sz w:val="28"/>
          <w:szCs w:val="28"/>
        </w:rPr>
      </w:pPr>
    </w:p>
    <w:p>
      <w:pPr>
        <w:spacing w:line="360" w:lineRule="auto"/>
        <w:jc w:val="right"/>
        <w:rPr>
          <w:rFonts w:ascii="仿宋" w:hAnsi="仿宋" w:eastAsia="仿宋" w:cs="仿宋"/>
          <w:color w:val="000000"/>
          <w:sz w:val="28"/>
          <w:szCs w:val="28"/>
        </w:rPr>
      </w:pPr>
      <w:r>
        <w:rPr>
          <w:rFonts w:hint="eastAsia" w:ascii="仿宋" w:hAnsi="仿宋" w:eastAsia="仿宋" w:cs="仿宋"/>
          <w:color w:val="000000"/>
          <w:sz w:val="28"/>
          <w:szCs w:val="28"/>
        </w:rPr>
        <w:t>投  标  人（盖章）：</w:t>
      </w:r>
    </w:p>
    <w:p>
      <w:pPr>
        <w:spacing w:line="360" w:lineRule="auto"/>
        <w:jc w:val="both"/>
        <w:rPr>
          <w:rFonts w:ascii="仿宋" w:hAnsi="仿宋" w:eastAsia="仿宋" w:cs="仿宋"/>
          <w:color w:val="000000"/>
          <w:sz w:val="28"/>
          <w:szCs w:val="28"/>
        </w:rPr>
      </w:pPr>
    </w:p>
    <w:p>
      <w:pPr>
        <w:spacing w:line="360" w:lineRule="auto"/>
        <w:jc w:val="right"/>
        <w:rPr>
          <w:rFonts w:ascii="仿宋" w:hAnsi="仿宋" w:eastAsia="仿宋" w:cs="仿宋"/>
          <w:color w:val="000000"/>
          <w:sz w:val="28"/>
          <w:szCs w:val="28"/>
        </w:rPr>
      </w:pPr>
      <w:r>
        <w:rPr>
          <w:rFonts w:hint="eastAsia" w:ascii="仿宋" w:hAnsi="仿宋" w:eastAsia="仿宋" w:cs="仿宋"/>
          <w:color w:val="000000"/>
          <w:sz w:val="28"/>
          <w:szCs w:val="28"/>
        </w:rPr>
        <w:t>法定代表人</w:t>
      </w:r>
    </w:p>
    <w:p>
      <w:pPr>
        <w:spacing w:line="360" w:lineRule="auto"/>
        <w:jc w:val="right"/>
        <w:rPr>
          <w:rFonts w:ascii="仿宋" w:hAnsi="仿宋" w:eastAsia="仿宋" w:cs="仿宋"/>
          <w:color w:val="000000"/>
          <w:sz w:val="28"/>
          <w:szCs w:val="28"/>
        </w:rPr>
      </w:pPr>
      <w:r>
        <w:rPr>
          <w:rFonts w:hint="eastAsia" w:ascii="仿宋" w:hAnsi="仿宋" w:eastAsia="仿宋" w:cs="仿宋"/>
          <w:color w:val="000000"/>
          <w:sz w:val="28"/>
          <w:szCs w:val="28"/>
        </w:rPr>
        <w:t>或委托代理人（签字或盖章）：</w:t>
      </w:r>
    </w:p>
    <w:p>
      <w:pPr>
        <w:spacing w:line="360" w:lineRule="auto"/>
        <w:jc w:val="right"/>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wordWrap w:val="0"/>
        <w:spacing w:line="360" w:lineRule="auto"/>
        <w:jc w:val="righ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rPr>
          <w:rFonts w:ascii="仿宋" w:hAnsi="仿宋" w:eastAsia="仿宋" w:cs="仿宋"/>
          <w:b/>
          <w:color w:val="000000"/>
          <w:sz w:val="28"/>
          <w:szCs w:val="28"/>
        </w:rPr>
      </w:pPr>
    </w:p>
    <w:p>
      <w:pPr>
        <w:spacing w:line="360" w:lineRule="auto"/>
        <w:jc w:val="center"/>
        <w:rPr>
          <w:rFonts w:ascii="仿宋" w:hAnsi="仿宋" w:eastAsia="仿宋" w:cs="仿宋"/>
          <w:b/>
          <w:color w:val="000000"/>
          <w:sz w:val="28"/>
          <w:szCs w:val="28"/>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b/>
          <w:color w:val="000000"/>
          <w:sz w:val="28"/>
          <w:szCs w:val="28"/>
        </w:rPr>
        <w:t xml:space="preserve"> </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二、开标一览表</w:t>
      </w:r>
    </w:p>
    <w:p>
      <w:pPr>
        <w:spacing w:line="360" w:lineRule="auto"/>
        <w:jc w:val="center"/>
        <w:rPr>
          <w:rFonts w:ascii="仿宋" w:hAnsi="仿宋" w:eastAsia="仿宋" w:cs="仿宋"/>
          <w:b/>
          <w:color w:val="000000"/>
          <w:sz w:val="28"/>
          <w:szCs w:val="28"/>
          <w:highlight w:val="yellow"/>
        </w:rPr>
      </w:pP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项目名称：</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标项名称：</w:t>
      </w: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项目编号：</w:t>
      </w:r>
    </w:p>
    <w:tbl>
      <w:tblPr>
        <w:tblStyle w:val="2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20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autoSpaceDE w:val="0"/>
              <w:autoSpaceDN w:val="0"/>
              <w:adjustRightIn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2205" w:type="dxa"/>
            <w:vAlign w:val="center"/>
          </w:tcPr>
          <w:p>
            <w:pPr>
              <w:autoSpaceDE w:val="0"/>
              <w:autoSpaceDN w:val="0"/>
              <w:adjustRightIn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项目</w:t>
            </w:r>
          </w:p>
        </w:tc>
        <w:tc>
          <w:tcPr>
            <w:tcW w:w="5880" w:type="dxa"/>
            <w:vAlign w:val="center"/>
          </w:tcPr>
          <w:p>
            <w:pPr>
              <w:autoSpaceDE w:val="0"/>
              <w:autoSpaceDN w:val="0"/>
              <w:adjustRightIn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53" w:type="dxa"/>
            <w:vAlign w:val="center"/>
          </w:tcPr>
          <w:p>
            <w:pPr>
              <w:autoSpaceDE w:val="0"/>
              <w:autoSpaceDN w:val="0"/>
              <w:adjustRightIn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2205" w:type="dxa"/>
            <w:vAlign w:val="center"/>
          </w:tcPr>
          <w:p>
            <w:pPr>
              <w:autoSpaceDE w:val="0"/>
              <w:autoSpaceDN w:val="0"/>
              <w:adjustRightIn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投标总报价（元）</w:t>
            </w:r>
          </w:p>
        </w:tc>
        <w:tc>
          <w:tcPr>
            <w:tcW w:w="5880" w:type="dxa"/>
            <w:vAlign w:val="center"/>
          </w:tcPr>
          <w:p>
            <w:pPr>
              <w:autoSpaceDE w:val="0"/>
              <w:autoSpaceDN w:val="0"/>
              <w:adjustRightIn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小写：</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138" w:type="dxa"/>
            <w:gridSpan w:val="3"/>
            <w:vAlign w:val="center"/>
          </w:tcPr>
          <w:p>
            <w:pPr>
              <w:autoSpaceDE w:val="0"/>
              <w:autoSpaceDN w:val="0"/>
              <w:adjustRightInd w:val="0"/>
              <w:spacing w:line="360" w:lineRule="auto"/>
              <w:rPr>
                <w:rFonts w:ascii="仿宋" w:hAnsi="仿宋" w:eastAsia="仿宋" w:cs="仿宋"/>
                <w:kern w:val="0"/>
                <w:sz w:val="28"/>
                <w:szCs w:val="28"/>
              </w:rPr>
            </w:pPr>
            <w:r>
              <w:rPr>
                <w:rFonts w:hint="eastAsia" w:ascii="仿宋" w:hAnsi="仿宋" w:eastAsia="仿宋" w:cs="仿宋"/>
                <w:kern w:val="0"/>
                <w:sz w:val="28"/>
                <w:szCs w:val="28"/>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38" w:type="dxa"/>
            <w:gridSpan w:val="3"/>
            <w:vAlign w:val="center"/>
          </w:tcPr>
          <w:p>
            <w:pPr>
              <w:autoSpaceDE w:val="0"/>
              <w:autoSpaceDN w:val="0"/>
              <w:adjustRightIn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链路接通工期：签订合同后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38" w:type="dxa"/>
            <w:gridSpan w:val="3"/>
            <w:vAlign w:val="center"/>
          </w:tcPr>
          <w:p>
            <w:pPr>
              <w:autoSpaceDE w:val="0"/>
              <w:autoSpaceDN w:val="0"/>
              <w:adjustRightInd w:val="0"/>
              <w:spacing w:line="360" w:lineRule="auto"/>
              <w:rPr>
                <w:rFonts w:ascii="仿宋" w:hAnsi="仿宋" w:eastAsia="仿宋" w:cs="仿宋"/>
                <w:kern w:val="0"/>
                <w:sz w:val="28"/>
                <w:szCs w:val="28"/>
              </w:rPr>
            </w:pPr>
            <w:r>
              <w:rPr>
                <w:rFonts w:hint="eastAsia" w:ascii="仿宋" w:hAnsi="仿宋" w:eastAsia="仿宋" w:cs="仿宋"/>
                <w:kern w:val="0"/>
                <w:sz w:val="28"/>
                <w:szCs w:val="28"/>
              </w:rPr>
              <w:t>备注：</w:t>
            </w:r>
          </w:p>
        </w:tc>
      </w:tr>
    </w:tbl>
    <w:p>
      <w:pPr>
        <w:pStyle w:val="47"/>
        <w:spacing w:line="440" w:lineRule="exact"/>
        <w:rPr>
          <w:rFonts w:ascii="仿宋" w:hAnsi="仿宋" w:eastAsia="仿宋" w:cs="仿宋"/>
          <w:color w:val="auto"/>
          <w:sz w:val="28"/>
          <w:szCs w:val="28"/>
        </w:rPr>
      </w:pPr>
      <w:r>
        <w:rPr>
          <w:rFonts w:hint="eastAsia" w:ascii="仿宋" w:hAnsi="仿宋" w:eastAsia="仿宋" w:cs="仿宋"/>
          <w:color w:val="auto"/>
          <w:sz w:val="28"/>
          <w:szCs w:val="28"/>
        </w:rPr>
        <w:t>兹声明：以上投标报价在投标有效期内一直有效。</w:t>
      </w:r>
    </w:p>
    <w:p>
      <w:pPr>
        <w:pStyle w:val="10"/>
        <w:ind w:left="0" w:firstLine="0" w:firstLineChars="0"/>
        <w:rPr>
          <w:rFonts w:ascii="仿宋" w:hAnsi="仿宋" w:eastAsia="仿宋" w:cs="仿宋"/>
          <w:b/>
          <w:bCs/>
          <w:sz w:val="28"/>
          <w:szCs w:val="28"/>
        </w:rPr>
      </w:pPr>
      <w:r>
        <w:rPr>
          <w:rFonts w:hint="eastAsia" w:ascii="仿宋" w:hAnsi="仿宋" w:eastAsia="仿宋" w:cs="仿宋"/>
          <w:b/>
          <w:bCs/>
          <w:sz w:val="28"/>
          <w:szCs w:val="28"/>
        </w:rPr>
        <w:t>注：</w:t>
      </w:r>
    </w:p>
    <w:p>
      <w:pPr>
        <w:pStyle w:val="10"/>
        <w:ind w:left="0" w:firstLine="0" w:firstLineChars="0"/>
        <w:rPr>
          <w:rFonts w:ascii="仿宋" w:hAnsi="仿宋" w:eastAsia="仿宋" w:cs="仿宋"/>
          <w:b/>
          <w:bCs/>
          <w:sz w:val="28"/>
          <w:szCs w:val="28"/>
        </w:rPr>
      </w:pPr>
      <w:r>
        <w:rPr>
          <w:rFonts w:hint="eastAsia" w:ascii="仿宋" w:hAnsi="仿宋" w:eastAsia="仿宋" w:cs="仿宋"/>
          <w:b/>
          <w:bCs/>
          <w:sz w:val="28"/>
          <w:szCs w:val="28"/>
        </w:rPr>
        <w:t>1、此表与投标保证金</w:t>
      </w:r>
      <w:r>
        <w:rPr>
          <w:rFonts w:hint="eastAsia" w:ascii="仿宋" w:hAnsi="仿宋" w:eastAsia="仿宋" w:cs="仿宋"/>
          <w:b/>
          <w:bCs/>
          <w:sz w:val="28"/>
          <w:szCs w:val="28"/>
          <w:lang w:eastAsia="zh-Hans"/>
        </w:rPr>
        <w:t>缴纳凭证</w:t>
      </w:r>
      <w:r>
        <w:rPr>
          <w:rFonts w:hint="eastAsia" w:ascii="仿宋" w:hAnsi="仿宋" w:eastAsia="仿宋" w:cs="仿宋"/>
          <w:b/>
          <w:bCs/>
          <w:sz w:val="28"/>
          <w:szCs w:val="28"/>
        </w:rPr>
        <w:t>一同装在一单独的信封内密封后单独提交。</w:t>
      </w:r>
    </w:p>
    <w:p>
      <w:pPr>
        <w:pStyle w:val="47"/>
        <w:spacing w:line="440" w:lineRule="exact"/>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2、本表格式不得更改，投标人只能按要求填报，否则将被视为无效投标。</w:t>
      </w:r>
    </w:p>
    <w:p>
      <w:pPr>
        <w:pStyle w:val="47"/>
        <w:spacing w:line="440" w:lineRule="exact"/>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3、本表中“投标总报价”必须与《投标函》中的“投标总报价”均保持一致，如不一致，以《开标一览表》为准。</w:t>
      </w:r>
    </w:p>
    <w:p>
      <w:pPr>
        <w:pStyle w:val="47"/>
        <w:spacing w:line="440" w:lineRule="exact"/>
        <w:jc w:val="right"/>
        <w:rPr>
          <w:rFonts w:ascii="仿宋" w:hAnsi="仿宋" w:eastAsia="仿宋" w:cs="仿宋"/>
          <w:b/>
          <w:bCs/>
          <w:color w:val="auto"/>
          <w:kern w:val="2"/>
          <w:sz w:val="28"/>
          <w:szCs w:val="28"/>
        </w:rPr>
      </w:pPr>
    </w:p>
    <w:p>
      <w:pPr>
        <w:spacing w:line="360" w:lineRule="auto"/>
        <w:jc w:val="right"/>
        <w:rPr>
          <w:rFonts w:ascii="仿宋" w:hAnsi="仿宋" w:eastAsia="仿宋" w:cs="仿宋"/>
          <w:sz w:val="28"/>
          <w:szCs w:val="28"/>
        </w:rPr>
      </w:pPr>
      <w:r>
        <w:rPr>
          <w:rFonts w:hint="eastAsia" w:ascii="仿宋" w:hAnsi="仿宋" w:eastAsia="仿宋" w:cs="仿宋"/>
          <w:color w:val="000000"/>
          <w:sz w:val="28"/>
          <w:szCs w:val="28"/>
        </w:rPr>
        <w:t xml:space="preserve">投 标 人（盖章）：                       </w:t>
      </w:r>
    </w:p>
    <w:p>
      <w:pPr>
        <w:spacing w:line="360" w:lineRule="auto"/>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法定代表人                                     </w:t>
      </w:r>
    </w:p>
    <w:p>
      <w:pPr>
        <w:spacing w:line="360" w:lineRule="auto"/>
        <w:jc w:val="right"/>
        <w:rPr>
          <w:rFonts w:ascii="仿宋" w:hAnsi="仿宋" w:eastAsia="仿宋" w:cs="仿宋"/>
          <w:color w:val="000000"/>
          <w:sz w:val="28"/>
          <w:szCs w:val="28"/>
          <w:highlight w:val="yellow"/>
        </w:rPr>
      </w:pPr>
      <w:r>
        <w:rPr>
          <w:rFonts w:hint="eastAsia" w:ascii="仿宋" w:hAnsi="仿宋" w:eastAsia="仿宋" w:cs="仿宋"/>
          <w:color w:val="000000"/>
          <w:sz w:val="28"/>
          <w:szCs w:val="28"/>
        </w:rPr>
        <w:t xml:space="preserve">或委托代理人（签字或盖章）：                  </w:t>
      </w:r>
      <w:r>
        <w:rPr>
          <w:rFonts w:hint="eastAsia" w:ascii="仿宋" w:hAnsi="仿宋" w:eastAsia="仿宋" w:cs="仿宋"/>
          <w:color w:val="FF0000"/>
          <w:sz w:val="28"/>
          <w:szCs w:val="28"/>
        </w:rPr>
        <w:t xml:space="preserve">   </w:t>
      </w:r>
    </w:p>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jc w:val="center"/>
        <w:rPr>
          <w:rFonts w:ascii="仿宋" w:hAnsi="仿宋" w:eastAsia="仿宋" w:cs="仿宋"/>
          <w:b/>
          <w:bCs/>
          <w:sz w:val="28"/>
          <w:szCs w:val="28"/>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p>
    <w:p>
      <w:pPr>
        <w:adjustRightInd w:val="0"/>
        <w:snapToGrid w:val="0"/>
        <w:spacing w:line="360" w:lineRule="auto"/>
        <w:jc w:val="center"/>
        <w:rPr>
          <w:rFonts w:ascii="仿宋" w:hAnsi="仿宋" w:eastAsia="仿宋" w:cs="仿宋"/>
          <w:sz w:val="28"/>
          <w:szCs w:val="28"/>
        </w:rPr>
      </w:pPr>
      <w:bookmarkStart w:id="416" w:name="_Toc514837980"/>
      <w:r>
        <w:rPr>
          <w:rFonts w:hint="eastAsia" w:ascii="仿宋" w:hAnsi="仿宋" w:eastAsia="仿宋" w:cs="仿宋"/>
          <w:b/>
          <w:bCs/>
          <w:sz w:val="28"/>
          <w:szCs w:val="28"/>
        </w:rPr>
        <w:t>三、法定代表人身份证明</w:t>
      </w:r>
      <w:bookmarkEnd w:id="416"/>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附：法定代表人身份证复印件。</w:t>
      </w: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注：本身份证明需由投标人加盖单位公章。</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投标人：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（加盖单位公章）</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br w:type="page"/>
      </w:r>
      <w:bookmarkStart w:id="417" w:name="_Toc246997103"/>
      <w:bookmarkStart w:id="418" w:name="_Toc179632812"/>
      <w:bookmarkStart w:id="419" w:name="_Toc246996360"/>
      <w:bookmarkStart w:id="420" w:name="_Toc152042581"/>
      <w:bookmarkStart w:id="421" w:name="_Toc152045792"/>
      <w:bookmarkStart w:id="422" w:name="_Toc144974861"/>
      <w:bookmarkStart w:id="423" w:name="_Toc247085878"/>
      <w:bookmarkStart w:id="424" w:name="_Toc514837981"/>
      <w:r>
        <w:rPr>
          <w:rFonts w:hint="eastAsia" w:ascii="仿宋" w:hAnsi="仿宋" w:eastAsia="仿宋" w:cs="仿宋"/>
          <w:sz w:val="28"/>
          <w:szCs w:val="28"/>
        </w:rPr>
        <w:t>四</w:t>
      </w:r>
      <w:r>
        <w:rPr>
          <w:rFonts w:hint="eastAsia" w:ascii="仿宋" w:hAnsi="仿宋" w:eastAsia="仿宋" w:cs="仿宋"/>
          <w:sz w:val="28"/>
          <w:szCs w:val="28"/>
          <w:lang w:eastAsia="zh-Hans"/>
        </w:rPr>
        <w:t>、</w:t>
      </w:r>
      <w:r>
        <w:rPr>
          <w:rFonts w:hint="eastAsia" w:ascii="仿宋" w:hAnsi="仿宋" w:eastAsia="仿宋" w:cs="仿宋"/>
          <w:b/>
          <w:bCs/>
          <w:sz w:val="28"/>
          <w:szCs w:val="28"/>
        </w:rPr>
        <w:t>授权委托书</w:t>
      </w:r>
      <w:bookmarkEnd w:id="417"/>
      <w:bookmarkEnd w:id="418"/>
      <w:bookmarkEnd w:id="419"/>
      <w:bookmarkEnd w:id="420"/>
      <w:bookmarkEnd w:id="421"/>
      <w:bookmarkEnd w:id="422"/>
      <w:bookmarkEnd w:id="423"/>
      <w:bookmarkEnd w:id="424"/>
    </w:p>
    <w:p>
      <w:pPr>
        <w:adjustRightInd w:val="0"/>
        <w:snapToGrid w:val="0"/>
        <w:spacing w:line="360" w:lineRule="auto"/>
        <w:rPr>
          <w:rFonts w:ascii="仿宋" w:hAnsi="仿宋" w:eastAsia="仿宋" w:cs="仿宋"/>
          <w:sz w:val="28"/>
          <w:szCs w:val="28"/>
        </w:rPr>
      </w:pPr>
    </w:p>
    <w:p>
      <w:pPr>
        <w:topLinePunct/>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（姓名）为我方代理人。代理人根据授权，以我方名义签署、澄清确认、递交、撤回、修改本招标项目投标文件、签订合同和处理有关事宜，其法律后果由我方承担。</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委托期限：</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代理人无转委托权。</w:t>
      </w:r>
    </w:p>
    <w:p>
      <w:pPr>
        <w:adjustRightInd w:val="0"/>
        <w:snapToGrid w:val="0"/>
        <w:spacing w:line="360" w:lineRule="auto"/>
        <w:rPr>
          <w:rFonts w:ascii="仿宋" w:hAnsi="仿宋" w:eastAsia="仿宋" w:cs="仿宋"/>
          <w:b/>
          <w:sz w:val="28"/>
          <w:szCs w:val="28"/>
        </w:rPr>
      </w:pPr>
    </w:p>
    <w:p>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附：法定代表人身份证复印件及委托代理人身份证复印件</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注：本授权委托书需由投标人加盖单位公章并由其法定代表人和委托代理人签字。</w:t>
      </w:r>
    </w:p>
    <w:p>
      <w:pPr>
        <w:adjustRightInd w:val="0"/>
        <w:snapToGrid w:val="0"/>
        <w:spacing w:line="360" w:lineRule="auto"/>
        <w:rPr>
          <w:rFonts w:ascii="仿宋" w:hAnsi="仿宋" w:eastAsia="仿宋" w:cs="仿宋"/>
          <w:sz w:val="28"/>
          <w:szCs w:val="28"/>
        </w:rPr>
      </w:pPr>
    </w:p>
    <w:p>
      <w:pPr>
        <w:adjustRightInd w:val="0"/>
        <w:snapToGrid w:val="0"/>
        <w:spacing w:line="360" w:lineRule="auto"/>
        <w:rPr>
          <w:rFonts w:ascii="仿宋" w:hAnsi="仿宋" w:eastAsia="仿宋" w:cs="仿宋"/>
          <w:sz w:val="28"/>
          <w:szCs w:val="28"/>
        </w:rPr>
      </w:pPr>
    </w:p>
    <w:p>
      <w:pPr>
        <w:adjustRightInd w:val="0"/>
        <w:snapToGrid w:val="0"/>
        <w:spacing w:line="360" w:lineRule="auto"/>
        <w:ind w:firstLine="3640" w:firstLineChars="1300"/>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（加盖单位公章）</w:t>
      </w:r>
    </w:p>
    <w:p>
      <w:pPr>
        <w:adjustRightInd w:val="0"/>
        <w:snapToGrid w:val="0"/>
        <w:spacing w:line="360" w:lineRule="auto"/>
        <w:ind w:firstLine="3640" w:firstLineChars="1300"/>
        <w:rPr>
          <w:rFonts w:ascii="仿宋" w:hAnsi="仿宋" w:eastAsia="仿宋" w:cs="仿宋"/>
          <w:sz w:val="28"/>
          <w:szCs w:val="28"/>
        </w:rPr>
      </w:pPr>
    </w:p>
    <w:p>
      <w:pPr>
        <w:adjustRightInd w:val="0"/>
        <w:snapToGrid w:val="0"/>
        <w:spacing w:line="360" w:lineRule="auto"/>
        <w:ind w:firstLine="3640" w:firstLineChars="13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color w:val="000000"/>
          <w:sz w:val="28"/>
          <w:szCs w:val="28"/>
        </w:rPr>
        <w:t>签字或盖章</w:t>
      </w:r>
      <w:r>
        <w:rPr>
          <w:rFonts w:hint="eastAsia" w:ascii="仿宋" w:hAnsi="仿宋" w:eastAsia="仿宋" w:cs="仿宋"/>
          <w:sz w:val="28"/>
          <w:szCs w:val="28"/>
        </w:rPr>
        <w:t>）</w:t>
      </w:r>
    </w:p>
    <w:p>
      <w:pPr>
        <w:adjustRightInd w:val="0"/>
        <w:snapToGrid w:val="0"/>
        <w:spacing w:line="360" w:lineRule="auto"/>
        <w:ind w:firstLine="3640" w:firstLineChars="1300"/>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adjustRightInd w:val="0"/>
        <w:snapToGrid w:val="0"/>
        <w:spacing w:line="360" w:lineRule="auto"/>
        <w:ind w:firstLine="3640" w:firstLineChars="1300"/>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pPr>
        <w:adjustRightInd w:val="0"/>
        <w:snapToGrid w:val="0"/>
        <w:spacing w:line="360" w:lineRule="auto"/>
        <w:ind w:firstLine="3640" w:firstLineChars="1300"/>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
        <w:adjustRightInd w:val="0"/>
        <w:snapToGrid w:val="0"/>
        <w:spacing w:before="0" w:after="0" w:line="360" w:lineRule="auto"/>
        <w:jc w:val="center"/>
        <w:rPr>
          <w:rFonts w:ascii="仿宋" w:hAnsi="仿宋" w:eastAsia="仿宋" w:cs="仿宋"/>
          <w:sz w:val="28"/>
          <w:szCs w:val="28"/>
        </w:rPr>
      </w:pPr>
      <w:bookmarkStart w:id="425" w:name="_Toc152042584"/>
      <w:bookmarkStart w:id="426" w:name="_Toc152045795"/>
      <w:bookmarkStart w:id="427" w:name="_Toc144974863"/>
      <w:bookmarkStart w:id="428" w:name="_Toc247085881"/>
      <w:bookmarkStart w:id="429" w:name="_Toc179632815"/>
      <w:bookmarkStart w:id="430" w:name="_Toc246997106"/>
      <w:bookmarkStart w:id="431" w:name="_Toc246996363"/>
      <w:bookmarkStart w:id="432" w:name="_Toc514837983"/>
      <w:r>
        <w:rPr>
          <w:rFonts w:hint="eastAsia" w:ascii="仿宋" w:hAnsi="仿宋" w:eastAsia="仿宋" w:cs="仿宋"/>
          <w:sz w:val="28"/>
          <w:szCs w:val="28"/>
        </w:rPr>
        <w:br w:type="page"/>
      </w:r>
      <w:bookmarkEnd w:id="425"/>
      <w:bookmarkEnd w:id="426"/>
      <w:bookmarkEnd w:id="427"/>
      <w:bookmarkEnd w:id="428"/>
      <w:bookmarkEnd w:id="429"/>
      <w:bookmarkEnd w:id="430"/>
      <w:bookmarkEnd w:id="431"/>
      <w:r>
        <w:rPr>
          <w:rFonts w:hint="eastAsia" w:ascii="仿宋" w:hAnsi="仿宋" w:eastAsia="仿宋" w:cs="仿宋"/>
          <w:sz w:val="28"/>
          <w:szCs w:val="28"/>
        </w:rPr>
        <w:t>五</w:t>
      </w:r>
      <w:r>
        <w:rPr>
          <w:rFonts w:hint="eastAsia" w:ascii="仿宋" w:hAnsi="仿宋" w:eastAsia="仿宋" w:cs="仿宋"/>
          <w:sz w:val="28"/>
          <w:szCs w:val="28"/>
          <w:lang w:eastAsia="zh-Hans"/>
        </w:rPr>
        <w:t>、</w:t>
      </w:r>
      <w:r>
        <w:rPr>
          <w:rFonts w:hint="eastAsia" w:ascii="仿宋" w:hAnsi="仿宋" w:eastAsia="仿宋" w:cs="仿宋"/>
          <w:sz w:val="28"/>
          <w:szCs w:val="28"/>
        </w:rPr>
        <w:t>投标保证金</w:t>
      </w:r>
      <w:bookmarkEnd w:id="432"/>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投标人递交投标保证金的付款凭据复印件；</w:t>
      </w:r>
    </w:p>
    <w:p>
      <w:pPr>
        <w:pStyle w:val="10"/>
        <w:ind w:firstLine="241"/>
        <w:rPr>
          <w:rFonts w:ascii="仿宋" w:hAnsi="仿宋" w:eastAsia="仿宋" w:cs="仿宋"/>
          <w:sz w:val="28"/>
          <w:szCs w:val="28"/>
        </w:rPr>
      </w:pPr>
      <w:r>
        <w:rPr>
          <w:rFonts w:hint="eastAsia" w:ascii="仿宋" w:hAnsi="仿宋" w:eastAsia="仿宋" w:cs="仿宋"/>
          <w:b/>
          <w:bCs/>
          <w:color w:val="000000"/>
          <w:sz w:val="28"/>
          <w:szCs w:val="28"/>
          <w:lang w:eastAsia="zh-Hans"/>
        </w:rPr>
        <w:t>注：</w:t>
      </w:r>
      <w:r>
        <w:rPr>
          <w:rFonts w:hint="eastAsia" w:ascii="仿宋" w:hAnsi="仿宋" w:eastAsia="仿宋" w:cs="仿宋"/>
          <w:b/>
          <w:bCs/>
          <w:color w:val="000000"/>
          <w:sz w:val="28"/>
          <w:szCs w:val="28"/>
        </w:rPr>
        <w:t>投标保证金</w:t>
      </w:r>
      <w:r>
        <w:rPr>
          <w:rFonts w:hint="eastAsia" w:ascii="仿宋" w:hAnsi="仿宋" w:eastAsia="仿宋" w:cs="仿宋"/>
          <w:b/>
          <w:bCs/>
          <w:color w:val="000000"/>
          <w:sz w:val="28"/>
          <w:szCs w:val="28"/>
          <w:lang w:eastAsia="zh-Hans"/>
        </w:rPr>
        <w:t>缴纳凭证与开标一览表</w:t>
      </w:r>
      <w:r>
        <w:rPr>
          <w:rFonts w:hint="eastAsia" w:ascii="仿宋" w:hAnsi="仿宋" w:eastAsia="仿宋" w:cs="仿宋"/>
          <w:b/>
          <w:bCs/>
          <w:color w:val="000000"/>
          <w:sz w:val="28"/>
          <w:szCs w:val="28"/>
        </w:rPr>
        <w:t>一同装在一单独的信封内密封</w:t>
      </w:r>
      <w:r>
        <w:rPr>
          <w:rFonts w:hint="eastAsia" w:ascii="仿宋" w:hAnsi="仿宋" w:eastAsia="仿宋" w:cs="仿宋"/>
          <w:b/>
          <w:bCs/>
          <w:sz w:val="28"/>
          <w:szCs w:val="28"/>
        </w:rPr>
        <w:t>后单独提交。</w:t>
      </w:r>
    </w:p>
    <w:p>
      <w:pPr>
        <w:adjustRightInd w:val="0"/>
        <w:snapToGrid w:val="0"/>
        <w:spacing w:line="360" w:lineRule="auto"/>
        <w:rPr>
          <w:rFonts w:ascii="仿宋" w:hAnsi="仿宋" w:eastAsia="仿宋" w:cs="仿宋"/>
          <w:sz w:val="28"/>
          <w:szCs w:val="28"/>
        </w:rPr>
      </w:pPr>
    </w:p>
    <w:p>
      <w:pPr>
        <w:spacing w:line="400" w:lineRule="atLeast"/>
        <w:rPr>
          <w:rFonts w:ascii="仿宋" w:hAnsi="仿宋" w:eastAsia="仿宋" w:cs="仿宋"/>
          <w:color w:val="000000"/>
          <w:sz w:val="28"/>
          <w:szCs w:val="28"/>
        </w:rPr>
      </w:pPr>
      <w:bookmarkStart w:id="433" w:name="_Toc246997107"/>
      <w:bookmarkStart w:id="434" w:name="_Toc152045796"/>
      <w:bookmarkStart w:id="435" w:name="_Toc152042585"/>
      <w:bookmarkStart w:id="436" w:name="_Toc144974864"/>
      <w:bookmarkStart w:id="437" w:name="_Toc246996364"/>
      <w:bookmarkStart w:id="438" w:name="_Toc179632816"/>
      <w:bookmarkStart w:id="439" w:name="_Toc247085882"/>
      <w:bookmarkStart w:id="440" w:name="_Toc514837984"/>
      <w:r>
        <w:rPr>
          <w:rFonts w:hint="eastAsia" w:ascii="仿宋" w:hAnsi="仿宋" w:eastAsia="仿宋" w:cs="仿宋"/>
          <w:sz w:val="28"/>
          <w:szCs w:val="28"/>
        </w:rPr>
        <w:br w:type="page"/>
      </w:r>
      <w:bookmarkEnd w:id="433"/>
      <w:bookmarkEnd w:id="434"/>
      <w:bookmarkEnd w:id="435"/>
      <w:bookmarkEnd w:id="436"/>
      <w:bookmarkEnd w:id="437"/>
      <w:bookmarkEnd w:id="438"/>
      <w:bookmarkEnd w:id="439"/>
    </w:p>
    <w:p>
      <w:pPr>
        <w:spacing w:line="400" w:lineRule="atLeast"/>
        <w:jc w:val="center"/>
        <w:outlineLvl w:val="1"/>
        <w:rPr>
          <w:rFonts w:ascii="仿宋" w:hAnsi="仿宋" w:eastAsia="仿宋" w:cs="仿宋"/>
          <w:color w:val="000000"/>
          <w:sz w:val="28"/>
          <w:szCs w:val="28"/>
        </w:rPr>
      </w:pPr>
      <w:bookmarkStart w:id="441" w:name="_Toc1666479496_WPSOffice_Level1"/>
      <w:r>
        <w:rPr>
          <w:rFonts w:hint="eastAsia" w:ascii="仿宋" w:hAnsi="仿宋" w:eastAsia="仿宋" w:cs="仿宋"/>
          <w:b/>
          <w:bCs/>
          <w:sz w:val="28"/>
          <w:szCs w:val="28"/>
        </w:rPr>
        <w:t>六</w:t>
      </w:r>
      <w:r>
        <w:rPr>
          <w:rFonts w:hint="eastAsia" w:ascii="仿宋" w:hAnsi="仿宋" w:eastAsia="仿宋" w:cs="仿宋"/>
          <w:b/>
          <w:bCs/>
          <w:sz w:val="28"/>
          <w:szCs w:val="28"/>
          <w:lang w:eastAsia="zh-Hans"/>
        </w:rPr>
        <w:t>、商务偏离表</w:t>
      </w:r>
      <w:bookmarkEnd w:id="441"/>
    </w:p>
    <w:p>
      <w:pPr>
        <w:spacing w:line="400" w:lineRule="atLeast"/>
        <w:ind w:firstLine="2640"/>
        <w:rPr>
          <w:rFonts w:ascii="仿宋" w:hAnsi="仿宋" w:eastAsia="仿宋" w:cs="仿宋"/>
          <w:color w:val="000000"/>
          <w:sz w:val="28"/>
          <w:szCs w:val="28"/>
        </w:rPr>
      </w:pP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投标人名称（公章）：</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项目编号：</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标项名称：</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75"/>
        <w:gridCol w:w="2462"/>
        <w:gridCol w:w="2741"/>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54"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769"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招标文件</w:t>
            </w:r>
          </w:p>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条目号</w:t>
            </w:r>
          </w:p>
        </w:tc>
        <w:tc>
          <w:tcPr>
            <w:tcW w:w="1376"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招标文件的商务条款</w:t>
            </w:r>
          </w:p>
        </w:tc>
        <w:tc>
          <w:tcPr>
            <w:tcW w:w="1532"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投标文件的商务条款</w:t>
            </w:r>
          </w:p>
        </w:tc>
        <w:tc>
          <w:tcPr>
            <w:tcW w:w="1066"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54"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769"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376" w:type="pct"/>
          </w:tcPr>
          <w:p>
            <w:pPr>
              <w:spacing w:line="400" w:lineRule="atLeast"/>
              <w:rPr>
                <w:rFonts w:ascii="仿宋" w:hAnsi="仿宋" w:eastAsia="仿宋" w:cs="仿宋"/>
                <w:color w:val="000000"/>
                <w:sz w:val="24"/>
                <w:szCs w:val="24"/>
              </w:rPr>
            </w:pPr>
          </w:p>
        </w:tc>
        <w:tc>
          <w:tcPr>
            <w:tcW w:w="1532" w:type="pct"/>
          </w:tcPr>
          <w:p>
            <w:pPr>
              <w:spacing w:line="400" w:lineRule="atLeast"/>
              <w:rPr>
                <w:rFonts w:ascii="仿宋" w:hAnsi="仿宋" w:eastAsia="仿宋" w:cs="仿宋"/>
                <w:color w:val="000000"/>
                <w:sz w:val="24"/>
                <w:szCs w:val="24"/>
              </w:rPr>
            </w:pPr>
          </w:p>
        </w:tc>
        <w:tc>
          <w:tcPr>
            <w:tcW w:w="1066" w:type="pct"/>
          </w:tcPr>
          <w:p>
            <w:pPr>
              <w:spacing w:line="400" w:lineRule="atLeas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54"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769"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376" w:type="pct"/>
          </w:tcPr>
          <w:p>
            <w:pPr>
              <w:spacing w:line="400" w:lineRule="atLeast"/>
              <w:rPr>
                <w:rFonts w:ascii="仿宋" w:hAnsi="仿宋" w:eastAsia="仿宋" w:cs="仿宋"/>
                <w:color w:val="000000"/>
                <w:sz w:val="24"/>
                <w:szCs w:val="24"/>
              </w:rPr>
            </w:pPr>
          </w:p>
        </w:tc>
        <w:tc>
          <w:tcPr>
            <w:tcW w:w="1532" w:type="pct"/>
          </w:tcPr>
          <w:p>
            <w:pPr>
              <w:spacing w:line="400" w:lineRule="atLeast"/>
              <w:rPr>
                <w:rFonts w:ascii="仿宋" w:hAnsi="仿宋" w:eastAsia="仿宋" w:cs="仿宋"/>
                <w:color w:val="000000"/>
                <w:sz w:val="24"/>
                <w:szCs w:val="24"/>
              </w:rPr>
            </w:pPr>
          </w:p>
        </w:tc>
        <w:tc>
          <w:tcPr>
            <w:tcW w:w="1066" w:type="pct"/>
          </w:tcPr>
          <w:p>
            <w:pPr>
              <w:spacing w:line="400" w:lineRule="atLeas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54"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769"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376" w:type="pct"/>
          </w:tcPr>
          <w:p>
            <w:pPr>
              <w:spacing w:line="400" w:lineRule="atLeast"/>
              <w:rPr>
                <w:rFonts w:ascii="仿宋" w:hAnsi="仿宋" w:eastAsia="仿宋" w:cs="仿宋"/>
                <w:color w:val="000000"/>
                <w:sz w:val="24"/>
                <w:szCs w:val="24"/>
              </w:rPr>
            </w:pPr>
          </w:p>
        </w:tc>
        <w:tc>
          <w:tcPr>
            <w:tcW w:w="1532" w:type="pct"/>
          </w:tcPr>
          <w:p>
            <w:pPr>
              <w:spacing w:line="400" w:lineRule="atLeast"/>
              <w:rPr>
                <w:rFonts w:ascii="仿宋" w:hAnsi="仿宋" w:eastAsia="仿宋" w:cs="仿宋"/>
                <w:color w:val="000000"/>
                <w:sz w:val="24"/>
                <w:szCs w:val="24"/>
              </w:rPr>
            </w:pPr>
          </w:p>
        </w:tc>
        <w:tc>
          <w:tcPr>
            <w:tcW w:w="1066" w:type="pct"/>
          </w:tcPr>
          <w:p>
            <w:pPr>
              <w:spacing w:line="400" w:lineRule="atLeas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54"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769"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376" w:type="pct"/>
          </w:tcPr>
          <w:p>
            <w:pPr>
              <w:spacing w:line="400" w:lineRule="atLeast"/>
              <w:rPr>
                <w:rFonts w:ascii="仿宋" w:hAnsi="仿宋" w:eastAsia="仿宋" w:cs="仿宋"/>
                <w:color w:val="000000"/>
                <w:sz w:val="24"/>
                <w:szCs w:val="24"/>
              </w:rPr>
            </w:pPr>
          </w:p>
        </w:tc>
        <w:tc>
          <w:tcPr>
            <w:tcW w:w="1532" w:type="pct"/>
          </w:tcPr>
          <w:p>
            <w:pPr>
              <w:spacing w:line="400" w:lineRule="atLeast"/>
              <w:rPr>
                <w:rFonts w:ascii="仿宋" w:hAnsi="仿宋" w:eastAsia="仿宋" w:cs="仿宋"/>
                <w:color w:val="000000"/>
                <w:sz w:val="24"/>
                <w:szCs w:val="24"/>
              </w:rPr>
            </w:pPr>
          </w:p>
        </w:tc>
        <w:tc>
          <w:tcPr>
            <w:tcW w:w="1066" w:type="pct"/>
          </w:tcPr>
          <w:p>
            <w:pPr>
              <w:spacing w:line="400" w:lineRule="atLeas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54"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769"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376" w:type="pct"/>
          </w:tcPr>
          <w:p>
            <w:pPr>
              <w:spacing w:line="400" w:lineRule="atLeast"/>
              <w:rPr>
                <w:rFonts w:ascii="仿宋" w:hAnsi="仿宋" w:eastAsia="仿宋" w:cs="仿宋"/>
                <w:color w:val="000000"/>
                <w:sz w:val="24"/>
                <w:szCs w:val="24"/>
              </w:rPr>
            </w:pPr>
          </w:p>
        </w:tc>
        <w:tc>
          <w:tcPr>
            <w:tcW w:w="1532" w:type="pct"/>
          </w:tcPr>
          <w:p>
            <w:pPr>
              <w:spacing w:line="400" w:lineRule="atLeast"/>
              <w:rPr>
                <w:rFonts w:ascii="仿宋" w:hAnsi="仿宋" w:eastAsia="仿宋" w:cs="仿宋"/>
                <w:color w:val="000000"/>
                <w:sz w:val="24"/>
                <w:szCs w:val="24"/>
              </w:rPr>
            </w:pPr>
          </w:p>
        </w:tc>
        <w:tc>
          <w:tcPr>
            <w:tcW w:w="1066" w:type="pct"/>
          </w:tcPr>
          <w:p>
            <w:pPr>
              <w:spacing w:line="400" w:lineRule="atLeast"/>
              <w:rPr>
                <w:rFonts w:ascii="仿宋" w:hAnsi="仿宋" w:eastAsia="仿宋" w:cs="仿宋"/>
                <w:color w:val="000000"/>
                <w:sz w:val="24"/>
                <w:szCs w:val="24"/>
              </w:rPr>
            </w:pPr>
          </w:p>
        </w:tc>
      </w:tr>
    </w:tbl>
    <w:p>
      <w:pPr>
        <w:spacing w:line="400" w:lineRule="atLeast"/>
        <w:rPr>
          <w:rFonts w:ascii="仿宋" w:hAnsi="仿宋" w:eastAsia="仿宋" w:cs="仿宋"/>
          <w:color w:val="000000"/>
          <w:sz w:val="28"/>
          <w:szCs w:val="28"/>
        </w:rPr>
      </w:pPr>
      <w:r>
        <w:rPr>
          <w:rFonts w:hint="eastAsia" w:ascii="仿宋" w:hAnsi="仿宋" w:eastAsia="仿宋" w:cs="仿宋"/>
          <w:color w:val="000000"/>
          <w:sz w:val="28"/>
          <w:szCs w:val="28"/>
        </w:rPr>
        <w:t>注：与招标文件中“第五</w:t>
      </w:r>
      <w:r>
        <w:rPr>
          <w:rFonts w:hint="eastAsia" w:ascii="仿宋" w:hAnsi="仿宋" w:eastAsia="仿宋" w:cs="仿宋"/>
          <w:color w:val="000000"/>
          <w:sz w:val="28"/>
          <w:szCs w:val="28"/>
          <w:lang w:eastAsia="zh-Hans"/>
        </w:rPr>
        <w:t>章（一）采购总体需求</w:t>
      </w:r>
      <w:r>
        <w:rPr>
          <w:rFonts w:hint="eastAsia" w:ascii="仿宋" w:hAnsi="仿宋" w:eastAsia="仿宋" w:cs="仿宋"/>
          <w:color w:val="000000"/>
          <w:sz w:val="28"/>
          <w:szCs w:val="28"/>
        </w:rPr>
        <w:t>”逐条对应填写。　</w:t>
      </w:r>
    </w:p>
    <w:p>
      <w:pPr>
        <w:spacing w:line="400" w:lineRule="atLeast"/>
        <w:rPr>
          <w:rFonts w:ascii="仿宋" w:hAnsi="仿宋" w:eastAsia="仿宋" w:cs="仿宋"/>
          <w:color w:val="000000"/>
          <w:sz w:val="28"/>
          <w:szCs w:val="28"/>
        </w:rPr>
      </w:pPr>
      <w:r>
        <w:rPr>
          <w:rFonts w:hint="eastAsia" w:ascii="仿宋" w:hAnsi="仿宋" w:eastAsia="仿宋" w:cs="仿宋"/>
          <w:color w:val="000000"/>
          <w:sz w:val="28"/>
          <w:szCs w:val="28"/>
        </w:rPr>
        <w:t>投标人代表签字：</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　</w:t>
      </w:r>
    </w:p>
    <w:p>
      <w:pPr>
        <w:pStyle w:val="4"/>
        <w:adjustRightInd w:val="0"/>
        <w:snapToGrid w:val="0"/>
        <w:spacing w:before="0" w:after="0" w:line="360" w:lineRule="auto"/>
        <w:jc w:val="center"/>
        <w:rPr>
          <w:rFonts w:ascii="仿宋" w:hAnsi="仿宋" w:eastAsia="仿宋" w:cs="仿宋"/>
          <w:sz w:val="28"/>
          <w:szCs w:val="28"/>
          <w:lang w:eastAsia="zh-Hans"/>
        </w:rPr>
        <w:sectPr>
          <w:pgSz w:w="11906" w:h="16838"/>
          <w:pgMar w:top="1418" w:right="1588" w:bottom="1418" w:left="1588" w:header="851" w:footer="992" w:gutter="0"/>
          <w:cols w:space="720" w:num="1"/>
          <w:docGrid w:type="lines" w:linePitch="312" w:charSpace="0"/>
        </w:sectPr>
      </w:pPr>
    </w:p>
    <w:bookmarkEnd w:id="440"/>
    <w:p>
      <w:pPr>
        <w:topLinePunct/>
        <w:adjustRightInd w:val="0"/>
        <w:snapToGrid w:val="0"/>
        <w:spacing w:line="360" w:lineRule="auto"/>
        <w:jc w:val="center"/>
        <w:rPr>
          <w:rFonts w:ascii="仿宋" w:hAnsi="仿宋" w:eastAsia="仿宋" w:cs="仿宋"/>
          <w:b/>
          <w:sz w:val="28"/>
          <w:szCs w:val="28"/>
        </w:rPr>
      </w:pPr>
      <w:bookmarkStart w:id="442" w:name="_Toc179632827"/>
      <w:bookmarkStart w:id="443" w:name="_Toc144974875"/>
      <w:bookmarkStart w:id="444" w:name="_Toc152042596"/>
      <w:bookmarkStart w:id="445" w:name="_Toc246996372"/>
      <w:bookmarkStart w:id="446" w:name="_Toc514837986"/>
      <w:bookmarkStart w:id="447" w:name="_Toc246997115"/>
      <w:bookmarkStart w:id="448" w:name="_Toc247085890"/>
      <w:bookmarkStart w:id="449" w:name="_Toc152045807"/>
      <w:r>
        <w:rPr>
          <w:rFonts w:hint="eastAsia" w:ascii="仿宋" w:hAnsi="仿宋" w:eastAsia="仿宋" w:cs="仿宋"/>
          <w:b/>
          <w:sz w:val="28"/>
          <w:szCs w:val="28"/>
        </w:rPr>
        <w:t>七、资格审查资料</w:t>
      </w:r>
      <w:bookmarkEnd w:id="442"/>
      <w:bookmarkEnd w:id="443"/>
      <w:bookmarkEnd w:id="444"/>
      <w:bookmarkEnd w:id="445"/>
      <w:bookmarkEnd w:id="446"/>
      <w:bookmarkEnd w:id="447"/>
      <w:bookmarkEnd w:id="448"/>
      <w:bookmarkEnd w:id="449"/>
    </w:p>
    <w:p>
      <w:pPr>
        <w:pStyle w:val="5"/>
        <w:adjustRightInd w:val="0"/>
        <w:snapToGrid w:val="0"/>
        <w:spacing w:before="0" w:after="0" w:line="360" w:lineRule="auto"/>
        <w:jc w:val="center"/>
        <w:rPr>
          <w:rFonts w:ascii="仿宋" w:hAnsi="仿宋" w:eastAsia="仿宋" w:cs="仿宋"/>
          <w:sz w:val="28"/>
          <w:szCs w:val="28"/>
        </w:rPr>
      </w:pPr>
      <w:bookmarkStart w:id="450" w:name="_Toc246997116"/>
      <w:bookmarkStart w:id="451" w:name="_Toc246996373"/>
      <w:bookmarkStart w:id="452" w:name="_Toc152042597"/>
      <w:bookmarkStart w:id="453" w:name="_Toc247085891"/>
      <w:bookmarkStart w:id="454" w:name="_Toc179632828"/>
      <w:bookmarkStart w:id="455" w:name="_Toc514837987"/>
      <w:bookmarkStart w:id="456" w:name="_Toc152045808"/>
      <w:bookmarkStart w:id="457" w:name="_Toc144974876"/>
      <w:r>
        <w:rPr>
          <w:rFonts w:hint="eastAsia" w:ascii="仿宋" w:hAnsi="仿宋" w:eastAsia="仿宋" w:cs="仿宋"/>
          <w:sz w:val="28"/>
          <w:szCs w:val="28"/>
        </w:rPr>
        <w:t>（一）投标人基本情况表</w:t>
      </w:r>
      <w:bookmarkEnd w:id="450"/>
      <w:bookmarkEnd w:id="451"/>
      <w:bookmarkEnd w:id="452"/>
      <w:bookmarkEnd w:id="453"/>
      <w:bookmarkEnd w:id="454"/>
      <w:bookmarkEnd w:id="455"/>
      <w:bookmarkEnd w:id="456"/>
      <w:bookmarkEnd w:id="457"/>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1395"/>
        <w:gridCol w:w="2054"/>
        <w:gridCol w:w="1423"/>
        <w:gridCol w:w="1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投标人名称</w:t>
            </w:r>
          </w:p>
        </w:tc>
        <w:tc>
          <w:tcPr>
            <w:tcW w:w="6777"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注册资金</w:t>
            </w:r>
          </w:p>
        </w:tc>
        <w:tc>
          <w:tcPr>
            <w:tcW w:w="344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c>
          <w:tcPr>
            <w:tcW w:w="142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成立时间</w:t>
            </w:r>
          </w:p>
        </w:tc>
        <w:tc>
          <w:tcPr>
            <w:tcW w:w="19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注册地址</w:t>
            </w:r>
          </w:p>
        </w:tc>
        <w:tc>
          <w:tcPr>
            <w:tcW w:w="6777"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邮政编码</w:t>
            </w:r>
          </w:p>
        </w:tc>
        <w:tc>
          <w:tcPr>
            <w:tcW w:w="344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c>
          <w:tcPr>
            <w:tcW w:w="142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员工总数</w:t>
            </w:r>
          </w:p>
        </w:tc>
        <w:tc>
          <w:tcPr>
            <w:tcW w:w="19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vMerge w:val="restar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联系方式</w:t>
            </w:r>
          </w:p>
        </w:tc>
        <w:tc>
          <w:tcPr>
            <w:tcW w:w="139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联系人</w:t>
            </w:r>
          </w:p>
        </w:tc>
        <w:tc>
          <w:tcPr>
            <w:tcW w:w="205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c>
          <w:tcPr>
            <w:tcW w:w="142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电话</w:t>
            </w:r>
          </w:p>
        </w:tc>
        <w:tc>
          <w:tcPr>
            <w:tcW w:w="19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c>
          <w:tcPr>
            <w:tcW w:w="139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网址</w:t>
            </w:r>
          </w:p>
        </w:tc>
        <w:tc>
          <w:tcPr>
            <w:tcW w:w="205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c>
          <w:tcPr>
            <w:tcW w:w="142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传真</w:t>
            </w:r>
          </w:p>
        </w:tc>
        <w:tc>
          <w:tcPr>
            <w:tcW w:w="19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法定代表人</w:t>
            </w:r>
          </w:p>
        </w:tc>
        <w:tc>
          <w:tcPr>
            <w:tcW w:w="139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姓名</w:t>
            </w:r>
          </w:p>
        </w:tc>
        <w:tc>
          <w:tcPr>
            <w:tcW w:w="205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c>
          <w:tcPr>
            <w:tcW w:w="142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电话</w:t>
            </w:r>
          </w:p>
        </w:tc>
        <w:tc>
          <w:tcPr>
            <w:tcW w:w="1905"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开户银行及账号</w:t>
            </w:r>
          </w:p>
        </w:tc>
        <w:tc>
          <w:tcPr>
            <w:tcW w:w="6777"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近三年营业额</w:t>
            </w:r>
          </w:p>
        </w:tc>
        <w:tc>
          <w:tcPr>
            <w:tcW w:w="6777"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9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c>
          <w:tcPr>
            <w:tcW w:w="6777"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jc w:val="center"/>
              <w:rPr>
                <w:rFonts w:ascii="仿宋" w:hAnsi="仿宋" w:eastAsia="仿宋" w:cs="仿宋"/>
                <w:sz w:val="24"/>
                <w:szCs w:val="24"/>
              </w:rPr>
            </w:pPr>
          </w:p>
        </w:tc>
      </w:tr>
    </w:tbl>
    <w:p>
      <w:pPr>
        <w:topLinePunct/>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注：本表后应附：</w:t>
      </w:r>
    </w:p>
    <w:p>
      <w:pPr>
        <w:adjustRightInd w:val="0"/>
        <w:snapToGrid w:val="0"/>
        <w:spacing w:line="360" w:lineRule="auto"/>
        <w:ind w:firstLine="562" w:firstLineChars="200"/>
        <w:jc w:val="left"/>
        <w:rPr>
          <w:rFonts w:ascii="仿宋" w:hAnsi="仿宋" w:eastAsia="仿宋" w:cs="仿宋"/>
          <w:b/>
          <w:bCs/>
          <w:sz w:val="28"/>
          <w:szCs w:val="28"/>
        </w:rPr>
      </w:pPr>
      <w:bookmarkStart w:id="458" w:name="_Toc152045809"/>
      <w:bookmarkStart w:id="459" w:name="_Toc247514301"/>
      <w:bookmarkStart w:id="460" w:name="_Toc514837988"/>
      <w:bookmarkStart w:id="461" w:name="_Toc144974877"/>
      <w:bookmarkStart w:id="462" w:name="_Toc247527849"/>
      <w:bookmarkStart w:id="463" w:name="_Toc265953295"/>
      <w:bookmarkStart w:id="464" w:name="_Toc152042598"/>
      <w:bookmarkStart w:id="465" w:name="_Toc152045813"/>
      <w:bookmarkStart w:id="466" w:name="_Toc152042602"/>
      <w:bookmarkStart w:id="467" w:name="_Toc179632833"/>
      <w:bookmarkStart w:id="468" w:name="_Toc144974881"/>
      <w:r>
        <w:rPr>
          <w:rFonts w:hint="eastAsia" w:ascii="仿宋" w:hAnsi="仿宋" w:eastAsia="仿宋" w:cs="仿宋"/>
          <w:b/>
          <w:bCs/>
          <w:sz w:val="28"/>
          <w:szCs w:val="28"/>
        </w:rPr>
        <w:t>1、投标人应出具有效的“一证一码”或“三证合一”的营业执照扫描件；</w:t>
      </w:r>
    </w:p>
    <w:p>
      <w:p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2、投标人出具通过“信用中国”网站（www.creditchina.gov.cn）和中国政府采购网（www.ccgp.gov.cn）渠道查询的本单位信用记录的网页，并加盖投标单位公章。</w:t>
      </w:r>
    </w:p>
    <w:p>
      <w:p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3、提供社会保险登记证扫描件或社保机构出具的社保缴纳证明并加盖投标单位公章（近三个月至今任意一月，当月新成立公司不需提供）；</w:t>
      </w:r>
    </w:p>
    <w:p>
      <w:pPr>
        <w:adjustRightInd w:val="0"/>
        <w:snapToGrid w:val="0"/>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4、提供</w:t>
      </w:r>
      <w:r>
        <w:rPr>
          <w:rFonts w:hint="eastAsia" w:ascii="仿宋" w:hAnsi="仿宋" w:eastAsia="仿宋" w:cs="仿宋"/>
          <w:b/>
          <w:bCs/>
          <w:sz w:val="28"/>
          <w:szCs w:val="28"/>
          <w:lang w:val="en-US" w:eastAsia="zh-CN"/>
        </w:rPr>
        <w:t>2022年</w:t>
      </w:r>
      <w:r>
        <w:rPr>
          <w:rFonts w:hint="eastAsia" w:ascii="仿宋" w:hAnsi="仿宋" w:eastAsia="仿宋" w:cs="仿宋"/>
          <w:b/>
          <w:bCs/>
          <w:sz w:val="28"/>
          <w:szCs w:val="28"/>
        </w:rPr>
        <w:t>度经审计财务审计报告（当月新成立公司不需提供）扫描件。</w:t>
      </w:r>
    </w:p>
    <w:p>
      <w:pPr>
        <w:adjustRightInd w:val="0"/>
        <w:snapToGrid w:val="0"/>
        <w:spacing w:line="360" w:lineRule="auto"/>
        <w:jc w:val="center"/>
        <w:rPr>
          <w:rFonts w:hint="eastAsia" w:eastAsia="仿宋"/>
          <w:lang w:eastAsia="zh-CN"/>
        </w:rPr>
      </w:pPr>
      <w:r>
        <w:rPr>
          <w:rFonts w:hint="eastAsia" w:cs="仿宋"/>
          <w:b/>
          <w:bCs/>
          <w:sz w:val="28"/>
          <w:szCs w:val="28"/>
          <w:lang w:eastAsia="zh-CN"/>
        </w:rPr>
        <w:t>（</w:t>
      </w:r>
      <w:r>
        <w:rPr>
          <w:rFonts w:hint="eastAsia" w:ascii="仿宋" w:hAnsi="仿宋" w:eastAsia="仿宋" w:cs="仿宋"/>
          <w:b/>
          <w:bCs/>
          <w:sz w:val="28"/>
          <w:szCs w:val="28"/>
        </w:rPr>
        <w:t>法定代表人身份证明</w:t>
      </w:r>
      <w:r>
        <w:rPr>
          <w:rFonts w:hint="eastAsia" w:ascii="仿宋" w:hAnsi="仿宋" w:eastAsia="仿宋" w:cs="仿宋"/>
          <w:b/>
          <w:bCs/>
          <w:sz w:val="28"/>
          <w:szCs w:val="28"/>
          <w:lang w:val="en-US" w:eastAsia="zh-CN"/>
        </w:rPr>
        <w:t>和授权委托书无需重复放</w:t>
      </w:r>
      <w:r>
        <w:rPr>
          <w:rFonts w:hint="eastAsia" w:ascii="仿宋" w:hAnsi="仿宋" w:eastAsia="仿宋" w:cs="仿宋"/>
          <w:b/>
          <w:bCs/>
          <w:sz w:val="28"/>
          <w:szCs w:val="28"/>
          <w:lang w:eastAsia="zh-CN"/>
        </w:rPr>
        <w:t>）</w:t>
      </w:r>
    </w:p>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（二）投标人投资参股的关联企业情况表</w:t>
      </w:r>
    </w:p>
    <w:tbl>
      <w:tblPr>
        <w:tblStyle w:val="23"/>
        <w:tblW w:w="93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99" w:hRule="atLeast"/>
          <w:jc w:val="center"/>
        </w:trPr>
        <w:tc>
          <w:tcPr>
            <w:tcW w:w="9377" w:type="dxa"/>
          </w:tcPr>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sz w:val="24"/>
                <w:szCs w:val="24"/>
              </w:rPr>
            </w:pPr>
            <w:r>
              <w:rPr>
                <w:rFonts w:hint="eastAsia" w:ascii="仿宋" w:hAnsi="仿宋" w:eastAsia="仿宋" w:cs="仿宋"/>
                <w:bCs/>
                <w:sz w:val="24"/>
                <w:szCs w:val="24"/>
              </w:rPr>
              <w:t>投标人</w:t>
            </w:r>
            <w:r>
              <w:rPr>
                <w:rFonts w:hint="eastAsia" w:ascii="仿宋" w:hAnsi="仿宋" w:eastAsia="仿宋" w:cs="仿宋"/>
                <w:sz w:val="24"/>
                <w:szCs w:val="24"/>
              </w:rPr>
              <w:t>应提供其投资参股的关联企业情况，包括以下内容：</w:t>
            </w:r>
          </w:p>
          <w:p>
            <w:pPr>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1）与本单位负责人为同一人的其他单位名单：</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2）对本单位存在控股、管理关系的其他单位名单：</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3）本单位对其他单位存在控股、管理关系的名单：</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仿宋"/>
                <w:sz w:val="24"/>
                <w:szCs w:val="24"/>
              </w:rPr>
            </w:pPr>
          </w:p>
          <w:p>
            <w:pPr>
              <w:adjustRightInd w:val="0"/>
              <w:snapToGrid w:val="0"/>
              <w:spacing w:line="360" w:lineRule="auto"/>
              <w:ind w:firstLine="480" w:firstLineChars="200"/>
              <w:rPr>
                <w:rFonts w:ascii="仿宋" w:hAnsi="仿宋" w:eastAsia="仿宋" w:cs="仿宋"/>
                <w:sz w:val="24"/>
                <w:szCs w:val="24"/>
              </w:rPr>
            </w:pPr>
          </w:p>
          <w:p>
            <w:pPr>
              <w:adjustRightInd w:val="0"/>
              <w:snapToGrid w:val="0"/>
              <w:spacing w:line="360" w:lineRule="auto"/>
              <w:ind w:firstLine="480" w:firstLineChars="200"/>
              <w:rPr>
                <w:rFonts w:ascii="仿宋" w:hAnsi="仿宋" w:eastAsia="仿宋" w:cs="仿宋"/>
                <w:sz w:val="24"/>
                <w:szCs w:val="24"/>
              </w:rPr>
            </w:pPr>
          </w:p>
          <w:p>
            <w:pPr>
              <w:adjustRightInd w:val="0"/>
              <w:snapToGrid w:val="0"/>
              <w:spacing w:line="360" w:lineRule="auto"/>
              <w:ind w:firstLine="480" w:firstLineChars="200"/>
              <w:rPr>
                <w:rFonts w:ascii="仿宋" w:hAnsi="仿宋" w:eastAsia="仿宋" w:cs="仿宋"/>
                <w:sz w:val="24"/>
                <w:szCs w:val="24"/>
              </w:rPr>
            </w:pPr>
          </w:p>
          <w:p>
            <w:pPr>
              <w:adjustRightInd w:val="0"/>
              <w:snapToGrid w:val="0"/>
              <w:spacing w:line="360" w:lineRule="auto"/>
              <w:ind w:firstLine="480" w:firstLineChars="200"/>
              <w:jc w:val="right"/>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（加盖单位公章）</w:t>
            </w:r>
          </w:p>
        </w:tc>
      </w:tr>
    </w:tbl>
    <w:p>
      <w:pPr>
        <w:pStyle w:val="5"/>
        <w:adjustRightInd w:val="0"/>
        <w:snapToGrid w:val="0"/>
        <w:spacing w:before="0" w:after="0" w:line="360" w:lineRule="auto"/>
        <w:rPr>
          <w:rFonts w:ascii="仿宋" w:hAnsi="仿宋" w:eastAsia="仿宋" w:cs="仿宋"/>
          <w:bCs w:val="0"/>
          <w:sz w:val="28"/>
          <w:szCs w:val="28"/>
        </w:rPr>
      </w:pPr>
      <w:r>
        <w:rPr>
          <w:rFonts w:hint="eastAsia" w:ascii="仿宋" w:hAnsi="仿宋" w:eastAsia="仿宋" w:cs="仿宋"/>
          <w:bCs w:val="0"/>
          <w:sz w:val="28"/>
          <w:szCs w:val="28"/>
        </w:rPr>
        <w:t>备注：单位负责人为同一人或者存在控股、管理关系的不同单位，不得同时对同一标段投标。</w:t>
      </w:r>
    </w:p>
    <w:p>
      <w:pPr>
        <w:pStyle w:val="5"/>
        <w:adjustRightInd w:val="0"/>
        <w:snapToGrid w:val="0"/>
        <w:spacing w:before="0" w:after="0" w:line="360" w:lineRule="auto"/>
        <w:ind w:firstLine="562" w:firstLineChars="200"/>
        <w:rPr>
          <w:rFonts w:ascii="仿宋" w:hAnsi="仿宋" w:eastAsia="仿宋" w:cs="仿宋"/>
          <w:bCs w:val="0"/>
          <w:sz w:val="28"/>
          <w:szCs w:val="28"/>
        </w:rPr>
      </w:pPr>
      <w:r>
        <w:rPr>
          <w:rFonts w:hint="eastAsia" w:ascii="仿宋" w:hAnsi="仿宋" w:eastAsia="仿宋" w:cs="仿宋"/>
          <w:bCs w:val="0"/>
          <w:sz w:val="28"/>
          <w:szCs w:val="28"/>
        </w:rPr>
        <w:t>投标人应如实填报此表，否则因其投标影响招标公正性的，其相关投标均无效。</w:t>
      </w:r>
    </w:p>
    <w:p>
      <w:pPr>
        <w:adjustRightInd w:val="0"/>
        <w:snapToGrid w:val="0"/>
        <w:spacing w:line="360" w:lineRule="auto"/>
        <w:rPr>
          <w:rFonts w:ascii="仿宋" w:hAnsi="仿宋" w:eastAsia="仿宋" w:cs="仿宋"/>
          <w:sz w:val="28"/>
          <w:szCs w:val="28"/>
        </w:rPr>
      </w:pPr>
    </w:p>
    <w:bookmarkEnd w:id="458"/>
    <w:bookmarkEnd w:id="459"/>
    <w:bookmarkEnd w:id="460"/>
    <w:bookmarkEnd w:id="461"/>
    <w:bookmarkEnd w:id="462"/>
    <w:bookmarkEnd w:id="463"/>
    <w:bookmarkEnd w:id="464"/>
    <w:p>
      <w:pPr>
        <w:pStyle w:val="5"/>
        <w:adjustRightInd w:val="0"/>
        <w:snapToGrid w:val="0"/>
        <w:spacing w:before="0" w:after="0" w:line="360" w:lineRule="auto"/>
        <w:rPr>
          <w:rFonts w:ascii="仿宋" w:hAnsi="仿宋" w:eastAsia="仿宋" w:cs="仿宋"/>
          <w:sz w:val="28"/>
          <w:szCs w:val="28"/>
        </w:rPr>
      </w:pPr>
    </w:p>
    <w:p>
      <w:pPr>
        <w:pStyle w:val="5"/>
        <w:adjustRightInd w:val="0"/>
        <w:snapToGrid w:val="0"/>
        <w:spacing w:before="0" w:after="0" w:line="360" w:lineRule="auto"/>
        <w:jc w:val="center"/>
        <w:rPr>
          <w:rFonts w:ascii="仿宋" w:hAnsi="仿宋" w:eastAsia="仿宋" w:cs="仿宋"/>
          <w:sz w:val="28"/>
          <w:szCs w:val="28"/>
        </w:rPr>
      </w:pPr>
      <w:bookmarkStart w:id="469" w:name="_Toc152042599"/>
      <w:bookmarkStart w:id="470" w:name="_Toc152045810"/>
      <w:bookmarkStart w:id="471" w:name="_Toc265953296"/>
      <w:bookmarkStart w:id="472" w:name="_Toc144974878"/>
      <w:bookmarkStart w:id="473" w:name="_Toc514837989"/>
      <w:bookmarkStart w:id="474" w:name="_Toc247527850"/>
      <w:bookmarkStart w:id="475" w:name="_Toc247514302"/>
      <w:r>
        <w:rPr>
          <w:rFonts w:hint="eastAsia" w:ascii="仿宋" w:hAnsi="仿宋" w:eastAsia="仿宋" w:cs="仿宋"/>
          <w:sz w:val="28"/>
          <w:szCs w:val="28"/>
        </w:rPr>
        <w:t>八</w:t>
      </w:r>
      <w:r>
        <w:rPr>
          <w:rFonts w:hint="eastAsia" w:ascii="仿宋" w:hAnsi="仿宋" w:eastAsia="仿宋" w:cs="仿宋"/>
          <w:sz w:val="28"/>
          <w:szCs w:val="28"/>
          <w:lang w:eastAsia="zh-Hans"/>
        </w:rPr>
        <w:t>、</w:t>
      </w:r>
      <w:r>
        <w:rPr>
          <w:rFonts w:hint="eastAsia" w:ascii="仿宋" w:hAnsi="仿宋" w:eastAsia="仿宋" w:cs="仿宋"/>
          <w:sz w:val="28"/>
          <w:szCs w:val="28"/>
        </w:rPr>
        <w:t>技术商务部分</w:t>
      </w:r>
    </w:p>
    <w:p>
      <w:pPr>
        <w:pStyle w:val="5"/>
        <w:adjustRightInd w:val="0"/>
        <w:snapToGrid w:val="0"/>
        <w:spacing w:before="0" w:after="0" w:line="360" w:lineRule="auto"/>
        <w:jc w:val="center"/>
        <w:rPr>
          <w:rFonts w:ascii="仿宋" w:hAnsi="仿宋" w:eastAsia="仿宋" w:cs="仿宋"/>
          <w:sz w:val="28"/>
          <w:szCs w:val="28"/>
        </w:rPr>
      </w:pPr>
      <w:r>
        <w:rPr>
          <w:rFonts w:hint="eastAsia" w:ascii="仿宋" w:hAnsi="仿宋" w:eastAsia="仿宋" w:cs="仿宋"/>
          <w:sz w:val="28"/>
          <w:szCs w:val="28"/>
          <w:lang w:eastAsia="zh-Hans"/>
        </w:rPr>
        <w:t>（一）</w:t>
      </w:r>
      <w:r>
        <w:rPr>
          <w:rFonts w:hint="eastAsia" w:ascii="仿宋" w:hAnsi="仿宋" w:eastAsia="仿宋" w:cs="仿宋"/>
          <w:sz w:val="28"/>
          <w:szCs w:val="28"/>
        </w:rPr>
        <w:t>近</w:t>
      </w:r>
      <w:r>
        <w:rPr>
          <w:rFonts w:hint="eastAsia" w:ascii="仿宋" w:hAnsi="仿宋" w:eastAsia="仿宋" w:cs="仿宋"/>
          <w:sz w:val="28"/>
          <w:szCs w:val="28"/>
          <w:lang w:eastAsia="zh-Hans"/>
        </w:rPr>
        <w:t>三</w:t>
      </w:r>
      <w:r>
        <w:rPr>
          <w:rFonts w:hint="eastAsia" w:ascii="仿宋" w:hAnsi="仿宋" w:eastAsia="仿宋" w:cs="仿宋"/>
          <w:sz w:val="28"/>
          <w:szCs w:val="28"/>
        </w:rPr>
        <w:t>年完成的同类项目情况表</w:t>
      </w:r>
      <w:bookmarkEnd w:id="469"/>
      <w:bookmarkEnd w:id="470"/>
      <w:bookmarkEnd w:id="471"/>
      <w:bookmarkEnd w:id="472"/>
      <w:bookmarkEnd w:id="473"/>
      <w:bookmarkEnd w:id="474"/>
      <w:bookmarkEnd w:id="475"/>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29" w:type="pct"/>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3670" w:type="pct"/>
          </w:tcPr>
          <w:p>
            <w:pPr>
              <w:topLinePunct/>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29" w:type="pct"/>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甲方名称</w:t>
            </w:r>
          </w:p>
        </w:tc>
        <w:tc>
          <w:tcPr>
            <w:tcW w:w="3670" w:type="pct"/>
          </w:tcPr>
          <w:p>
            <w:pPr>
              <w:topLinePunct/>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29" w:type="pct"/>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甲方联系人及电话</w:t>
            </w:r>
          </w:p>
        </w:tc>
        <w:tc>
          <w:tcPr>
            <w:tcW w:w="3670" w:type="pct"/>
          </w:tcPr>
          <w:p>
            <w:pPr>
              <w:topLinePunct/>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29" w:type="pct"/>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合同价格</w:t>
            </w:r>
          </w:p>
        </w:tc>
        <w:tc>
          <w:tcPr>
            <w:tcW w:w="3670" w:type="pct"/>
          </w:tcPr>
          <w:p>
            <w:pPr>
              <w:topLinePunct/>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1329" w:type="pct"/>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项目概况及投标人</w:t>
            </w:r>
          </w:p>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履约情况</w:t>
            </w:r>
          </w:p>
        </w:tc>
        <w:tc>
          <w:tcPr>
            <w:tcW w:w="3670" w:type="pct"/>
          </w:tcPr>
          <w:p>
            <w:pPr>
              <w:topLinePunct/>
              <w:adjustRightInd w:val="0"/>
              <w:snapToGrid w:val="0"/>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29" w:type="pct"/>
            <w:vAlign w:val="center"/>
          </w:tcPr>
          <w:p>
            <w:pPr>
              <w:topLinePunct/>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c>
          <w:tcPr>
            <w:tcW w:w="3670" w:type="pct"/>
          </w:tcPr>
          <w:p>
            <w:pPr>
              <w:topLinePunct/>
              <w:adjustRightInd w:val="0"/>
              <w:snapToGrid w:val="0"/>
              <w:spacing w:line="360" w:lineRule="auto"/>
              <w:rPr>
                <w:rFonts w:ascii="仿宋" w:hAnsi="仿宋" w:eastAsia="仿宋" w:cs="仿宋"/>
                <w:sz w:val="24"/>
                <w:szCs w:val="24"/>
              </w:rPr>
            </w:pPr>
          </w:p>
        </w:tc>
      </w:tr>
    </w:tbl>
    <w:p>
      <w:pPr>
        <w:topLinePunct/>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注：每张表格只填写一个项目，并标明序号。</w:t>
      </w:r>
    </w:p>
    <w:p>
      <w:pPr>
        <w:topLinePunct/>
        <w:adjustRightInd w:val="0"/>
        <w:snapToGrid w:val="0"/>
        <w:spacing w:line="360" w:lineRule="auto"/>
        <w:rPr>
          <w:rFonts w:ascii="仿宋" w:hAnsi="仿宋" w:eastAsia="仿宋" w:cs="仿宋"/>
          <w:b/>
          <w:bCs/>
          <w:sz w:val="28"/>
          <w:szCs w:val="28"/>
        </w:rPr>
      </w:pPr>
      <w:r>
        <w:rPr>
          <w:rFonts w:hint="eastAsia" w:ascii="仿宋" w:hAnsi="仿宋" w:eastAsia="仿宋" w:cs="仿宋"/>
          <w:b/>
          <w:bCs/>
          <w:sz w:val="28"/>
          <w:szCs w:val="28"/>
        </w:rPr>
        <w:t>1、投标人填写2019年1月1日至今（以合同签订日期为准）完成的类似项目情况。</w:t>
      </w:r>
    </w:p>
    <w:p>
      <w:pPr>
        <w:topLinePunct/>
        <w:adjustRightInd w:val="0"/>
        <w:snapToGrid w:val="0"/>
        <w:spacing w:line="360" w:lineRule="auto"/>
        <w:rPr>
          <w:rFonts w:ascii="仿宋" w:hAnsi="仿宋" w:eastAsia="仿宋" w:cs="仿宋"/>
          <w:b/>
          <w:sz w:val="28"/>
          <w:szCs w:val="28"/>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b/>
          <w:sz w:val="28"/>
          <w:szCs w:val="28"/>
        </w:rPr>
        <w:t>2、本表后应项目合同或中标通知书复印件</w:t>
      </w:r>
    </w:p>
    <w:p>
      <w:pPr>
        <w:pStyle w:val="9"/>
        <w:jc w:val="center"/>
        <w:rPr>
          <w:rFonts w:ascii="仿宋" w:hAnsi="仿宋" w:eastAsia="仿宋" w:cs="仿宋"/>
          <w:b/>
          <w:bCs/>
          <w:sz w:val="28"/>
          <w:szCs w:val="28"/>
        </w:rPr>
      </w:pPr>
      <w:r>
        <w:rPr>
          <w:rFonts w:hint="eastAsia" w:ascii="仿宋" w:hAnsi="仿宋" w:eastAsia="仿宋" w:cs="仿宋"/>
          <w:b/>
          <w:bCs/>
          <w:sz w:val="28"/>
          <w:szCs w:val="28"/>
        </w:rPr>
        <w:t>（二）项目负责人</w:t>
      </w:r>
    </w:p>
    <w:p>
      <w:pPr>
        <w:jc w:val="left"/>
        <w:rPr>
          <w:rFonts w:ascii="仿宋" w:hAnsi="仿宋" w:eastAsia="仿宋" w:cs="仿宋"/>
          <w:sz w:val="28"/>
          <w:szCs w:val="28"/>
        </w:rPr>
      </w:pPr>
      <w:r>
        <w:rPr>
          <w:rFonts w:hint="eastAsia" w:ascii="仿宋" w:hAnsi="仿宋" w:eastAsia="仿宋" w:cs="仿宋"/>
          <w:sz w:val="28"/>
          <w:szCs w:val="28"/>
        </w:rPr>
        <w:t>基本信息</w:t>
      </w:r>
    </w:p>
    <w:p>
      <w:pPr>
        <w:pStyle w:val="14"/>
        <w:rPr>
          <w:rFonts w:ascii="仿宋" w:hAnsi="仿宋" w:eastAsia="仿宋" w:cs="仿宋"/>
          <w:sz w:val="28"/>
          <w:szCs w:val="28"/>
        </w:rPr>
      </w:pPr>
    </w:p>
    <w:tbl>
      <w:tblPr>
        <w:tblStyle w:val="23"/>
        <w:tblW w:w="5000" w:type="pct"/>
        <w:jc w:val="center"/>
        <w:tblLayout w:type="autofit"/>
        <w:tblCellMar>
          <w:top w:w="0" w:type="dxa"/>
          <w:left w:w="108" w:type="dxa"/>
          <w:bottom w:w="0" w:type="dxa"/>
          <w:right w:w="108" w:type="dxa"/>
        </w:tblCellMar>
      </w:tblPr>
      <w:tblGrid>
        <w:gridCol w:w="1515"/>
        <w:gridCol w:w="1508"/>
        <w:gridCol w:w="1780"/>
        <w:gridCol w:w="1473"/>
        <w:gridCol w:w="1158"/>
        <w:gridCol w:w="1512"/>
      </w:tblGrid>
      <w:tr>
        <w:tblPrEx>
          <w:tblCellMar>
            <w:top w:w="0" w:type="dxa"/>
            <w:left w:w="108" w:type="dxa"/>
            <w:bottom w:w="0" w:type="dxa"/>
            <w:right w:w="108" w:type="dxa"/>
          </w:tblCellMar>
        </w:tblPrEx>
        <w:trPr>
          <w:trHeight w:val="40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项目负责人</w:t>
            </w:r>
          </w:p>
        </w:tc>
      </w:tr>
      <w:tr>
        <w:tblPrEx>
          <w:tblCellMar>
            <w:top w:w="0" w:type="dxa"/>
            <w:left w:w="108" w:type="dxa"/>
            <w:bottom w:w="0" w:type="dxa"/>
            <w:right w:w="108" w:type="dxa"/>
          </w:tblCellMar>
        </w:tblPrEx>
        <w:trPr>
          <w:trHeight w:val="468" w:hRule="atLeast"/>
          <w:jc w:val="center"/>
        </w:trPr>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姓名</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szCs w:val="24"/>
              </w:rPr>
            </w:pP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性别</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szCs w:val="24"/>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年龄</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szCs w:val="24"/>
              </w:rPr>
            </w:pPr>
          </w:p>
        </w:tc>
      </w:tr>
      <w:tr>
        <w:tblPrEx>
          <w:tblCellMar>
            <w:top w:w="0" w:type="dxa"/>
            <w:left w:w="108" w:type="dxa"/>
            <w:bottom w:w="0" w:type="dxa"/>
            <w:right w:w="108" w:type="dxa"/>
          </w:tblCellMar>
        </w:tblPrEx>
        <w:trPr>
          <w:trHeight w:val="468" w:hRule="atLeast"/>
          <w:jc w:val="center"/>
        </w:trPr>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学历</w:t>
            </w:r>
          </w:p>
        </w:tc>
        <w:tc>
          <w:tcPr>
            <w:tcW w:w="18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职称</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468" w:hRule="atLeast"/>
          <w:jc w:val="center"/>
        </w:trPr>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学历编号</w:t>
            </w:r>
          </w:p>
        </w:tc>
        <w:tc>
          <w:tcPr>
            <w:tcW w:w="18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职称编号</w:t>
            </w:r>
          </w:p>
        </w:tc>
        <w:tc>
          <w:tcPr>
            <w:tcW w:w="14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468" w:hRule="atLeast"/>
          <w:jc w:val="center"/>
        </w:trPr>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工作年限</w:t>
            </w:r>
          </w:p>
        </w:tc>
        <w:tc>
          <w:tcPr>
            <w:tcW w:w="330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468" w:hRule="atLeast"/>
          <w:jc w:val="center"/>
        </w:trPr>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身份证号码</w:t>
            </w:r>
          </w:p>
        </w:tc>
        <w:tc>
          <w:tcPr>
            <w:tcW w:w="330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szCs w:val="24"/>
              </w:rPr>
            </w:pPr>
          </w:p>
        </w:tc>
      </w:tr>
    </w:tbl>
    <w:p>
      <w:pPr>
        <w:rPr>
          <w:rFonts w:ascii="仿宋" w:hAnsi="仿宋" w:eastAsia="仿宋" w:cs="仿宋"/>
          <w:b/>
          <w:bCs/>
          <w:sz w:val="28"/>
          <w:szCs w:val="28"/>
        </w:rPr>
      </w:pPr>
      <w:r>
        <w:rPr>
          <w:rFonts w:hint="eastAsia" w:ascii="仿宋" w:hAnsi="仿宋" w:eastAsia="仿宋" w:cs="仿宋"/>
          <w:b/>
          <w:bCs/>
          <w:sz w:val="28"/>
          <w:szCs w:val="28"/>
        </w:rPr>
        <w:t>备注：</w:t>
      </w:r>
    </w:p>
    <w:p>
      <w:pPr>
        <w:rPr>
          <w:rFonts w:ascii="仿宋" w:hAnsi="仿宋" w:eastAsia="仿宋" w:cs="仿宋"/>
          <w:b/>
          <w:bCs/>
          <w:sz w:val="28"/>
          <w:szCs w:val="28"/>
        </w:rPr>
      </w:pPr>
      <w:r>
        <w:rPr>
          <w:rFonts w:hint="eastAsia" w:ascii="仿宋" w:hAnsi="仿宋" w:eastAsia="仿宋" w:cs="仿宋"/>
          <w:b/>
          <w:bCs/>
          <w:sz w:val="28"/>
          <w:szCs w:val="28"/>
        </w:rPr>
        <w:t>1、项目负责人职称证书扫描件</w:t>
      </w:r>
    </w:p>
    <w:p>
      <w:pPr>
        <w:numPr>
          <w:ilvl w:val="0"/>
          <w:numId w:val="7"/>
        </w:numPr>
        <w:rPr>
          <w:rFonts w:ascii="仿宋" w:hAnsi="仿宋" w:eastAsia="仿宋" w:cs="仿宋"/>
          <w:b/>
          <w:bCs/>
          <w:sz w:val="28"/>
          <w:szCs w:val="28"/>
        </w:rPr>
      </w:pPr>
      <w:r>
        <w:rPr>
          <w:rFonts w:hint="eastAsia" w:ascii="仿宋" w:hAnsi="仿宋" w:eastAsia="仿宋" w:cs="仿宋"/>
          <w:b/>
          <w:bCs/>
          <w:sz w:val="28"/>
          <w:szCs w:val="28"/>
        </w:rPr>
        <w:t>项目负责人业绩证明材料</w:t>
      </w:r>
    </w:p>
    <w:p>
      <w:pPr>
        <w:rPr>
          <w:rFonts w:ascii="仿宋" w:hAnsi="仿宋" w:eastAsia="仿宋" w:cs="仿宋"/>
          <w:b/>
          <w:bCs/>
          <w:sz w:val="28"/>
          <w:szCs w:val="28"/>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b/>
          <w:bCs/>
          <w:sz w:val="28"/>
          <w:szCs w:val="28"/>
        </w:rPr>
        <w:t>3、项目负责人社保证明材料</w:t>
      </w:r>
    </w:p>
    <w:p>
      <w:pPr>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（三）技术参数响应程度</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投标人名称（公章）：</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项目编号：</w:t>
      </w:r>
    </w:p>
    <w:p>
      <w:pPr>
        <w:spacing w:line="360" w:lineRule="auto"/>
        <w:rPr>
          <w:sz w:val="28"/>
          <w:szCs w:val="28"/>
        </w:rPr>
      </w:pPr>
      <w:r>
        <w:rPr>
          <w:rFonts w:hint="eastAsia" w:ascii="仿宋" w:hAnsi="仿宋" w:eastAsia="仿宋" w:cs="仿宋"/>
          <w:color w:val="000000"/>
          <w:sz w:val="28"/>
          <w:szCs w:val="28"/>
        </w:rPr>
        <w:t>标项名称：</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988"/>
        <w:gridCol w:w="2016"/>
        <w:gridCol w:w="2625"/>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32"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111"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招标文件</w:t>
            </w:r>
          </w:p>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条目号</w:t>
            </w:r>
          </w:p>
        </w:tc>
        <w:tc>
          <w:tcPr>
            <w:tcW w:w="1127"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招标文件的技术条款</w:t>
            </w:r>
          </w:p>
        </w:tc>
        <w:tc>
          <w:tcPr>
            <w:tcW w:w="1467"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投标文件的技术条款</w:t>
            </w:r>
          </w:p>
        </w:tc>
        <w:tc>
          <w:tcPr>
            <w:tcW w:w="960" w:type="pct"/>
            <w:vAlign w:val="center"/>
          </w:tcPr>
          <w:p>
            <w:pPr>
              <w:spacing w:line="40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332"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11"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27" w:type="pct"/>
          </w:tcPr>
          <w:p>
            <w:pPr>
              <w:spacing w:line="400" w:lineRule="atLeast"/>
              <w:rPr>
                <w:rFonts w:ascii="仿宋" w:hAnsi="仿宋" w:eastAsia="仿宋" w:cs="仿宋"/>
                <w:color w:val="000000"/>
                <w:sz w:val="24"/>
                <w:szCs w:val="24"/>
              </w:rPr>
            </w:pPr>
          </w:p>
        </w:tc>
        <w:tc>
          <w:tcPr>
            <w:tcW w:w="1467" w:type="pct"/>
          </w:tcPr>
          <w:p>
            <w:pPr>
              <w:spacing w:line="400" w:lineRule="atLeast"/>
              <w:rPr>
                <w:rFonts w:ascii="仿宋" w:hAnsi="仿宋" w:eastAsia="仿宋" w:cs="仿宋"/>
                <w:color w:val="000000"/>
                <w:sz w:val="24"/>
                <w:szCs w:val="24"/>
              </w:rPr>
            </w:pPr>
          </w:p>
        </w:tc>
        <w:tc>
          <w:tcPr>
            <w:tcW w:w="960" w:type="pct"/>
          </w:tcPr>
          <w:p>
            <w:pPr>
              <w:spacing w:line="400" w:lineRule="atLeas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332"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11"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27" w:type="pct"/>
          </w:tcPr>
          <w:p>
            <w:pPr>
              <w:spacing w:line="400" w:lineRule="atLeast"/>
              <w:rPr>
                <w:rFonts w:ascii="仿宋" w:hAnsi="仿宋" w:eastAsia="仿宋" w:cs="仿宋"/>
                <w:color w:val="000000"/>
                <w:sz w:val="24"/>
                <w:szCs w:val="24"/>
              </w:rPr>
            </w:pPr>
          </w:p>
        </w:tc>
        <w:tc>
          <w:tcPr>
            <w:tcW w:w="1467" w:type="pct"/>
          </w:tcPr>
          <w:p>
            <w:pPr>
              <w:spacing w:line="400" w:lineRule="atLeast"/>
              <w:rPr>
                <w:rFonts w:ascii="仿宋" w:hAnsi="仿宋" w:eastAsia="仿宋" w:cs="仿宋"/>
                <w:color w:val="000000"/>
                <w:sz w:val="24"/>
                <w:szCs w:val="24"/>
              </w:rPr>
            </w:pPr>
          </w:p>
        </w:tc>
        <w:tc>
          <w:tcPr>
            <w:tcW w:w="960" w:type="pct"/>
          </w:tcPr>
          <w:p>
            <w:pPr>
              <w:spacing w:line="400" w:lineRule="atLeas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332"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11"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27" w:type="pct"/>
          </w:tcPr>
          <w:p>
            <w:pPr>
              <w:spacing w:line="400" w:lineRule="atLeast"/>
              <w:rPr>
                <w:rFonts w:ascii="仿宋" w:hAnsi="仿宋" w:eastAsia="仿宋" w:cs="仿宋"/>
                <w:color w:val="000000"/>
                <w:sz w:val="24"/>
                <w:szCs w:val="24"/>
              </w:rPr>
            </w:pPr>
          </w:p>
        </w:tc>
        <w:tc>
          <w:tcPr>
            <w:tcW w:w="1467" w:type="pct"/>
          </w:tcPr>
          <w:p>
            <w:pPr>
              <w:spacing w:line="400" w:lineRule="atLeast"/>
              <w:rPr>
                <w:rFonts w:ascii="仿宋" w:hAnsi="仿宋" w:eastAsia="仿宋" w:cs="仿宋"/>
                <w:color w:val="000000"/>
                <w:sz w:val="24"/>
                <w:szCs w:val="24"/>
              </w:rPr>
            </w:pPr>
          </w:p>
        </w:tc>
        <w:tc>
          <w:tcPr>
            <w:tcW w:w="960" w:type="pct"/>
          </w:tcPr>
          <w:p>
            <w:pPr>
              <w:spacing w:line="400" w:lineRule="atLeas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332"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11"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27" w:type="pct"/>
          </w:tcPr>
          <w:p>
            <w:pPr>
              <w:spacing w:line="400" w:lineRule="atLeast"/>
              <w:rPr>
                <w:rFonts w:ascii="仿宋" w:hAnsi="仿宋" w:eastAsia="仿宋" w:cs="仿宋"/>
                <w:color w:val="000000"/>
                <w:sz w:val="24"/>
                <w:szCs w:val="24"/>
              </w:rPr>
            </w:pPr>
          </w:p>
        </w:tc>
        <w:tc>
          <w:tcPr>
            <w:tcW w:w="1467" w:type="pct"/>
          </w:tcPr>
          <w:p>
            <w:pPr>
              <w:spacing w:line="400" w:lineRule="atLeast"/>
              <w:rPr>
                <w:rFonts w:ascii="仿宋" w:hAnsi="仿宋" w:eastAsia="仿宋" w:cs="仿宋"/>
                <w:color w:val="000000"/>
                <w:sz w:val="24"/>
                <w:szCs w:val="24"/>
              </w:rPr>
            </w:pPr>
          </w:p>
        </w:tc>
        <w:tc>
          <w:tcPr>
            <w:tcW w:w="960" w:type="pct"/>
          </w:tcPr>
          <w:p>
            <w:pPr>
              <w:spacing w:line="400" w:lineRule="atLeas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332" w:type="pct"/>
          </w:tcPr>
          <w:p>
            <w:pPr>
              <w:spacing w:line="400" w:lineRule="atLeas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11" w:type="pct"/>
          </w:tcPr>
          <w:p>
            <w:pPr>
              <w:widowControl/>
              <w:spacing w:line="400" w:lineRule="atLeast"/>
              <w:jc w:val="left"/>
              <w:rPr>
                <w:rFonts w:ascii="仿宋" w:hAnsi="仿宋" w:eastAsia="仿宋" w:cs="仿宋"/>
                <w:color w:val="000000"/>
                <w:sz w:val="24"/>
                <w:szCs w:val="24"/>
              </w:rPr>
            </w:pPr>
          </w:p>
          <w:p>
            <w:pPr>
              <w:spacing w:line="400" w:lineRule="atLeast"/>
              <w:rPr>
                <w:rFonts w:ascii="仿宋" w:hAnsi="仿宋" w:eastAsia="仿宋" w:cs="仿宋"/>
                <w:color w:val="000000"/>
                <w:sz w:val="24"/>
                <w:szCs w:val="24"/>
              </w:rPr>
            </w:pPr>
          </w:p>
        </w:tc>
        <w:tc>
          <w:tcPr>
            <w:tcW w:w="1127" w:type="pct"/>
          </w:tcPr>
          <w:p>
            <w:pPr>
              <w:spacing w:line="400" w:lineRule="atLeast"/>
              <w:rPr>
                <w:rFonts w:ascii="仿宋" w:hAnsi="仿宋" w:eastAsia="仿宋" w:cs="仿宋"/>
                <w:color w:val="000000"/>
                <w:sz w:val="24"/>
                <w:szCs w:val="24"/>
              </w:rPr>
            </w:pPr>
          </w:p>
        </w:tc>
        <w:tc>
          <w:tcPr>
            <w:tcW w:w="1467" w:type="pct"/>
          </w:tcPr>
          <w:p>
            <w:pPr>
              <w:spacing w:line="400" w:lineRule="atLeast"/>
              <w:rPr>
                <w:rFonts w:ascii="仿宋" w:hAnsi="仿宋" w:eastAsia="仿宋" w:cs="仿宋"/>
                <w:color w:val="000000"/>
                <w:sz w:val="24"/>
                <w:szCs w:val="24"/>
              </w:rPr>
            </w:pPr>
          </w:p>
        </w:tc>
        <w:tc>
          <w:tcPr>
            <w:tcW w:w="960" w:type="pct"/>
          </w:tcPr>
          <w:p>
            <w:pPr>
              <w:spacing w:line="400" w:lineRule="atLeast"/>
              <w:rPr>
                <w:rFonts w:ascii="仿宋" w:hAnsi="仿宋" w:eastAsia="仿宋" w:cs="仿宋"/>
                <w:color w:val="000000"/>
                <w:sz w:val="24"/>
                <w:szCs w:val="24"/>
              </w:rPr>
            </w:pPr>
          </w:p>
        </w:tc>
      </w:tr>
    </w:tbl>
    <w:p>
      <w:pPr>
        <w:spacing w:line="400" w:lineRule="atLeast"/>
        <w:rPr>
          <w:rFonts w:ascii="仿宋" w:hAnsi="仿宋" w:eastAsia="仿宋" w:cs="仿宋"/>
          <w:color w:val="000000"/>
          <w:sz w:val="28"/>
          <w:szCs w:val="28"/>
        </w:rPr>
      </w:pPr>
      <w:r>
        <w:rPr>
          <w:rFonts w:hint="eastAsia" w:ascii="仿宋" w:hAnsi="仿宋" w:eastAsia="仿宋" w:cs="仿宋"/>
          <w:color w:val="000000"/>
          <w:sz w:val="28"/>
          <w:szCs w:val="28"/>
        </w:rPr>
        <w:t>注：与招标文件中“第五</w:t>
      </w:r>
      <w:r>
        <w:rPr>
          <w:rFonts w:hint="eastAsia" w:ascii="仿宋" w:hAnsi="仿宋" w:eastAsia="仿宋" w:cs="仿宋"/>
          <w:color w:val="000000"/>
          <w:sz w:val="28"/>
          <w:szCs w:val="28"/>
          <w:lang w:eastAsia="zh-Hans"/>
        </w:rPr>
        <w:t>章</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六）技术参数要求</w:t>
      </w:r>
      <w:r>
        <w:rPr>
          <w:rFonts w:hint="eastAsia" w:ascii="仿宋" w:hAnsi="仿宋" w:eastAsia="仿宋" w:cs="仿宋"/>
          <w:color w:val="000000"/>
          <w:sz w:val="28"/>
          <w:szCs w:val="28"/>
        </w:rPr>
        <w:t>”逐条对应填写。　</w:t>
      </w:r>
    </w:p>
    <w:p>
      <w:pPr>
        <w:spacing w:line="400" w:lineRule="atLeast"/>
        <w:rPr>
          <w:rFonts w:ascii="仿宋" w:hAnsi="仿宋" w:eastAsia="仿宋" w:cs="仿宋"/>
          <w:color w:val="000000"/>
          <w:sz w:val="28"/>
          <w:szCs w:val="28"/>
        </w:rPr>
      </w:pPr>
      <w:r>
        <w:rPr>
          <w:rFonts w:hint="eastAsia" w:ascii="仿宋" w:hAnsi="仿宋" w:eastAsia="仿宋" w:cs="仿宋"/>
          <w:color w:val="000000"/>
          <w:sz w:val="28"/>
          <w:szCs w:val="28"/>
        </w:rPr>
        <w:t>投标人代表签字：</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　</w:t>
      </w:r>
    </w:p>
    <w:p>
      <w:pPr>
        <w:pStyle w:val="2"/>
        <w:rPr>
          <w:sz w:val="28"/>
          <w:szCs w:val="28"/>
        </w:rPr>
        <w:sectPr>
          <w:pgSz w:w="11906" w:h="16838"/>
          <w:pgMar w:top="1418" w:right="1588" w:bottom="1418" w:left="1588" w:header="851" w:footer="992" w:gutter="0"/>
          <w:cols w:space="720" w:num="1"/>
          <w:docGrid w:type="lines" w:linePitch="312" w:charSpace="0"/>
        </w:sectPr>
      </w:pPr>
    </w:p>
    <w:p>
      <w:pPr>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（四）链路覆盖范围情况说明（格式自拟，内容响应招标文件）</w:t>
      </w:r>
    </w:p>
    <w:p>
      <w:pPr>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（五）服务方案（格式自拟，内容响应招标文件）</w:t>
      </w:r>
    </w:p>
    <w:p>
      <w:pPr>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（六）应急处理方案（格式自拟，内容响应招标文件）</w:t>
      </w:r>
    </w:p>
    <w:p>
      <w:pPr>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（七）售后服务方案（格式自拟，内容响应招标文件）</w:t>
      </w:r>
    </w:p>
    <w:p>
      <w:pPr>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（八）工期承诺（格式自拟，内容响应招标文件）</w:t>
      </w:r>
    </w:p>
    <w:p>
      <w:pPr>
        <w:jc w:val="center"/>
        <w:rPr>
          <w:rFonts w:ascii="仿宋" w:hAnsi="仿宋" w:eastAsia="仿宋" w:cs="仿宋"/>
          <w:b/>
          <w:bCs/>
          <w:sz w:val="28"/>
          <w:szCs w:val="28"/>
        </w:rPr>
        <w:sectPr>
          <w:pgSz w:w="11906" w:h="16838"/>
          <w:pgMar w:top="1418" w:right="1588" w:bottom="1418" w:left="1588" w:header="851" w:footer="992" w:gutter="0"/>
          <w:cols w:space="720" w:num="1"/>
          <w:docGrid w:type="lines" w:linePitch="312" w:charSpace="0"/>
        </w:sectPr>
      </w:pPr>
    </w:p>
    <w:p>
      <w:pPr>
        <w:jc w:val="center"/>
        <w:rPr>
          <w:rFonts w:ascii="仿宋" w:hAnsi="仿宋" w:eastAsia="仿宋" w:cs="仿宋"/>
          <w:b/>
          <w:bCs/>
          <w:sz w:val="28"/>
          <w:szCs w:val="28"/>
        </w:rPr>
      </w:pPr>
      <w:r>
        <w:rPr>
          <w:rFonts w:hint="eastAsia" w:ascii="仿宋" w:hAnsi="仿宋" w:eastAsia="仿宋" w:cs="仿宋"/>
          <w:b/>
          <w:bCs/>
          <w:sz w:val="28"/>
          <w:szCs w:val="28"/>
        </w:rPr>
        <w:t>九、其他资料</w:t>
      </w:r>
    </w:p>
    <w:p>
      <w:pPr>
        <w:jc w:val="center"/>
        <w:rPr>
          <w:rFonts w:ascii="仿宋" w:hAnsi="仿宋" w:eastAsia="仿宋" w:cs="仿宋"/>
          <w:sz w:val="28"/>
          <w:szCs w:val="28"/>
        </w:rPr>
      </w:pPr>
    </w:p>
    <w:bookmarkEnd w:id="465"/>
    <w:bookmarkEnd w:id="466"/>
    <w:bookmarkEnd w:id="467"/>
    <w:bookmarkEnd w:id="468"/>
    <w:p>
      <w:pPr>
        <w:widowControl/>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1、其他资料</w:t>
      </w:r>
    </w:p>
    <w:p>
      <w:pPr>
        <w:widowControl/>
        <w:adjustRightInd w:val="0"/>
        <w:snapToGrid w:val="0"/>
        <w:spacing w:line="360" w:lineRule="auto"/>
        <w:rPr>
          <w:rFonts w:ascii="仿宋" w:hAnsi="仿宋" w:eastAsia="仿宋" w:cs="仿宋"/>
          <w:bCs/>
          <w:sz w:val="28"/>
          <w:szCs w:val="28"/>
        </w:rPr>
      </w:pPr>
      <w:r>
        <w:rPr>
          <w:rFonts w:hint="eastAsia" w:ascii="仿宋" w:hAnsi="仿宋" w:eastAsia="仿宋" w:cs="仿宋"/>
          <w:sz w:val="28"/>
          <w:szCs w:val="28"/>
        </w:rPr>
        <w:t>2、</w:t>
      </w:r>
      <w:r>
        <w:rPr>
          <w:rFonts w:hint="eastAsia" w:ascii="仿宋" w:hAnsi="仿宋" w:eastAsia="仿宋" w:cs="仿宋"/>
          <w:bCs/>
          <w:sz w:val="28"/>
          <w:szCs w:val="28"/>
        </w:rPr>
        <w:t>中小企业声明函</w:t>
      </w:r>
    </w:p>
    <w:p>
      <w:pPr>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（中小微企业适用）</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本公司郑重声明，根据《政府采购促进中小企业发展暂行办法》（财库[2011]181 号）的规定，本公司为______（请填写：大型、中型、小型、微型）企业。即，本公司同时满足以下条件：</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1.根据《工业和信息化部、国家统计局、国家发展和改革委员会、财政部关于印发中小企业划型标准规定的通知》（工信部联企业[2011]300 号）规定的划分标准，本公司为______（请填写：大型、中型、小型、微型）企业。</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2.本公司参加______单位的项目名称(第几包）采购活动（按投标形式选择填写）：</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（1）□本公司为直接投标人提供本企业制造的货物，由本企业承担工程、提供服务。</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（2）□本公司为代理商，提供其他______（请填写：中型、小型、微型）企业制造的货物。本条所称货物不包括使用大型企业注册商标的货物。（后附制造商投标人企业类型声明函）</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（3）□本公司为联合体一方，提供本企业制造的货物，由本企业承担工程、提供服务。我公司提供协议合同金额占到共同投标协议合同总金额的比例为。</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本公司对上述声明的真实性负责。如有虚假，将依法承担相应责任。</w:t>
      </w:r>
    </w:p>
    <w:p>
      <w:pPr>
        <w:spacing w:line="300" w:lineRule="auto"/>
        <w:ind w:firstLine="5040" w:firstLineChars="1800"/>
        <w:rPr>
          <w:rFonts w:ascii="仿宋" w:hAnsi="仿宋" w:eastAsia="仿宋" w:cs="仿宋"/>
          <w:kern w:val="0"/>
          <w:sz w:val="28"/>
          <w:szCs w:val="28"/>
        </w:rPr>
      </w:pPr>
    </w:p>
    <w:p>
      <w:pPr>
        <w:spacing w:line="440" w:lineRule="exact"/>
        <w:jc w:val="right"/>
        <w:rPr>
          <w:rFonts w:ascii="仿宋" w:hAnsi="仿宋" w:eastAsia="仿宋" w:cs="仿宋"/>
          <w:kern w:val="0"/>
          <w:sz w:val="28"/>
          <w:szCs w:val="28"/>
        </w:rPr>
      </w:pPr>
      <w:r>
        <w:rPr>
          <w:rFonts w:hint="eastAsia" w:ascii="仿宋" w:hAnsi="仿宋" w:eastAsia="仿宋" w:cs="仿宋"/>
          <w:kern w:val="0"/>
          <w:sz w:val="28"/>
          <w:szCs w:val="28"/>
        </w:rPr>
        <w:t>企业名称（盖公章）：</w:t>
      </w:r>
    </w:p>
    <w:p>
      <w:pPr>
        <w:spacing w:line="440" w:lineRule="exact"/>
        <w:jc w:val="right"/>
        <w:rPr>
          <w:rFonts w:ascii="仿宋" w:hAnsi="仿宋" w:eastAsia="仿宋" w:cs="仿宋"/>
          <w:kern w:val="0"/>
          <w:sz w:val="28"/>
          <w:szCs w:val="28"/>
        </w:rPr>
      </w:pPr>
      <w:r>
        <w:rPr>
          <w:rFonts w:hint="eastAsia" w:ascii="仿宋" w:hAnsi="仿宋" w:eastAsia="仿宋" w:cs="仿宋"/>
          <w:kern w:val="0"/>
          <w:sz w:val="28"/>
          <w:szCs w:val="28"/>
        </w:rPr>
        <w:t>法定代表人（负责人）或其授权代表(签字)：</w:t>
      </w:r>
    </w:p>
    <w:p>
      <w:pPr>
        <w:spacing w:line="440" w:lineRule="exact"/>
        <w:jc w:val="right"/>
        <w:rPr>
          <w:rFonts w:ascii="仿宋" w:hAnsi="仿宋" w:eastAsia="仿宋" w:cs="仿宋"/>
          <w:kern w:val="0"/>
          <w:sz w:val="28"/>
          <w:szCs w:val="28"/>
        </w:rPr>
      </w:pPr>
      <w:r>
        <w:rPr>
          <w:rFonts w:hint="eastAsia" w:ascii="仿宋" w:hAnsi="仿宋" w:eastAsia="仿宋" w:cs="仿宋"/>
          <w:kern w:val="0"/>
          <w:sz w:val="28"/>
          <w:szCs w:val="28"/>
        </w:rPr>
        <w:t>日期：</w:t>
      </w:r>
    </w:p>
    <w:p>
      <w:pPr>
        <w:spacing w:line="440" w:lineRule="exact"/>
        <w:rPr>
          <w:rFonts w:ascii="仿宋" w:hAnsi="仿宋" w:eastAsia="仿宋" w:cs="仿宋"/>
          <w:kern w:val="0"/>
          <w:sz w:val="28"/>
          <w:szCs w:val="28"/>
        </w:rPr>
      </w:pPr>
      <w:r>
        <w:rPr>
          <w:rFonts w:hint="eastAsia" w:ascii="仿宋" w:hAnsi="仿宋" w:eastAsia="仿宋" w:cs="仿宋"/>
          <w:kern w:val="0"/>
          <w:sz w:val="28"/>
          <w:szCs w:val="28"/>
        </w:rPr>
        <w:t>注：小型、微型企业资格证明文件</w:t>
      </w:r>
    </w:p>
    <w:p>
      <w:pPr>
        <w:spacing w:line="440" w:lineRule="exact"/>
        <w:rPr>
          <w:rFonts w:ascii="仿宋" w:hAnsi="仿宋" w:eastAsia="仿宋" w:cs="仿宋"/>
          <w:kern w:val="0"/>
          <w:sz w:val="28"/>
          <w:szCs w:val="28"/>
        </w:rPr>
      </w:pPr>
      <w:r>
        <w:rPr>
          <w:rFonts w:hint="eastAsia" w:ascii="仿宋" w:hAnsi="仿宋" w:eastAsia="仿宋" w:cs="仿宋"/>
          <w:kern w:val="0"/>
          <w:sz w:val="28"/>
          <w:szCs w:val="28"/>
        </w:rPr>
        <w:t>1.投标人工商行政注册地管理部门出具的小微企业证明材料；</w:t>
      </w:r>
    </w:p>
    <w:p>
      <w:pPr>
        <w:spacing w:line="440" w:lineRule="exact"/>
        <w:rPr>
          <w:rFonts w:ascii="仿宋" w:hAnsi="仿宋" w:eastAsia="仿宋" w:cs="仿宋"/>
          <w:kern w:val="0"/>
          <w:sz w:val="28"/>
          <w:szCs w:val="28"/>
        </w:rPr>
      </w:pPr>
      <w:r>
        <w:rPr>
          <w:rFonts w:hint="eastAsia" w:ascii="仿宋" w:hAnsi="仿宋" w:eastAsia="仿宋" w:cs="仿宋"/>
          <w:kern w:val="0"/>
          <w:sz w:val="28"/>
          <w:szCs w:val="28"/>
        </w:rPr>
        <w:t>2.所代理产品生产厂家的属地主管部门出具的小微企业证明材料；</w:t>
      </w:r>
    </w:p>
    <w:p>
      <w:pPr>
        <w:spacing w:line="440" w:lineRule="exact"/>
        <w:rPr>
          <w:rFonts w:ascii="仿宋" w:hAnsi="仿宋" w:eastAsia="仿宋" w:cs="仿宋"/>
          <w:kern w:val="0"/>
          <w:sz w:val="28"/>
          <w:szCs w:val="28"/>
        </w:rPr>
      </w:pPr>
      <w:r>
        <w:rPr>
          <w:rFonts w:hint="eastAsia" w:ascii="仿宋" w:hAnsi="仿宋" w:eastAsia="仿宋" w:cs="仿宋"/>
          <w:kern w:val="0"/>
          <w:sz w:val="28"/>
          <w:szCs w:val="28"/>
        </w:rPr>
        <w:t>3.证明材料加盖投标人公章。</w:t>
      </w:r>
    </w:p>
    <w:p>
      <w:pPr>
        <w:spacing w:line="440" w:lineRule="exact"/>
        <w:rPr>
          <w:rFonts w:ascii="仿宋" w:hAnsi="仿宋" w:eastAsia="仿宋" w:cs="仿宋"/>
          <w:kern w:val="0"/>
          <w:sz w:val="28"/>
          <w:szCs w:val="28"/>
        </w:rPr>
      </w:pPr>
      <w:r>
        <w:rPr>
          <w:rFonts w:hint="eastAsia" w:ascii="仿宋" w:hAnsi="仿宋" w:eastAsia="仿宋" w:cs="仿宋"/>
          <w:kern w:val="0"/>
          <w:sz w:val="28"/>
          <w:szCs w:val="28"/>
        </w:rPr>
        <w:t xml:space="preserve">（若投标文件中无上述证明文件，则在评审时不考虑对该小、微企业的相关优惠。） </w:t>
      </w:r>
    </w:p>
    <w:p>
      <w:pPr>
        <w:pStyle w:val="7"/>
        <w:ind w:firstLine="0"/>
        <w:rPr>
          <w:rFonts w:ascii="仿宋" w:hAnsi="仿宋" w:eastAsia="仿宋" w:cs="仿宋"/>
          <w:sz w:val="28"/>
          <w:szCs w:val="28"/>
        </w:rPr>
      </w:pPr>
    </w:p>
    <w:p>
      <w:pPr>
        <w:adjustRightInd w:val="0"/>
        <w:snapToGrid w:val="0"/>
        <w:spacing w:line="360" w:lineRule="auto"/>
        <w:rPr>
          <w:rFonts w:ascii="仿宋" w:hAnsi="仿宋" w:eastAsia="仿宋" w:cs="仿宋"/>
          <w:sz w:val="28"/>
          <w:szCs w:val="28"/>
        </w:rPr>
        <w:sectPr>
          <w:pgSz w:w="11906" w:h="16838"/>
          <w:pgMar w:top="1418" w:right="1588" w:bottom="1418" w:left="1588" w:header="851" w:footer="992" w:gutter="0"/>
          <w:cols w:space="720" w:num="1"/>
          <w:docGrid w:type="lines" w:linePitch="312" w:charSpace="0"/>
        </w:sectPr>
      </w:pPr>
      <w:r>
        <w:rPr>
          <w:rFonts w:hint="eastAsia" w:ascii="仿宋" w:hAnsi="仿宋" w:eastAsia="仿宋" w:cs="仿宋"/>
          <w:b/>
          <w:sz w:val="28"/>
          <w:szCs w:val="28"/>
        </w:rPr>
        <w:t>项投标人根据情况自行选择，不享受相关政策的投标人无需提供</w:t>
      </w:r>
    </w:p>
    <w:p>
      <w:pPr>
        <w:rPr>
          <w:rFonts w:ascii="仿宋" w:hAnsi="仿宋" w:eastAsia="仿宋" w:cs="仿宋"/>
          <w:sz w:val="28"/>
          <w:szCs w:val="28"/>
        </w:rPr>
      </w:pPr>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weight : 700">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37</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37</w:t>
                    </w:r>
                    <w:r>
                      <w:rPr>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2490470</wp:posOffset>
              </wp:positionH>
              <wp:positionV relativeFrom="paragraph">
                <wp:posOffset>62230</wp:posOffset>
              </wp:positionV>
              <wp:extent cx="1473200" cy="289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73200" cy="289560"/>
                      </a:xfrm>
                      <a:prstGeom prst="rect">
                        <a:avLst/>
                      </a:prstGeom>
                      <a:noFill/>
                      <a:ln w="9525">
                        <a:noFill/>
                      </a:ln>
                    </wps:spPr>
                    <wps:txbx>
                      <w:txbxContent>
                        <w:p>
                          <w:pPr>
                            <w:snapToGrid w:val="0"/>
                            <w:jc w:val="center"/>
                            <w:rPr>
                              <w:sz w:val="18"/>
                            </w:rPr>
                          </w:pPr>
                        </w:p>
                      </w:txbxContent>
                    </wps:txbx>
                    <wps:bodyPr lIns="0" tIns="0" rIns="0" bIns="0"/>
                  </wps:wsp>
                </a:graphicData>
              </a:graphic>
            </wp:anchor>
          </w:drawing>
        </mc:Choice>
        <mc:Fallback>
          <w:pict>
            <v:shape id="_x0000_s1026" o:spid="_x0000_s1026" o:spt="202" type="#_x0000_t202" style="position:absolute;left:0pt;margin-left:196.1pt;margin-top:4.9pt;height:22.8pt;width:116pt;mso-position-horizontal-relative:margin;z-index:251660288;mso-width-relative:page;mso-height-relative:page;" filled="f" stroked="f" coordsize="21600,21600" o:gfxdata="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sOaQNcAAAAIAQAADwAAAAAAAAABACAAAAAiAAAAZHJzL2Rvd25yZXYueG1sUEsB&#10;AhQAFAAAAAgAh07iQDCyL/K9AQAAbwMAAA4AAAAAAAAAAQAgAAAAJgEAAGRycy9lMm9Eb2MueG1s&#10;UEsFBgAAAAAGAAYAWQEAAFUFAAAAAA==&#10;">
              <v:fill on="f" focussize="0,0"/>
              <v:stroke on="f"/>
              <v:imagedata o:title=""/>
              <o:lock v:ext="edit" aspectratio="f"/>
              <v:textbox inset="0mm,0mm,0mm,0mm">
                <w:txbxContent>
                  <w:p>
                    <w:pPr>
                      <w:snapToGrid w:val="0"/>
                      <w:jc w:val="center"/>
                      <w:rPr>
                        <w:sz w:val="18"/>
                      </w:rPr>
                    </w:pP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3"/>
    <w:multiLevelType w:val="multilevel"/>
    <w:tmpl w:val="00000023"/>
    <w:lvl w:ilvl="0" w:tentative="0">
      <w:start w:val="1"/>
      <w:numFmt w:val="decimal"/>
      <w:pStyle w:val="21"/>
      <w:lvlText w:val="%1."/>
      <w:lvlJc w:val="left"/>
      <w:pPr>
        <w:ind w:left="420" w:hanging="420"/>
      </w:pPr>
      <w:rPr>
        <w:rFonts w:hint="eastAsia"/>
      </w:rPr>
    </w:lvl>
    <w:lvl w:ilvl="1" w:tentative="0">
      <w:start w:val="2"/>
      <w:numFmt w:val="decimal"/>
      <w:isLgl/>
      <w:lvlText w:val="%1.%2"/>
      <w:lvlJc w:val="left"/>
      <w:pPr>
        <w:ind w:left="2936" w:hanging="525"/>
      </w:pPr>
      <w:rPr>
        <w:rFonts w:hint="default" w:ascii="Times New Roman" w:hAnsi="Times New Roman" w:eastAsia="宋体" w:cs="Times New Roman"/>
      </w:rPr>
    </w:lvl>
    <w:lvl w:ilvl="2" w:tentative="0">
      <w:start w:val="3"/>
      <w:numFmt w:val="decimal"/>
      <w:isLgl/>
      <w:lvlText w:val="%1.%2.%3"/>
      <w:lvlJc w:val="left"/>
      <w:pPr>
        <w:ind w:left="3131" w:hanging="720"/>
      </w:pPr>
      <w:rPr>
        <w:rFonts w:hint="default" w:ascii="Times New Roman" w:hAnsi="Times New Roman" w:eastAsia="宋体" w:cs="Times New Roman"/>
      </w:rPr>
    </w:lvl>
    <w:lvl w:ilvl="3" w:tentative="0">
      <w:start w:val="1"/>
      <w:numFmt w:val="decimal"/>
      <w:isLgl/>
      <w:lvlText w:val="%1.%2.%3.%4"/>
      <w:lvlJc w:val="left"/>
      <w:pPr>
        <w:ind w:left="3131" w:hanging="720"/>
      </w:pPr>
      <w:rPr>
        <w:rFonts w:hint="default" w:ascii="Times New Roman" w:hAnsi="Times New Roman" w:eastAsia="宋体" w:cs="Times New Roman"/>
      </w:rPr>
    </w:lvl>
    <w:lvl w:ilvl="4" w:tentative="0">
      <w:start w:val="1"/>
      <w:numFmt w:val="decimal"/>
      <w:isLgl/>
      <w:lvlText w:val="%1.%2.%3.%4.%5"/>
      <w:lvlJc w:val="left"/>
      <w:pPr>
        <w:ind w:left="3491" w:hanging="1080"/>
      </w:pPr>
      <w:rPr>
        <w:rFonts w:hint="default" w:ascii="Times New Roman" w:hAnsi="Times New Roman" w:eastAsia="宋体" w:cs="Times New Roman"/>
      </w:rPr>
    </w:lvl>
    <w:lvl w:ilvl="5" w:tentative="0">
      <w:start w:val="1"/>
      <w:numFmt w:val="decimal"/>
      <w:isLgl/>
      <w:lvlText w:val="%1.%2.%3.%4.%5.%6"/>
      <w:lvlJc w:val="left"/>
      <w:pPr>
        <w:ind w:left="3491" w:hanging="1080"/>
      </w:pPr>
      <w:rPr>
        <w:rFonts w:hint="default" w:ascii="Times New Roman" w:hAnsi="Times New Roman" w:eastAsia="宋体" w:cs="Times New Roman"/>
      </w:rPr>
    </w:lvl>
    <w:lvl w:ilvl="6" w:tentative="0">
      <w:start w:val="1"/>
      <w:numFmt w:val="decimal"/>
      <w:isLgl/>
      <w:lvlText w:val="%1.%2.%3.%4.%5.%6.%7"/>
      <w:lvlJc w:val="left"/>
      <w:pPr>
        <w:ind w:left="3851" w:hanging="1440"/>
      </w:pPr>
      <w:rPr>
        <w:rFonts w:hint="default" w:ascii="Times New Roman" w:hAnsi="Times New Roman" w:eastAsia="宋体" w:cs="Times New Roman"/>
      </w:rPr>
    </w:lvl>
    <w:lvl w:ilvl="7" w:tentative="0">
      <w:start w:val="1"/>
      <w:numFmt w:val="decimal"/>
      <w:isLgl/>
      <w:lvlText w:val="%1.%2.%3.%4.%5.%6.%7.%8"/>
      <w:lvlJc w:val="left"/>
      <w:pPr>
        <w:ind w:left="3851" w:hanging="1440"/>
      </w:pPr>
      <w:rPr>
        <w:rFonts w:hint="default" w:ascii="Times New Roman" w:hAnsi="Times New Roman" w:eastAsia="宋体" w:cs="Times New Roman"/>
      </w:rPr>
    </w:lvl>
    <w:lvl w:ilvl="8" w:tentative="0">
      <w:start w:val="1"/>
      <w:numFmt w:val="decimal"/>
      <w:isLgl/>
      <w:lvlText w:val="%1.%2.%3.%4.%5.%6.%7.%8.%9"/>
      <w:lvlJc w:val="left"/>
      <w:pPr>
        <w:ind w:left="3851" w:hanging="1440"/>
      </w:pPr>
      <w:rPr>
        <w:rFonts w:hint="default" w:ascii="Times New Roman" w:hAnsi="Times New Roman" w:eastAsia="宋体" w:cs="Times New Roman"/>
      </w:rPr>
    </w:lvl>
  </w:abstractNum>
  <w:abstractNum w:abstractNumId="1">
    <w:nsid w:val="051E0DD8"/>
    <w:multiLevelType w:val="singleLevel"/>
    <w:tmpl w:val="051E0DD8"/>
    <w:lvl w:ilvl="0" w:tentative="0">
      <w:start w:val="1"/>
      <w:numFmt w:val="chineseCounting"/>
      <w:suff w:val="nothing"/>
      <w:lvlText w:val="%1、"/>
      <w:lvlJc w:val="left"/>
      <w:rPr>
        <w:rFonts w:hint="eastAsia"/>
      </w:rPr>
    </w:lvl>
  </w:abstractNum>
  <w:abstractNum w:abstractNumId="2">
    <w:nsid w:val="60E43476"/>
    <w:multiLevelType w:val="singleLevel"/>
    <w:tmpl w:val="60E43476"/>
    <w:lvl w:ilvl="0" w:tentative="0">
      <w:start w:val="1"/>
      <w:numFmt w:val="chineseCounting"/>
      <w:suff w:val="nothing"/>
      <w:lvlText w:val="%1、"/>
      <w:lvlJc w:val="left"/>
    </w:lvl>
  </w:abstractNum>
  <w:abstractNum w:abstractNumId="3">
    <w:nsid w:val="60FAC4BA"/>
    <w:multiLevelType w:val="singleLevel"/>
    <w:tmpl w:val="60FAC4BA"/>
    <w:lvl w:ilvl="0" w:tentative="0">
      <w:start w:val="2"/>
      <w:numFmt w:val="decimal"/>
      <w:suff w:val="nothing"/>
      <w:lvlText w:val="（%1）"/>
      <w:lvlJc w:val="left"/>
    </w:lvl>
  </w:abstractNum>
  <w:abstractNum w:abstractNumId="4">
    <w:nsid w:val="60FF04B2"/>
    <w:multiLevelType w:val="singleLevel"/>
    <w:tmpl w:val="60FF04B2"/>
    <w:lvl w:ilvl="0" w:tentative="0">
      <w:start w:val="1"/>
      <w:numFmt w:val="chineseCounting"/>
      <w:suff w:val="nothing"/>
      <w:lvlText w:val="%1、"/>
      <w:lvlJc w:val="left"/>
    </w:lvl>
  </w:abstractNum>
  <w:abstractNum w:abstractNumId="5">
    <w:nsid w:val="6E6F60ED"/>
    <w:multiLevelType w:val="multilevel"/>
    <w:tmpl w:val="6E6F60ED"/>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702CE108"/>
    <w:multiLevelType w:val="singleLevel"/>
    <w:tmpl w:val="702CE108"/>
    <w:lvl w:ilvl="0" w:tentative="0">
      <w:start w:val="2"/>
      <w:numFmt w:val="decimal"/>
      <w:suff w:val="nothing"/>
      <w:lvlText w:val="%1、"/>
      <w:lvlJc w:val="left"/>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FDAB24"/>
    <w:rsid w:val="00225888"/>
    <w:rsid w:val="00267754"/>
    <w:rsid w:val="00316113"/>
    <w:rsid w:val="00355949"/>
    <w:rsid w:val="00481FD4"/>
    <w:rsid w:val="004C14B1"/>
    <w:rsid w:val="004C5ABD"/>
    <w:rsid w:val="0052446F"/>
    <w:rsid w:val="00554E6F"/>
    <w:rsid w:val="005B7D1A"/>
    <w:rsid w:val="0062249A"/>
    <w:rsid w:val="00667B0D"/>
    <w:rsid w:val="00691C0F"/>
    <w:rsid w:val="00694E67"/>
    <w:rsid w:val="006F61C7"/>
    <w:rsid w:val="00713424"/>
    <w:rsid w:val="008B3219"/>
    <w:rsid w:val="008B4F6E"/>
    <w:rsid w:val="00916B72"/>
    <w:rsid w:val="00952BF9"/>
    <w:rsid w:val="00A30C3C"/>
    <w:rsid w:val="00B10EF6"/>
    <w:rsid w:val="00C06954"/>
    <w:rsid w:val="00C10C85"/>
    <w:rsid w:val="00C740F8"/>
    <w:rsid w:val="00CE2B3F"/>
    <w:rsid w:val="00D60F7E"/>
    <w:rsid w:val="00D64999"/>
    <w:rsid w:val="00D97C73"/>
    <w:rsid w:val="00E820DC"/>
    <w:rsid w:val="00F86531"/>
    <w:rsid w:val="034412AB"/>
    <w:rsid w:val="061D31C7"/>
    <w:rsid w:val="07990327"/>
    <w:rsid w:val="07B71282"/>
    <w:rsid w:val="09F01A4F"/>
    <w:rsid w:val="0A2425CA"/>
    <w:rsid w:val="0B556A2D"/>
    <w:rsid w:val="0B764E3D"/>
    <w:rsid w:val="0BD81E50"/>
    <w:rsid w:val="0C5B23A0"/>
    <w:rsid w:val="0DA22577"/>
    <w:rsid w:val="0E3D42D9"/>
    <w:rsid w:val="0EFE459C"/>
    <w:rsid w:val="126723D1"/>
    <w:rsid w:val="12BC7E07"/>
    <w:rsid w:val="14522A53"/>
    <w:rsid w:val="15F7BBC7"/>
    <w:rsid w:val="162C707F"/>
    <w:rsid w:val="17097757"/>
    <w:rsid w:val="1A590A7A"/>
    <w:rsid w:val="1E945201"/>
    <w:rsid w:val="1F004D59"/>
    <w:rsid w:val="20867D55"/>
    <w:rsid w:val="28D26292"/>
    <w:rsid w:val="2B052930"/>
    <w:rsid w:val="2C275705"/>
    <w:rsid w:val="2E83228E"/>
    <w:rsid w:val="2FFA8CA7"/>
    <w:rsid w:val="2FFD8349"/>
    <w:rsid w:val="30DF44C9"/>
    <w:rsid w:val="319A4B73"/>
    <w:rsid w:val="321F1DE6"/>
    <w:rsid w:val="3590140F"/>
    <w:rsid w:val="35A45E55"/>
    <w:rsid w:val="35AD38D4"/>
    <w:rsid w:val="36C79EDA"/>
    <w:rsid w:val="3BF3EAA2"/>
    <w:rsid w:val="3DFE36BB"/>
    <w:rsid w:val="3EAD3EF0"/>
    <w:rsid w:val="3F1DF054"/>
    <w:rsid w:val="42EF335C"/>
    <w:rsid w:val="46B503FA"/>
    <w:rsid w:val="46DE4EE5"/>
    <w:rsid w:val="4A4642A9"/>
    <w:rsid w:val="4A5D20F7"/>
    <w:rsid w:val="4BA22BA0"/>
    <w:rsid w:val="4D4D32F6"/>
    <w:rsid w:val="525D3285"/>
    <w:rsid w:val="52F226F7"/>
    <w:rsid w:val="54B92241"/>
    <w:rsid w:val="55BEFD88"/>
    <w:rsid w:val="57F7E9A5"/>
    <w:rsid w:val="5914779D"/>
    <w:rsid w:val="591D4B0C"/>
    <w:rsid w:val="5AB85805"/>
    <w:rsid w:val="5ABC3BCB"/>
    <w:rsid w:val="5AF1183B"/>
    <w:rsid w:val="5BBC4D8A"/>
    <w:rsid w:val="5EE67608"/>
    <w:rsid w:val="5FFA6D3B"/>
    <w:rsid w:val="60D36B14"/>
    <w:rsid w:val="617D7CB5"/>
    <w:rsid w:val="63336A39"/>
    <w:rsid w:val="634B26FB"/>
    <w:rsid w:val="67FCBB79"/>
    <w:rsid w:val="681A1654"/>
    <w:rsid w:val="682F7950"/>
    <w:rsid w:val="683C347A"/>
    <w:rsid w:val="692A3835"/>
    <w:rsid w:val="6A4B4465"/>
    <w:rsid w:val="6BFC4092"/>
    <w:rsid w:val="6D7D3842"/>
    <w:rsid w:val="6DEF6B39"/>
    <w:rsid w:val="6EED39D3"/>
    <w:rsid w:val="6FF1CEEA"/>
    <w:rsid w:val="76B51BD8"/>
    <w:rsid w:val="77511A33"/>
    <w:rsid w:val="77F598D2"/>
    <w:rsid w:val="7A105EC4"/>
    <w:rsid w:val="7BDA7865"/>
    <w:rsid w:val="7BE5BE66"/>
    <w:rsid w:val="7BF2CB59"/>
    <w:rsid w:val="7BF7BEAC"/>
    <w:rsid w:val="7CFF24AE"/>
    <w:rsid w:val="7D2E4A97"/>
    <w:rsid w:val="7F797A2A"/>
    <w:rsid w:val="7F9D3012"/>
    <w:rsid w:val="7FCBC78D"/>
    <w:rsid w:val="7FDD4280"/>
    <w:rsid w:val="7FEC386F"/>
    <w:rsid w:val="7FFAAF72"/>
    <w:rsid w:val="7FFDAB24"/>
    <w:rsid w:val="7FFECF19"/>
    <w:rsid w:val="8FFFF3E2"/>
    <w:rsid w:val="966735FD"/>
    <w:rsid w:val="97FE81FF"/>
    <w:rsid w:val="9B6FBF3E"/>
    <w:rsid w:val="9DBF7EFF"/>
    <w:rsid w:val="A5F7C281"/>
    <w:rsid w:val="AB3F2EF8"/>
    <w:rsid w:val="AB7AD5BD"/>
    <w:rsid w:val="ABFDABAC"/>
    <w:rsid w:val="AFD81BF5"/>
    <w:rsid w:val="B73EB43B"/>
    <w:rsid w:val="B7665159"/>
    <w:rsid w:val="BF65E0C1"/>
    <w:rsid w:val="C3EFE21F"/>
    <w:rsid w:val="CC5A1DBE"/>
    <w:rsid w:val="D4696985"/>
    <w:rsid w:val="D6DE9DEA"/>
    <w:rsid w:val="D7BB1D2A"/>
    <w:rsid w:val="DB6FC3D4"/>
    <w:rsid w:val="DC5ECFF7"/>
    <w:rsid w:val="DDDB4A6B"/>
    <w:rsid w:val="DDFAD062"/>
    <w:rsid w:val="DEFF166F"/>
    <w:rsid w:val="DEFF6CD8"/>
    <w:rsid w:val="DFDD46EE"/>
    <w:rsid w:val="DFDF467D"/>
    <w:rsid w:val="E2DF65F1"/>
    <w:rsid w:val="E7F766DA"/>
    <w:rsid w:val="E8C45B48"/>
    <w:rsid w:val="EBEBB4A5"/>
    <w:rsid w:val="ED1F9826"/>
    <w:rsid w:val="EDBBAACD"/>
    <w:rsid w:val="EEC3C56D"/>
    <w:rsid w:val="EF56538D"/>
    <w:rsid w:val="EFDFF177"/>
    <w:rsid w:val="EFF7B463"/>
    <w:rsid w:val="EFFF17F9"/>
    <w:rsid w:val="F7B7F933"/>
    <w:rsid w:val="F7F63A5C"/>
    <w:rsid w:val="F7FCE2EC"/>
    <w:rsid w:val="F83FAB6E"/>
    <w:rsid w:val="F97E9ED5"/>
    <w:rsid w:val="FED78EC8"/>
    <w:rsid w:val="FEDB0C1F"/>
    <w:rsid w:val="FEE7C54F"/>
    <w:rsid w:val="FF2B2A48"/>
    <w:rsid w:val="FF3A5C92"/>
    <w:rsid w:val="FF769CF6"/>
    <w:rsid w:val="FF7FDEF2"/>
    <w:rsid w:val="FFBFA6B9"/>
    <w:rsid w:val="FFDFB70C"/>
    <w:rsid w:val="FFEEE7E5"/>
    <w:rsid w:val="FFFBD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8"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jc w:val="center"/>
      <w:outlineLvl w:val="0"/>
    </w:pPr>
    <w:rPr>
      <w:b/>
      <w:bCs/>
      <w:kern w:val="44"/>
      <w:sz w:val="36"/>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8"/>
    <w:pPr>
      <w:keepNext/>
      <w:keepLines/>
      <w:spacing w:before="280" w:after="290" w:line="372"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7">
    <w:name w:val="Normal Indent"/>
    <w:basedOn w:val="1"/>
    <w:qFormat/>
    <w:uiPriority w:val="0"/>
    <w:pPr>
      <w:overflowPunct w:val="0"/>
      <w:autoSpaceDE w:val="0"/>
      <w:autoSpaceDN w:val="0"/>
      <w:adjustRightInd w:val="0"/>
      <w:ind w:firstLine="420"/>
      <w:textAlignment w:val="baseline"/>
    </w:pPr>
  </w:style>
  <w:style w:type="paragraph" w:styleId="8">
    <w:name w:val="annotation text"/>
    <w:basedOn w:val="1"/>
    <w:qFormat/>
    <w:uiPriority w:val="0"/>
    <w:pPr>
      <w:jc w:val="left"/>
    </w:pPr>
  </w:style>
  <w:style w:type="paragraph" w:styleId="9">
    <w:name w:val="Body Text"/>
    <w:basedOn w:val="1"/>
    <w:next w:val="10"/>
    <w:qFormat/>
    <w:uiPriority w:val="0"/>
    <w:pPr>
      <w:ind w:left="120"/>
    </w:pPr>
    <w:rPr>
      <w:rFonts w:ascii="宋体" w:hAnsi="宋体"/>
      <w:szCs w:val="21"/>
    </w:rPr>
  </w:style>
  <w:style w:type="paragraph" w:styleId="10">
    <w:name w:val="Body Text First Indent"/>
    <w:basedOn w:val="9"/>
    <w:next w:val="1"/>
    <w:qFormat/>
    <w:uiPriority w:val="0"/>
    <w:pPr>
      <w:ind w:firstLine="420" w:firstLineChars="100"/>
    </w:pPr>
  </w:style>
  <w:style w:type="paragraph" w:styleId="11">
    <w:name w:val="Body Text Indent"/>
    <w:basedOn w:val="1"/>
    <w:qFormat/>
    <w:uiPriority w:val="0"/>
    <w:pPr>
      <w:autoSpaceDE w:val="0"/>
      <w:autoSpaceDN w:val="0"/>
      <w:adjustRightInd w:val="0"/>
      <w:spacing w:line="315" w:lineRule="atLeast"/>
      <w:ind w:firstLine="424" w:firstLineChars="202"/>
    </w:pPr>
    <w:rPr>
      <w:rFonts w:ascii="宋体"/>
      <w:szCs w:val="20"/>
    </w:rPr>
  </w:style>
  <w:style w:type="paragraph" w:styleId="12">
    <w:name w:val="Plain Text"/>
    <w:basedOn w:val="1"/>
    <w:qFormat/>
    <w:uiPriority w:val="0"/>
    <w:rPr>
      <w:rFonts w:ascii="宋体" w:hAnsi="Courier New"/>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5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spacing w:after="120" w:line="480" w:lineRule="auto"/>
    </w:pPr>
    <w:rPr>
      <w:szCs w:val="22"/>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numPr>
        <w:ilvl w:val="0"/>
        <w:numId w:val="1"/>
      </w:numPr>
      <w:spacing w:before="240" w:after="240"/>
      <w:outlineLvl w:val="0"/>
    </w:pPr>
    <w:rPr>
      <w:rFonts w:ascii="Cambria" w:hAnsi="Cambria" w:eastAsia="黑体"/>
      <w:b/>
      <w:bCs/>
      <w:sz w:val="28"/>
      <w:szCs w:val="32"/>
    </w:rPr>
  </w:style>
  <w:style w:type="paragraph" w:styleId="22">
    <w:name w:val="Body Text First Indent 2"/>
    <w:basedOn w:val="11"/>
    <w:qFormat/>
    <w:uiPriority w:val="0"/>
    <w:pPr>
      <w:ind w:firstLine="420"/>
    </w:p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qFormat/>
    <w:uiPriority w:val="0"/>
    <w:rPr>
      <w:color w:val="699676"/>
      <w:u w:val="none"/>
    </w:rPr>
  </w:style>
  <w:style w:type="character" w:styleId="29">
    <w:name w:val="annotation reference"/>
    <w:qFormat/>
    <w:uiPriority w:val="0"/>
    <w:rPr>
      <w:sz w:val="21"/>
      <w:szCs w:val="21"/>
    </w:rPr>
  </w:style>
  <w:style w:type="paragraph" w:customStyle="1" w:styleId="30">
    <w:name w:val="中文正文、"/>
    <w:basedOn w:val="1"/>
    <w:qFormat/>
    <w:uiPriority w:val="0"/>
    <w:pPr>
      <w:spacing w:line="360" w:lineRule="auto"/>
      <w:ind w:firstLine="420" w:firstLineChars="200"/>
      <w:jc w:val="left"/>
    </w:pPr>
    <w:rPr>
      <w:szCs w:val="21"/>
    </w:rPr>
  </w:style>
  <w:style w:type="paragraph" w:customStyle="1" w:styleId="3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32">
    <w:name w:val="样式 宋体 四号"/>
    <w:qFormat/>
    <w:uiPriority w:val="0"/>
    <w:rPr>
      <w:rFonts w:ascii="宋体" w:hAnsi="宋体" w:eastAsia="仿宋_GB2312"/>
      <w:sz w:val="28"/>
    </w:rPr>
  </w:style>
  <w:style w:type="paragraph" w:customStyle="1" w:styleId="33">
    <w:name w:val="样式 居中"/>
    <w:basedOn w:val="1"/>
    <w:qFormat/>
    <w:uiPriority w:val="0"/>
    <w:pPr>
      <w:adjustRightInd w:val="0"/>
      <w:snapToGrid w:val="0"/>
      <w:jc w:val="center"/>
    </w:pPr>
    <w:rPr>
      <w:rFonts w:cs="宋体"/>
      <w:b/>
      <w:szCs w:val="20"/>
    </w:rPr>
  </w:style>
  <w:style w:type="paragraph" w:customStyle="1" w:styleId="34">
    <w:name w:val="blockquote"/>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7">
    <w:name w:val="NormalCharacter"/>
    <w:qFormat/>
    <w:uiPriority w:val="0"/>
    <w:rPr>
      <w:rFonts w:ascii="Times New Roman" w:hAnsi="Times New Roman" w:eastAsia="宋体" w:cs="Times New Roman"/>
      <w:kern w:val="2"/>
      <w:sz w:val="21"/>
      <w:szCs w:val="24"/>
      <w:lang w:val="en-US" w:eastAsia="zh-CN" w:bidi="ar-SA"/>
    </w:rPr>
  </w:style>
  <w:style w:type="character" w:customStyle="1" w:styleId="38">
    <w:name w:val="font41"/>
    <w:qFormat/>
    <w:uiPriority w:val="0"/>
    <w:rPr>
      <w:rFonts w:hint="eastAsia" w:ascii="宋体" w:hAnsi="宋体" w:eastAsia="宋体" w:cs="宋体"/>
      <w:color w:val="000000"/>
      <w:sz w:val="20"/>
      <w:szCs w:val="20"/>
      <w:u w:val="none"/>
    </w:rPr>
  </w:style>
  <w:style w:type="character" w:customStyle="1" w:styleId="39">
    <w:name w:val="标题 3 字符"/>
    <w:link w:val="5"/>
    <w:qFormat/>
    <w:uiPriority w:val="0"/>
    <w:rPr>
      <w:b/>
      <w:bCs/>
      <w:sz w:val="32"/>
      <w:szCs w:val="32"/>
    </w:rPr>
  </w:style>
  <w:style w:type="character" w:customStyle="1" w:styleId="40">
    <w:name w:val="font21"/>
    <w:basedOn w:val="24"/>
    <w:qFormat/>
    <w:uiPriority w:val="0"/>
    <w:rPr>
      <w:rFonts w:ascii="font-weight : 400" w:hAnsi="font-weight : 400" w:eastAsia="font-weight : 400" w:cs="font-weight : 400"/>
      <w:color w:val="000000"/>
      <w:sz w:val="24"/>
      <w:szCs w:val="24"/>
      <w:u w:val="none"/>
    </w:rPr>
  </w:style>
  <w:style w:type="character" w:customStyle="1" w:styleId="41">
    <w:name w:val="font01"/>
    <w:basedOn w:val="24"/>
    <w:qFormat/>
    <w:uiPriority w:val="0"/>
    <w:rPr>
      <w:rFonts w:hint="eastAsia" w:ascii="宋体" w:hAnsi="宋体" w:eastAsia="宋体" w:cs="宋体"/>
      <w:color w:val="000000"/>
      <w:sz w:val="24"/>
      <w:szCs w:val="24"/>
      <w:u w:val="none"/>
    </w:rPr>
  </w:style>
  <w:style w:type="paragraph" w:customStyle="1" w:styleId="42">
    <w:name w:val="_Style 2"/>
    <w:basedOn w:val="1"/>
    <w:qFormat/>
    <w:uiPriority w:val="1"/>
    <w:pPr>
      <w:ind w:firstLine="420" w:firstLineChars="200"/>
    </w:pPr>
    <w:rPr>
      <w:rFonts w:ascii="Calibri" w:hAnsi="Calibri"/>
      <w:szCs w:val="22"/>
    </w:rPr>
  </w:style>
  <w:style w:type="paragraph" w:customStyle="1" w:styleId="43">
    <w:name w:val="目录样式1"/>
    <w:basedOn w:val="1"/>
    <w:qFormat/>
    <w:uiPriority w:val="0"/>
    <w:rPr>
      <w:rFonts w:ascii="黑体" w:hAnsi="宋体" w:eastAsia="黑体"/>
      <w:sz w:val="24"/>
      <w:szCs w:val="20"/>
    </w:rPr>
  </w:style>
  <w:style w:type="paragraph" w:customStyle="1" w:styleId="44">
    <w:name w:val="正文文字"/>
    <w:basedOn w:val="1"/>
    <w:qFormat/>
    <w:uiPriority w:val="99"/>
    <w:pPr>
      <w:widowControl/>
      <w:spacing w:line="2375" w:lineRule="atLeast"/>
      <w:ind w:firstLine="419"/>
      <w:textAlignment w:val="baseline"/>
    </w:pPr>
    <w:rPr>
      <w:rFonts w:ascii="宋体"/>
      <w:color w:val="000000"/>
      <w:kern w:val="0"/>
      <w:sz w:val="28"/>
    </w:rPr>
  </w:style>
  <w:style w:type="character" w:customStyle="1" w:styleId="45">
    <w:name w:val="font11"/>
    <w:basedOn w:val="24"/>
    <w:qFormat/>
    <w:uiPriority w:val="0"/>
    <w:rPr>
      <w:rFonts w:ascii="font-weight : 700" w:hAnsi="font-weight : 700" w:eastAsia="font-weight : 700" w:cs="font-weight : 700"/>
      <w:color w:val="000000"/>
      <w:sz w:val="21"/>
      <w:szCs w:val="21"/>
      <w:u w:val="none"/>
    </w:rPr>
  </w:style>
  <w:style w:type="paragraph" w:customStyle="1" w:styleId="46">
    <w:name w:val="列表段落1"/>
    <w:basedOn w:val="1"/>
    <w:qFormat/>
    <w:uiPriority w:val="34"/>
    <w:pPr>
      <w:ind w:firstLine="420" w:firstLineChars="200"/>
    </w:pPr>
  </w:style>
  <w:style w:type="paragraph" w:customStyle="1" w:styleId="4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49">
    <w:name w:val="样式1"/>
    <w:basedOn w:val="1"/>
    <w:qFormat/>
    <w:uiPriority w:val="0"/>
    <w:pPr>
      <w:tabs>
        <w:tab w:val="left" w:pos="480"/>
      </w:tabs>
      <w:adjustRightInd w:val="0"/>
      <w:ind w:left="480" w:hanging="480"/>
      <w:textAlignment w:val="baseline"/>
    </w:pPr>
    <w:rPr>
      <w:rFonts w:ascii="宋体" w:hAnsi="宋体"/>
      <w:kern w:val="0"/>
      <w:szCs w:val="21"/>
    </w:rPr>
  </w:style>
  <w:style w:type="character" w:customStyle="1" w:styleId="50">
    <w:name w:val="font71"/>
    <w:basedOn w:val="24"/>
    <w:qFormat/>
    <w:uiPriority w:val="0"/>
    <w:rPr>
      <w:rFonts w:hint="eastAsia" w:ascii="宋体" w:hAnsi="宋体" w:eastAsia="宋体" w:cs="宋体"/>
      <w:color w:val="FF0000"/>
      <w:sz w:val="20"/>
      <w:szCs w:val="20"/>
      <w:u w:val="none"/>
    </w:rPr>
  </w:style>
  <w:style w:type="character" w:customStyle="1" w:styleId="51">
    <w:name w:val="font31"/>
    <w:basedOn w:val="24"/>
    <w:qFormat/>
    <w:uiPriority w:val="0"/>
    <w:rPr>
      <w:rFonts w:hint="eastAsia" w:ascii="宋体" w:hAnsi="宋体" w:eastAsia="宋体" w:cs="宋体"/>
      <w:color w:val="000000"/>
      <w:sz w:val="20"/>
      <w:szCs w:val="20"/>
      <w:u w:val="none"/>
    </w:rPr>
  </w:style>
  <w:style w:type="paragraph" w:customStyle="1" w:styleId="52">
    <w:name w:val="列出段落1"/>
    <w:basedOn w:val="1"/>
    <w:qFormat/>
    <w:uiPriority w:val="99"/>
    <w:pPr>
      <w:ind w:firstLine="420" w:firstLineChars="200"/>
    </w:pPr>
  </w:style>
  <w:style w:type="paragraph" w:customStyle="1" w:styleId="53">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character" w:customStyle="1" w:styleId="54">
    <w:name w:val="批注框文本 字符"/>
    <w:basedOn w:val="24"/>
    <w:link w:val="15"/>
    <w:qFormat/>
    <w:uiPriority w:val="0"/>
    <w:rPr>
      <w:kern w:val="2"/>
      <w:sz w:val="18"/>
      <w:szCs w:val="18"/>
    </w:rPr>
  </w:style>
  <w:style w:type="paragraph" w:styleId="55">
    <w:name w:val="List Paragraph"/>
    <w:basedOn w:val="1"/>
    <w:unhideWhenUsed/>
    <w:qFormat/>
    <w:uiPriority w:val="99"/>
    <w:pPr>
      <w:ind w:firstLine="420" w:firstLineChars="200"/>
    </w:pPr>
  </w:style>
  <w:style w:type="paragraph" w:customStyle="1" w:styleId="56">
    <w:name w:val="标题 3_0"/>
    <w:basedOn w:val="57"/>
    <w:next w:val="57"/>
    <w:qFormat/>
    <w:uiPriority w:val="9"/>
    <w:pPr>
      <w:keepNext/>
      <w:keepLines/>
      <w:numPr>
        <w:ilvl w:val="2"/>
        <w:numId w:val="2"/>
      </w:numPr>
      <w:spacing w:before="260" w:after="260" w:line="416" w:lineRule="auto"/>
      <w:outlineLvl w:val="2"/>
    </w:pPr>
    <w:rPr>
      <w:rFonts w:ascii="Times New Roman" w:hAnsi="Times New Roman" w:eastAsia="华文细黑"/>
      <w:kern w:val="0"/>
      <w:sz w:val="36"/>
      <w:szCs w:val="20"/>
    </w:rPr>
  </w:style>
  <w:style w:type="paragraph" w:customStyle="1" w:styleId="5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Windsoft</Company>
  <Pages>74</Pages>
  <Words>27837</Words>
  <Characters>29647</Characters>
  <Lines>206</Lines>
  <Paragraphs>58</Paragraphs>
  <TotalTime>1</TotalTime>
  <ScaleCrop>false</ScaleCrop>
  <LinksUpToDate>false</LinksUpToDate>
  <CharactersWithSpaces>31288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2022-04-02T11:57:00Z</dcterms:created>
  <dc:creator>apple</dc:creator>
  <cp:lastModifiedBy>刘婉璐</cp:lastModifiedBy>
  <cp:lastPrinted>2022-04-28T10:39:57Z</cp:lastPrinted>
  <dcterms:modified xsi:type="dcterms:W3CDTF">2022-04-28T10:40:43Z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FC6337526CE14F979AB40B3C361C5D50</vt:lpwstr>
  </property>
</Properties>
</file>