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ind w:firstLine="241"/>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drawing>
          <wp:inline distT="0" distB="0" distL="114300" distR="114300">
            <wp:extent cx="4912995" cy="1696085"/>
            <wp:effectExtent l="0" t="0" r="1905" b="18415"/>
            <wp:docPr id="1" name="图片 2" descr="c9688e5358dca40639ca776d1bc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9688e5358dca40639ca776d1bce122"/>
                    <pic:cNvPicPr>
                      <a:picLocks noChangeAspect="1"/>
                    </pic:cNvPicPr>
                  </pic:nvPicPr>
                  <pic:blipFill>
                    <a:blip r:embed="rId10" cstate="print"/>
                    <a:stretch>
                      <a:fillRect/>
                    </a:stretch>
                  </pic:blipFill>
                  <pic:spPr>
                    <a:xfrm>
                      <a:off x="0" y="0"/>
                      <a:ext cx="4912995" cy="1696085"/>
                    </a:xfrm>
                    <a:prstGeom prst="rect">
                      <a:avLst/>
                    </a:prstGeom>
                    <a:noFill/>
                    <a:ln>
                      <a:noFill/>
                    </a:ln>
                  </pic:spPr>
                </pic:pic>
              </a:graphicData>
            </a:graphic>
          </wp:inline>
        </w:drawing>
      </w:r>
    </w:p>
    <w:p>
      <w:pPr>
        <w:pStyle w:val="58"/>
        <w:ind w:firstLine="241"/>
        <w:rPr>
          <w:rFonts w:ascii="仿宋" w:hAnsi="仿宋" w:eastAsia="仿宋" w:cs="仿宋"/>
          <w:b/>
          <w:color w:val="000000" w:themeColor="text1"/>
          <w:sz w:val="24"/>
          <w:szCs w:val="24"/>
          <w14:textFill>
            <w14:solidFill>
              <w14:schemeClr w14:val="tx1"/>
            </w14:solidFill>
          </w14:textFill>
        </w:rPr>
      </w:pPr>
    </w:p>
    <w:p>
      <w:pPr>
        <w:rPr>
          <w:rFonts w:ascii="仿宋" w:hAnsi="仿宋" w:eastAsia="仿宋" w:cs="仿宋"/>
          <w:b/>
          <w:color w:val="000000" w:themeColor="text1"/>
          <w:sz w:val="24"/>
          <w14:textFill>
            <w14:solidFill>
              <w14:schemeClr w14:val="tx1"/>
            </w14:solidFill>
          </w14:textFill>
        </w:rPr>
      </w:pPr>
    </w:p>
    <w:p>
      <w:pPr>
        <w:jc w:val="center"/>
        <w:rPr>
          <w:rFonts w:ascii="楷体" w:hAnsi="楷体" w:eastAsia="楷体" w:cs="仿宋"/>
          <w:color w:val="000000" w:themeColor="text1"/>
          <w:sz w:val="120"/>
          <w:szCs w:val="120"/>
          <w14:textFill>
            <w14:solidFill>
              <w14:schemeClr w14:val="tx1"/>
            </w14:solidFill>
          </w14:textFill>
        </w:rPr>
      </w:pPr>
    </w:p>
    <w:p>
      <w:pPr>
        <w:jc w:val="center"/>
        <w:rPr>
          <w:rFonts w:ascii="楷体" w:hAnsi="楷体" w:eastAsia="楷体" w:cs="仿宋"/>
          <w:color w:val="000000" w:themeColor="text1"/>
          <w:sz w:val="120"/>
          <w:szCs w:val="120"/>
          <w14:textFill>
            <w14:solidFill>
              <w14:schemeClr w14:val="tx1"/>
            </w14:solidFill>
          </w14:textFill>
        </w:rPr>
      </w:pPr>
      <w:r>
        <w:rPr>
          <w:rFonts w:hint="eastAsia" w:ascii="楷体" w:hAnsi="楷体" w:eastAsia="楷体" w:cs="仿宋"/>
          <w:color w:val="000000" w:themeColor="text1"/>
          <w:sz w:val="120"/>
          <w:szCs w:val="120"/>
          <w14:textFill>
            <w14:solidFill>
              <w14:schemeClr w14:val="tx1"/>
            </w14:solidFill>
          </w14:textFill>
        </w:rPr>
        <w:t>招 标 文 件</w:t>
      </w:r>
    </w:p>
    <w:p>
      <w:pPr>
        <w:jc w:val="center"/>
        <w:rPr>
          <w:rFonts w:ascii="仿宋" w:hAnsi="仿宋" w:eastAsia="仿宋" w:cs="仿宋"/>
          <w:color w:val="000000" w:themeColor="text1"/>
          <w:sz w:val="24"/>
          <w14:textFill>
            <w14:solidFill>
              <w14:schemeClr w14:val="tx1"/>
            </w14:solidFill>
          </w14:textFill>
        </w:rPr>
      </w:pPr>
    </w:p>
    <w:p>
      <w:pPr>
        <w:spacing w:line="700" w:lineRule="exact"/>
        <w:jc w:val="left"/>
        <w:rPr>
          <w:rFonts w:ascii="仿宋" w:hAnsi="仿宋" w:eastAsia="仿宋" w:cs="仿宋"/>
          <w:color w:val="000000" w:themeColor="text1"/>
          <w:sz w:val="24"/>
          <w14:textFill>
            <w14:solidFill>
              <w14:schemeClr w14:val="tx1"/>
            </w14:solidFill>
          </w14:textFill>
        </w:rPr>
      </w:pPr>
    </w:p>
    <w:p>
      <w:pPr>
        <w:spacing w:line="700" w:lineRule="exact"/>
        <w:jc w:val="left"/>
        <w:rPr>
          <w:rFonts w:ascii="仿宋" w:hAnsi="仿宋" w:eastAsia="仿宋" w:cs="仿宋"/>
          <w:color w:val="000000" w:themeColor="text1"/>
          <w:sz w:val="24"/>
          <w14:textFill>
            <w14:solidFill>
              <w14:schemeClr w14:val="tx1"/>
            </w14:solidFill>
          </w14:textFill>
        </w:rPr>
      </w:pPr>
    </w:p>
    <w:p>
      <w:pPr>
        <w:spacing w:line="640" w:lineRule="exact"/>
        <w:ind w:left="2458" w:leftChars="342" w:hanging="1740" w:hangingChars="500"/>
        <w:jc w:val="left"/>
        <w:rPr>
          <w:rFonts w:ascii="楷体" w:hAnsi="楷体" w:eastAsia="楷体" w:cs="仿宋"/>
          <w:color w:val="000000" w:themeColor="text1"/>
          <w:spacing w:val="-6"/>
          <w:sz w:val="36"/>
          <w:szCs w:val="36"/>
          <w14:textFill>
            <w14:solidFill>
              <w14:schemeClr w14:val="tx1"/>
            </w14:solidFill>
          </w14:textFill>
        </w:rPr>
      </w:pPr>
      <w:r>
        <w:rPr>
          <w:rFonts w:hint="eastAsia" w:ascii="楷体" w:hAnsi="楷体" w:eastAsia="楷体" w:cs="仿宋"/>
          <w:color w:val="000000" w:themeColor="text1"/>
          <w:spacing w:val="-6"/>
          <w:sz w:val="36"/>
          <w:szCs w:val="36"/>
          <w14:textFill>
            <w14:solidFill>
              <w14:schemeClr w14:val="tx1"/>
            </w14:solidFill>
          </w14:textFill>
        </w:rPr>
        <w:t>标项名称：吉木萨尔县总医院（县人民医院）手术室行为管理及毒麻药品管理系统能力提升采购项目</w:t>
      </w:r>
    </w:p>
    <w:p>
      <w:pPr>
        <w:spacing w:line="640" w:lineRule="exact"/>
        <w:ind w:left="2518" w:leftChars="342" w:hanging="1800" w:hangingChars="500"/>
        <w:jc w:val="left"/>
        <w:rPr>
          <w:rFonts w:ascii="楷体" w:hAnsi="楷体" w:eastAsia="楷体" w:cs="仿宋"/>
          <w:color w:val="000000" w:themeColor="text1"/>
          <w:sz w:val="36"/>
          <w:szCs w:val="36"/>
          <w14:textFill>
            <w14:solidFill>
              <w14:schemeClr w14:val="tx1"/>
            </w14:solidFill>
          </w14:textFill>
        </w:rPr>
      </w:pPr>
      <w:r>
        <w:rPr>
          <w:rFonts w:hint="eastAsia" w:ascii="楷体" w:hAnsi="楷体" w:eastAsia="楷体" w:cs="仿宋"/>
          <w:color w:val="000000" w:themeColor="text1"/>
          <w:sz w:val="36"/>
          <w:szCs w:val="36"/>
          <w14:textFill>
            <w14:solidFill>
              <w14:schemeClr w14:val="tx1"/>
            </w14:solidFill>
          </w14:textFill>
        </w:rPr>
        <w:t>项目编号：2024PCGK027</w:t>
      </w:r>
    </w:p>
    <w:p>
      <w:pPr>
        <w:spacing w:line="640" w:lineRule="exact"/>
        <w:ind w:left="2518" w:leftChars="342" w:hanging="1800" w:hangingChars="500"/>
        <w:jc w:val="left"/>
        <w:rPr>
          <w:rFonts w:ascii="楷体" w:hAnsi="楷体" w:eastAsia="楷体" w:cs="仿宋"/>
          <w:color w:val="000000" w:themeColor="text1"/>
          <w:sz w:val="36"/>
          <w:szCs w:val="36"/>
          <w14:textFill>
            <w14:solidFill>
              <w14:schemeClr w14:val="tx1"/>
            </w14:solidFill>
          </w14:textFill>
        </w:rPr>
      </w:pPr>
      <w:r>
        <w:rPr>
          <w:rFonts w:hint="eastAsia" w:ascii="楷体" w:hAnsi="楷体" w:eastAsia="楷体" w:cs="仿宋"/>
          <w:color w:val="000000" w:themeColor="text1"/>
          <w:sz w:val="36"/>
          <w:szCs w:val="36"/>
          <w14:textFill>
            <w14:solidFill>
              <w14:schemeClr w14:val="tx1"/>
            </w14:solidFill>
          </w14:textFill>
        </w:rPr>
        <w:t>招 标 人：吉木萨尔县人民医院</w:t>
      </w:r>
    </w:p>
    <w:p>
      <w:pPr>
        <w:spacing w:line="640" w:lineRule="exact"/>
        <w:ind w:left="2518" w:leftChars="342" w:hanging="1800" w:hangingChars="500"/>
        <w:jc w:val="left"/>
        <w:rPr>
          <w:rFonts w:ascii="楷体" w:hAnsi="楷体" w:eastAsia="楷体" w:cs="仿宋"/>
          <w:color w:val="000000" w:themeColor="text1"/>
          <w:sz w:val="36"/>
          <w:szCs w:val="36"/>
          <w14:textFill>
            <w14:solidFill>
              <w14:schemeClr w14:val="tx1"/>
            </w14:solidFill>
          </w14:textFill>
        </w:rPr>
      </w:pPr>
      <w:r>
        <w:rPr>
          <w:rFonts w:hint="eastAsia" w:ascii="楷体" w:hAnsi="楷体" w:eastAsia="楷体" w:cs="仿宋"/>
          <w:color w:val="000000" w:themeColor="text1"/>
          <w:sz w:val="36"/>
          <w:szCs w:val="36"/>
          <w14:textFill>
            <w14:solidFill>
              <w14:schemeClr w14:val="tx1"/>
            </w14:solidFill>
          </w14:textFill>
        </w:rPr>
        <w:t>招标代理机构：新疆品创项目管理咨询有限公司</w:t>
      </w:r>
    </w:p>
    <w:p>
      <w:pPr>
        <w:spacing w:line="640" w:lineRule="exact"/>
        <w:ind w:left="2518" w:leftChars="342" w:hanging="1800" w:hangingChars="500"/>
        <w:jc w:val="left"/>
        <w:rPr>
          <w:rFonts w:ascii="楷体" w:hAnsi="楷体" w:eastAsia="楷体" w:cs="仿宋"/>
          <w:color w:val="000000" w:themeColor="text1"/>
          <w:sz w:val="36"/>
          <w:szCs w:val="36"/>
          <w14:textFill>
            <w14:solidFill>
              <w14:schemeClr w14:val="tx1"/>
            </w14:solidFill>
          </w14:textFill>
        </w:rPr>
      </w:pPr>
      <w:r>
        <w:rPr>
          <w:rFonts w:hint="eastAsia" w:ascii="楷体" w:hAnsi="楷体" w:eastAsia="楷体" w:cs="仿宋"/>
          <w:color w:val="000000" w:themeColor="text1"/>
          <w:sz w:val="36"/>
          <w:szCs w:val="36"/>
          <w14:textFill>
            <w14:solidFill>
              <w14:schemeClr w14:val="tx1"/>
            </w14:solidFill>
          </w14:textFill>
        </w:rPr>
        <w:t>日    期：2024年3月</w:t>
      </w:r>
    </w:p>
    <w:p>
      <w:pPr>
        <w:shd w:val="clear" w:color="auto" w:fill="FFFFFF"/>
        <w:autoSpaceDE w:val="0"/>
        <w:autoSpaceDN w:val="0"/>
        <w:adjustRightInd w:val="0"/>
        <w:spacing w:line="360" w:lineRule="exact"/>
        <w:ind w:firstLine="482" w:firstLineChars="200"/>
        <w:rPr>
          <w:rFonts w:ascii="仿宋" w:hAnsi="仿宋" w:eastAsia="仿宋" w:cs="仿宋"/>
          <w:b/>
          <w:bCs/>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6" w:h="16838"/>
          <w:pgMar w:top="1134" w:right="1134" w:bottom="1134" w:left="1134" w:header="703" w:footer="851" w:gutter="0"/>
          <w:pgNumType w:fmt="numberInDash" w:start="1"/>
          <w:cols w:space="720" w:num="1"/>
          <w:titlePg/>
          <w:docGrid w:type="lines" w:linePitch="314" w:charSpace="0"/>
        </w:sectPr>
      </w:pPr>
    </w:p>
    <w:p>
      <w:pPr>
        <w:pStyle w:val="58"/>
        <w:ind w:firstLine="240"/>
        <w:rPr>
          <w:rFonts w:ascii="仿宋" w:hAnsi="仿宋" w:eastAsia="仿宋"/>
          <w:color w:val="000000" w:themeColor="text1"/>
          <w:sz w:val="24"/>
          <w:szCs w:val="24"/>
          <w14:textFill>
            <w14:solidFill>
              <w14:schemeClr w14:val="tx1"/>
            </w14:solidFill>
          </w14:textFill>
        </w:rPr>
      </w:pPr>
    </w:p>
    <w:p>
      <w:pPr>
        <w:shd w:val="clear" w:color="auto" w:fill="FFFFFF"/>
        <w:autoSpaceDE w:val="0"/>
        <w:autoSpaceDN w:val="0"/>
        <w:adjustRightInd w:val="0"/>
        <w:spacing w:line="360" w:lineRule="exac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目    录</w:t>
      </w:r>
    </w:p>
    <w:p>
      <w:pPr>
        <w:shd w:val="clear" w:color="auto" w:fill="FFFFFF"/>
        <w:autoSpaceDE w:val="0"/>
        <w:autoSpaceDN w:val="0"/>
        <w:adjustRightInd w:val="0"/>
        <w:spacing w:line="360" w:lineRule="exact"/>
        <w:rPr>
          <w:rFonts w:ascii="仿宋" w:hAnsi="仿宋" w:eastAsia="仿宋"/>
          <w:color w:val="000000" w:themeColor="text1"/>
          <w:kern w:val="0"/>
          <w:sz w:val="24"/>
          <w14:textFill>
            <w14:solidFill>
              <w14:schemeClr w14:val="tx1"/>
            </w14:solidFill>
          </w14:textFill>
        </w:rPr>
      </w:pPr>
    </w:p>
    <w:p>
      <w:pPr>
        <w:pStyle w:val="42"/>
        <w:tabs>
          <w:tab w:val="right" w:leader="dot" w:pos="9628"/>
        </w:tabs>
        <w:rPr>
          <w:rFonts w:ascii="仿宋" w:hAnsi="仿宋" w:eastAsia="仿宋"/>
          <w:b w:val="0"/>
          <w:caps w:val="0"/>
          <w:color w:val="000000" w:themeColor="text1"/>
          <w:kern w:val="0"/>
          <w:sz w:val="28"/>
          <w:szCs w:val="28"/>
          <w14:textFill>
            <w14:solidFill>
              <w14:schemeClr w14:val="tx1"/>
            </w14:solidFill>
          </w14:textFill>
        </w:rPr>
      </w:pPr>
      <w:r>
        <w:rPr>
          <w:rFonts w:ascii="仿宋" w:hAnsi="仿宋" w:eastAsia="仿宋"/>
          <w:caps w:val="0"/>
          <w:color w:val="000000" w:themeColor="text1"/>
          <w:kern w:val="0"/>
          <w:sz w:val="24"/>
          <w:szCs w:val="24"/>
          <w14:textFill>
            <w14:solidFill>
              <w14:schemeClr w14:val="tx1"/>
            </w14:solidFill>
          </w14:textFill>
        </w:rPr>
        <w:fldChar w:fldCharType="begin"/>
      </w:r>
      <w:r>
        <w:rPr>
          <w:rFonts w:ascii="仿宋" w:hAnsi="仿宋" w:eastAsia="仿宋"/>
          <w:caps w:val="0"/>
          <w:color w:val="000000" w:themeColor="text1"/>
          <w:kern w:val="0"/>
          <w:sz w:val="24"/>
          <w:szCs w:val="24"/>
          <w14:textFill>
            <w14:solidFill>
              <w14:schemeClr w14:val="tx1"/>
            </w14:solidFill>
          </w14:textFill>
        </w:rPr>
        <w:instrText xml:space="preserve"> TOC \o "1-1" \h \z \u </w:instrText>
      </w:r>
      <w:r>
        <w:rPr>
          <w:rFonts w:ascii="仿宋" w:hAnsi="仿宋" w:eastAsia="仿宋"/>
          <w:caps w:val="0"/>
          <w:color w:val="000000" w:themeColor="text1"/>
          <w:kern w:val="0"/>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"_Toc139284159" </w:instrText>
      </w:r>
      <w:r>
        <w:rPr>
          <w:color w:val="000000" w:themeColor="text1"/>
          <w14:textFill>
            <w14:solidFill>
              <w14:schemeClr w14:val="tx1"/>
            </w14:solidFill>
          </w14:textFill>
        </w:rPr>
        <w:fldChar w:fldCharType="separate"/>
      </w:r>
      <w:r>
        <w:rPr>
          <w:rFonts w:hint="eastAsia" w:ascii="仿宋" w:hAnsi="仿宋" w:eastAsia="仿宋"/>
          <w:b w:val="0"/>
          <w:caps w:val="0"/>
          <w:color w:val="000000" w:themeColor="text1"/>
          <w:kern w:val="0"/>
          <w:sz w:val="28"/>
          <w:szCs w:val="28"/>
          <w14:textFill>
            <w14:solidFill>
              <w14:schemeClr w14:val="tx1"/>
            </w14:solidFill>
          </w14:textFill>
        </w:rPr>
        <w:t>第一章  招标公告</w:t>
      </w:r>
      <w:r>
        <w:rPr>
          <w:rFonts w:ascii="仿宋" w:hAnsi="仿宋" w:eastAsia="仿宋"/>
          <w:b w:val="0"/>
          <w:caps w:val="0"/>
          <w:color w:val="000000" w:themeColor="text1"/>
          <w:kern w:val="0"/>
          <w:sz w:val="28"/>
          <w:szCs w:val="28"/>
          <w14:textFill>
            <w14:solidFill>
              <w14:schemeClr w14:val="tx1"/>
            </w14:solidFill>
          </w14:textFill>
        </w:rPr>
        <w:tab/>
      </w:r>
      <w:r>
        <w:rPr>
          <w:rFonts w:ascii="仿宋" w:hAnsi="仿宋" w:eastAsia="仿宋"/>
          <w:b w:val="0"/>
          <w:caps w:val="0"/>
          <w:color w:val="000000" w:themeColor="text1"/>
          <w:kern w:val="0"/>
          <w:sz w:val="28"/>
          <w:szCs w:val="28"/>
          <w14:textFill>
            <w14:solidFill>
              <w14:schemeClr w14:val="tx1"/>
            </w14:solidFill>
          </w14:textFill>
        </w:rPr>
        <w:fldChar w:fldCharType="begin"/>
      </w:r>
      <w:r>
        <w:rPr>
          <w:rFonts w:ascii="仿宋" w:hAnsi="仿宋" w:eastAsia="仿宋"/>
          <w:b w:val="0"/>
          <w:caps w:val="0"/>
          <w:color w:val="000000" w:themeColor="text1"/>
          <w:kern w:val="0"/>
          <w:sz w:val="28"/>
          <w:szCs w:val="28"/>
          <w14:textFill>
            <w14:solidFill>
              <w14:schemeClr w14:val="tx1"/>
            </w14:solidFill>
          </w14:textFill>
        </w:rPr>
        <w:instrText xml:space="preserve"> PAGEREF _Toc139284159 \h </w:instrText>
      </w:r>
      <w:r>
        <w:rPr>
          <w:rFonts w:ascii="仿宋" w:hAnsi="仿宋" w:eastAsia="仿宋"/>
          <w:b w:val="0"/>
          <w:caps w:val="0"/>
          <w:color w:val="000000" w:themeColor="text1"/>
          <w:kern w:val="0"/>
          <w:sz w:val="28"/>
          <w:szCs w:val="28"/>
          <w14:textFill>
            <w14:solidFill>
              <w14:schemeClr w14:val="tx1"/>
            </w14:solidFill>
          </w14:textFill>
        </w:rPr>
        <w:fldChar w:fldCharType="separate"/>
      </w:r>
      <w:r>
        <w:rPr>
          <w:rFonts w:ascii="仿宋" w:hAnsi="仿宋" w:eastAsia="仿宋"/>
          <w:b w:val="0"/>
          <w:caps w:val="0"/>
          <w:color w:val="000000" w:themeColor="text1"/>
          <w:kern w:val="0"/>
          <w:sz w:val="28"/>
          <w:szCs w:val="28"/>
          <w14:textFill>
            <w14:solidFill>
              <w14:schemeClr w14:val="tx1"/>
            </w14:solidFill>
          </w14:textFill>
        </w:rPr>
        <w:t>2</w:t>
      </w:r>
      <w:r>
        <w:rPr>
          <w:rFonts w:ascii="仿宋" w:hAnsi="仿宋" w:eastAsia="仿宋"/>
          <w:b w:val="0"/>
          <w:caps w:val="0"/>
          <w:color w:val="000000" w:themeColor="text1"/>
          <w:kern w:val="0"/>
          <w:sz w:val="28"/>
          <w:szCs w:val="28"/>
          <w14:textFill>
            <w14:solidFill>
              <w14:schemeClr w14:val="tx1"/>
            </w14:solidFill>
          </w14:textFill>
        </w:rPr>
        <w:fldChar w:fldCharType="end"/>
      </w:r>
      <w:r>
        <w:rPr>
          <w:rFonts w:ascii="仿宋" w:hAnsi="仿宋" w:eastAsia="仿宋"/>
          <w:b w:val="0"/>
          <w:caps w:val="0"/>
          <w:color w:val="000000" w:themeColor="text1"/>
          <w:kern w:val="0"/>
          <w:sz w:val="28"/>
          <w:szCs w:val="28"/>
          <w14:textFill>
            <w14:solidFill>
              <w14:schemeClr w14:val="tx1"/>
            </w14:solidFill>
          </w14:textFill>
        </w:rPr>
        <w:fldChar w:fldCharType="end"/>
      </w:r>
    </w:p>
    <w:p>
      <w:pPr>
        <w:pStyle w:val="42"/>
        <w:tabs>
          <w:tab w:val="right" w:leader="dot" w:pos="9628"/>
        </w:tabs>
        <w:rPr>
          <w:rFonts w:ascii="仿宋" w:hAnsi="仿宋" w:eastAsia="仿宋"/>
          <w:b w:val="0"/>
          <w:caps w:val="0"/>
          <w:color w:val="000000" w:themeColor="text1"/>
          <w:kern w:val="0"/>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"_Toc139284160" </w:instrText>
      </w:r>
      <w:r>
        <w:rPr>
          <w:color w:val="000000" w:themeColor="text1"/>
          <w14:textFill>
            <w14:solidFill>
              <w14:schemeClr w14:val="tx1"/>
            </w14:solidFill>
          </w14:textFill>
        </w:rPr>
        <w:fldChar w:fldCharType="separate"/>
      </w:r>
      <w:r>
        <w:rPr>
          <w:rFonts w:hint="eastAsia" w:ascii="仿宋" w:hAnsi="仿宋" w:eastAsia="仿宋"/>
          <w:b w:val="0"/>
          <w:caps w:val="0"/>
          <w:color w:val="000000" w:themeColor="text1"/>
          <w:kern w:val="0"/>
          <w:sz w:val="28"/>
          <w:szCs w:val="28"/>
          <w14:textFill>
            <w14:solidFill>
              <w14:schemeClr w14:val="tx1"/>
            </w14:solidFill>
          </w14:textFill>
        </w:rPr>
        <w:t>第二章  投标须知前附表及投标须知</w:t>
      </w:r>
      <w:r>
        <w:rPr>
          <w:rFonts w:ascii="仿宋" w:hAnsi="仿宋" w:eastAsia="仿宋"/>
          <w:b w:val="0"/>
          <w:caps w:val="0"/>
          <w:color w:val="000000" w:themeColor="text1"/>
          <w:kern w:val="0"/>
          <w:sz w:val="28"/>
          <w:szCs w:val="28"/>
          <w14:textFill>
            <w14:solidFill>
              <w14:schemeClr w14:val="tx1"/>
            </w14:solidFill>
          </w14:textFill>
        </w:rPr>
        <w:tab/>
      </w:r>
      <w:r>
        <w:rPr>
          <w:rFonts w:hint="eastAsia" w:ascii="仿宋" w:hAnsi="仿宋" w:eastAsia="仿宋"/>
          <w:b w:val="0"/>
          <w:caps w:val="0"/>
          <w:color w:val="000000" w:themeColor="text1"/>
          <w:kern w:val="0"/>
          <w:sz w:val="28"/>
          <w:szCs w:val="28"/>
          <w:lang w:val="en-US" w:eastAsia="zh-CN"/>
          <w14:textFill>
            <w14:solidFill>
              <w14:schemeClr w14:val="tx1"/>
            </w14:solidFill>
          </w14:textFill>
        </w:rPr>
        <w:t>4</w:t>
      </w:r>
      <w:r>
        <w:rPr>
          <w:rFonts w:ascii="仿宋" w:hAnsi="仿宋" w:eastAsia="仿宋"/>
          <w:b w:val="0"/>
          <w:caps w:val="0"/>
          <w:color w:val="000000" w:themeColor="text1"/>
          <w:kern w:val="0"/>
          <w:sz w:val="28"/>
          <w:szCs w:val="28"/>
          <w14:textFill>
            <w14:solidFill>
              <w14:schemeClr w14:val="tx1"/>
            </w14:solidFill>
          </w14:textFill>
        </w:rPr>
        <w:fldChar w:fldCharType="end"/>
      </w:r>
    </w:p>
    <w:p>
      <w:pPr>
        <w:pStyle w:val="42"/>
        <w:tabs>
          <w:tab w:val="right" w:leader="dot" w:pos="9628"/>
        </w:tabs>
        <w:rPr>
          <w:rFonts w:hint="eastAsia" w:ascii="仿宋" w:hAnsi="仿宋" w:eastAsia="仿宋"/>
          <w:b w:val="0"/>
          <w:caps w:val="0"/>
          <w:color w:val="000000" w:themeColor="text1"/>
          <w:kern w:val="0"/>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"_Toc139284161" </w:instrText>
      </w:r>
      <w:r>
        <w:rPr>
          <w:color w:val="000000" w:themeColor="text1"/>
          <w14:textFill>
            <w14:solidFill>
              <w14:schemeClr w14:val="tx1"/>
            </w14:solidFill>
          </w14:textFill>
        </w:rPr>
        <w:fldChar w:fldCharType="separate"/>
      </w:r>
      <w:r>
        <w:rPr>
          <w:rFonts w:hint="eastAsia" w:ascii="仿宋" w:hAnsi="仿宋" w:eastAsia="仿宋"/>
          <w:b w:val="0"/>
          <w:caps w:val="0"/>
          <w:color w:val="000000" w:themeColor="text1"/>
          <w:kern w:val="0"/>
          <w:sz w:val="28"/>
          <w:szCs w:val="28"/>
          <w14:textFill>
            <w14:solidFill>
              <w14:schemeClr w14:val="tx1"/>
            </w14:solidFill>
          </w14:textFill>
        </w:rPr>
        <w:t>第三章  合同条款</w:t>
      </w:r>
      <w:r>
        <w:rPr>
          <w:rFonts w:ascii="仿宋" w:hAnsi="仿宋" w:eastAsia="仿宋"/>
          <w:b w:val="0"/>
          <w:caps w:val="0"/>
          <w:color w:val="000000" w:themeColor="text1"/>
          <w:kern w:val="0"/>
          <w:sz w:val="28"/>
          <w:szCs w:val="28"/>
          <w14:textFill>
            <w14:solidFill>
              <w14:schemeClr w14:val="tx1"/>
            </w14:solidFill>
          </w14:textFill>
        </w:rPr>
        <w:tab/>
      </w:r>
      <w:r>
        <w:rPr>
          <w:rFonts w:hint="eastAsia" w:ascii="仿宋" w:hAnsi="仿宋" w:eastAsia="仿宋"/>
          <w:b w:val="0"/>
          <w:caps w:val="0"/>
          <w:color w:val="000000" w:themeColor="text1"/>
          <w:kern w:val="0"/>
          <w:sz w:val="28"/>
          <w:szCs w:val="28"/>
          <w14:textFill>
            <w14:solidFill>
              <w14:schemeClr w14:val="tx1"/>
            </w14:solidFill>
          </w14:textFill>
        </w:rPr>
        <w:t>2</w:t>
      </w:r>
      <w:r>
        <w:rPr>
          <w:rFonts w:hint="eastAsia" w:ascii="仿宋" w:hAnsi="仿宋" w:eastAsia="仿宋"/>
          <w:b w:val="0"/>
          <w:caps w:val="0"/>
          <w:color w:val="000000" w:themeColor="text1"/>
          <w:kern w:val="0"/>
          <w:sz w:val="28"/>
          <w:szCs w:val="28"/>
          <w14:textFill>
            <w14:solidFill>
              <w14:schemeClr w14:val="tx1"/>
            </w14:solidFill>
          </w14:textFill>
        </w:rPr>
        <w:fldChar w:fldCharType="end"/>
      </w:r>
      <w:r>
        <w:rPr>
          <w:rFonts w:hint="eastAsia" w:ascii="仿宋" w:hAnsi="仿宋" w:eastAsia="仿宋"/>
          <w:b w:val="0"/>
          <w:caps w:val="0"/>
          <w:color w:val="000000" w:themeColor="text1"/>
          <w:kern w:val="0"/>
          <w:sz w:val="28"/>
          <w:szCs w:val="28"/>
          <w:lang w:val="en-US" w:eastAsia="zh-CN"/>
          <w14:textFill>
            <w14:solidFill>
              <w14:schemeClr w14:val="tx1"/>
            </w14:solidFill>
          </w14:textFill>
        </w:rPr>
        <w:t>7</w:t>
      </w:r>
    </w:p>
    <w:p>
      <w:pPr>
        <w:pStyle w:val="42"/>
        <w:tabs>
          <w:tab w:val="right" w:leader="dot" w:pos="9628"/>
        </w:tabs>
        <w:rPr>
          <w:rFonts w:hint="eastAsia" w:ascii="仿宋" w:hAnsi="仿宋" w:eastAsia="仿宋"/>
          <w:b w:val="0"/>
          <w:caps w:val="0"/>
          <w:color w:val="000000" w:themeColor="text1"/>
          <w:kern w:val="0"/>
          <w:sz w:val="28"/>
          <w:szCs w:val="28"/>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"_Toc139284162" </w:instrText>
      </w:r>
      <w:r>
        <w:rPr>
          <w:color w:val="000000" w:themeColor="text1"/>
          <w14:textFill>
            <w14:solidFill>
              <w14:schemeClr w14:val="tx1"/>
            </w14:solidFill>
          </w14:textFill>
        </w:rPr>
        <w:fldChar w:fldCharType="separate"/>
      </w:r>
      <w:r>
        <w:rPr>
          <w:rFonts w:hint="eastAsia" w:ascii="仿宋" w:hAnsi="仿宋" w:eastAsia="仿宋"/>
          <w:b w:val="0"/>
          <w:caps w:val="0"/>
          <w:color w:val="000000" w:themeColor="text1"/>
          <w:kern w:val="0"/>
          <w:sz w:val="28"/>
          <w:szCs w:val="28"/>
          <w14:textFill>
            <w14:solidFill>
              <w14:schemeClr w14:val="tx1"/>
            </w14:solidFill>
          </w14:textFill>
        </w:rPr>
        <w:t xml:space="preserve">第四章  </w:t>
      </w:r>
      <w:r>
        <w:rPr>
          <w:rFonts w:hint="eastAsia" w:ascii="仿宋" w:hAnsi="仿宋" w:eastAsia="仿宋"/>
          <w:b w:val="0"/>
          <w:caps w:val="0"/>
          <w:color w:val="000000" w:themeColor="text1"/>
          <w:kern w:val="0"/>
          <w:sz w:val="28"/>
          <w:szCs w:val="28"/>
          <w:lang w:eastAsia="zh-CN"/>
          <w14:textFill>
            <w14:solidFill>
              <w14:schemeClr w14:val="tx1"/>
            </w14:solidFill>
          </w14:textFill>
        </w:rPr>
        <w:t>采购需求</w:t>
      </w:r>
      <w:r>
        <w:rPr>
          <w:rFonts w:ascii="仿宋" w:hAnsi="仿宋" w:eastAsia="仿宋"/>
          <w:b w:val="0"/>
          <w:caps w:val="0"/>
          <w:color w:val="000000" w:themeColor="text1"/>
          <w:kern w:val="0"/>
          <w:sz w:val="28"/>
          <w:szCs w:val="28"/>
          <w14:textFill>
            <w14:solidFill>
              <w14:schemeClr w14:val="tx1"/>
            </w14:solidFill>
          </w14:textFill>
        </w:rPr>
        <w:tab/>
      </w:r>
      <w:r>
        <w:rPr>
          <w:rFonts w:hint="eastAsia" w:ascii="仿宋" w:hAnsi="仿宋" w:eastAsia="仿宋"/>
          <w:b w:val="0"/>
          <w:caps w:val="0"/>
          <w:color w:val="000000" w:themeColor="text1"/>
          <w:kern w:val="0"/>
          <w:sz w:val="28"/>
          <w:szCs w:val="28"/>
          <w14:textFill>
            <w14:solidFill>
              <w14:schemeClr w14:val="tx1"/>
            </w14:solidFill>
          </w14:textFill>
        </w:rPr>
        <w:t>3</w:t>
      </w:r>
      <w:r>
        <w:rPr>
          <w:rFonts w:hint="eastAsia" w:ascii="仿宋" w:hAnsi="仿宋" w:eastAsia="仿宋"/>
          <w:b w:val="0"/>
          <w:caps w:val="0"/>
          <w:color w:val="000000" w:themeColor="text1"/>
          <w:kern w:val="0"/>
          <w:sz w:val="28"/>
          <w:szCs w:val="28"/>
          <w14:textFill>
            <w14:solidFill>
              <w14:schemeClr w14:val="tx1"/>
            </w14:solidFill>
          </w14:textFill>
        </w:rPr>
        <w:fldChar w:fldCharType="end"/>
      </w:r>
      <w:r>
        <w:rPr>
          <w:rFonts w:hint="eastAsia" w:ascii="仿宋" w:hAnsi="仿宋" w:eastAsia="仿宋"/>
          <w:b w:val="0"/>
          <w:caps w:val="0"/>
          <w:color w:val="000000" w:themeColor="text1"/>
          <w:kern w:val="0"/>
          <w:sz w:val="28"/>
          <w:szCs w:val="28"/>
          <w:lang w:val="en-US" w:eastAsia="zh-CN"/>
          <w14:textFill>
            <w14:solidFill>
              <w14:schemeClr w14:val="tx1"/>
            </w14:solidFill>
          </w14:textFill>
        </w:rPr>
        <w:t>2</w:t>
      </w:r>
    </w:p>
    <w:p>
      <w:pPr>
        <w:pStyle w:val="42"/>
        <w:tabs>
          <w:tab w:val="right" w:leader="dot" w:pos="9628"/>
        </w:tabs>
        <w:rPr>
          <w:rFonts w:hint="eastAsia" w:ascii="仿宋" w:hAnsi="仿宋" w:eastAsia="仿宋" w:cstheme="minorBidi"/>
          <w:b w:val="0"/>
          <w:bCs w:val="0"/>
          <w:caps w:val="0"/>
          <w:color w:val="000000" w:themeColor="text1"/>
          <w:sz w:val="24"/>
          <w:szCs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"_Toc139284258" </w:instrText>
      </w:r>
      <w:r>
        <w:rPr>
          <w:color w:val="000000" w:themeColor="text1"/>
          <w14:textFill>
            <w14:solidFill>
              <w14:schemeClr w14:val="tx1"/>
            </w14:solidFill>
          </w14:textFill>
        </w:rPr>
        <w:fldChar w:fldCharType="separate"/>
      </w:r>
      <w:r>
        <w:rPr>
          <w:rFonts w:hint="eastAsia" w:ascii="仿宋" w:hAnsi="仿宋" w:eastAsia="仿宋"/>
          <w:b w:val="0"/>
          <w:caps w:val="0"/>
          <w:color w:val="000000" w:themeColor="text1"/>
          <w:kern w:val="0"/>
          <w:sz w:val="28"/>
          <w:szCs w:val="28"/>
          <w14:textFill>
            <w14:solidFill>
              <w14:schemeClr w14:val="tx1"/>
            </w14:solidFill>
          </w14:textFill>
        </w:rPr>
        <w:t>第五章  投标文件格式</w:t>
      </w:r>
      <w:r>
        <w:rPr>
          <w:rFonts w:ascii="仿宋" w:hAnsi="仿宋" w:eastAsia="仿宋"/>
          <w:b w:val="0"/>
          <w:caps w:val="0"/>
          <w:color w:val="000000" w:themeColor="text1"/>
          <w:kern w:val="0"/>
          <w:sz w:val="28"/>
          <w:szCs w:val="28"/>
          <w14:textFill>
            <w14:solidFill>
              <w14:schemeClr w14:val="tx1"/>
            </w14:solidFill>
          </w14:textFill>
        </w:rPr>
        <w:tab/>
      </w:r>
      <w:r>
        <w:rPr>
          <w:rFonts w:hint="eastAsia" w:ascii="仿宋" w:hAnsi="仿宋" w:eastAsia="仿宋"/>
          <w:b w:val="0"/>
          <w:caps w:val="0"/>
          <w:color w:val="000000" w:themeColor="text1"/>
          <w:kern w:val="0"/>
          <w:sz w:val="28"/>
          <w:szCs w:val="28"/>
          <w14:textFill>
            <w14:solidFill>
              <w14:schemeClr w14:val="tx1"/>
            </w14:solidFill>
          </w14:textFill>
        </w:rPr>
        <w:t>3</w:t>
      </w:r>
      <w:r>
        <w:rPr>
          <w:rFonts w:hint="eastAsia" w:ascii="仿宋" w:hAnsi="仿宋" w:eastAsia="仿宋"/>
          <w:b w:val="0"/>
          <w:caps w:val="0"/>
          <w:color w:val="000000" w:themeColor="text1"/>
          <w:kern w:val="0"/>
          <w:sz w:val="28"/>
          <w:szCs w:val="28"/>
          <w14:textFill>
            <w14:solidFill>
              <w14:schemeClr w14:val="tx1"/>
            </w14:solidFill>
          </w14:textFill>
        </w:rPr>
        <w:fldChar w:fldCharType="end"/>
      </w:r>
      <w:r>
        <w:rPr>
          <w:rFonts w:hint="eastAsia" w:ascii="仿宋" w:hAnsi="仿宋" w:eastAsia="仿宋"/>
          <w:b w:val="0"/>
          <w:caps w:val="0"/>
          <w:color w:val="000000" w:themeColor="text1"/>
          <w:kern w:val="0"/>
          <w:sz w:val="28"/>
          <w:szCs w:val="28"/>
          <w:lang w:val="en-US" w:eastAsia="zh-CN"/>
          <w14:textFill>
            <w14:solidFill>
              <w14:schemeClr w14:val="tx1"/>
            </w14:solidFill>
          </w14:textFill>
        </w:rPr>
        <w:t>7</w:t>
      </w:r>
    </w:p>
    <w:p>
      <w:pPr>
        <w:widowControl/>
        <w:shd w:val="clear" w:color="auto" w:fill="FFFFFF"/>
        <w:spacing w:line="360" w:lineRule="exact"/>
        <w:rPr>
          <w:rFonts w:ascii="仿宋" w:hAnsi="仿宋" w:eastAsia="仿宋"/>
          <w:b/>
          <w:bCs/>
          <w:color w:val="000000" w:themeColor="text1"/>
          <w:kern w:val="0"/>
          <w:sz w:val="24"/>
          <w14:textFill>
            <w14:solidFill>
              <w14:schemeClr w14:val="tx1"/>
            </w14:solidFill>
          </w14:textFill>
        </w:rPr>
      </w:pPr>
      <w:r>
        <w:rPr>
          <w:rFonts w:ascii="仿宋" w:hAnsi="仿宋" w:eastAsia="仿宋"/>
          <w:caps/>
          <w:color w:val="000000" w:themeColor="text1"/>
          <w:kern w:val="0"/>
          <w:sz w:val="24"/>
          <w14:textFill>
            <w14:solidFill>
              <w14:schemeClr w14:val="tx1"/>
            </w14:solidFill>
          </w14:textFill>
        </w:rPr>
        <w:fldChar w:fldCharType="end"/>
      </w:r>
    </w:p>
    <w:p>
      <w:pPr>
        <w:pStyle w:val="42"/>
        <w:tabs>
          <w:tab w:val="right" w:leader="dot" w:pos="9628"/>
        </w:tabs>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br w:type="page"/>
      </w:r>
    </w:p>
    <w:p>
      <w:pPr>
        <w:pStyle w:val="331"/>
        <w:spacing w:beforeLines="50" w:afterLines="50" w:line="360" w:lineRule="auto"/>
        <w:jc w:val="center"/>
        <w:outlineLvl w:val="0"/>
        <w:rPr>
          <w:rFonts w:ascii="仿宋" w:hAnsi="仿宋" w:eastAsia="仿宋"/>
          <w:b/>
          <w:color w:val="000000" w:themeColor="text1"/>
          <w:sz w:val="32"/>
          <w:szCs w:val="32"/>
          <w14:textFill>
            <w14:solidFill>
              <w14:schemeClr w14:val="tx1"/>
            </w14:solidFill>
          </w14:textFill>
        </w:rPr>
      </w:pPr>
      <w:bookmarkStart w:id="0" w:name="_Toc139284159"/>
      <w:r>
        <w:rPr>
          <w:rFonts w:hint="eastAsia" w:ascii="仿宋" w:hAnsi="仿宋" w:eastAsia="仿宋"/>
          <w:b/>
          <w:color w:val="000000" w:themeColor="text1"/>
          <w:sz w:val="32"/>
          <w:szCs w:val="32"/>
          <w14:textFill>
            <w14:solidFill>
              <w14:schemeClr w14:val="tx1"/>
            </w14:solidFill>
          </w14:textFill>
        </w:rPr>
        <w:t>第一章  招标公告</w:t>
      </w:r>
      <w:bookmarkEnd w:id="0"/>
    </w:p>
    <w:p>
      <w:pPr>
        <w:spacing w:line="40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一、项目基本情况</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项目编号：</w:t>
      </w:r>
      <w:r>
        <w:rPr>
          <w:rFonts w:hint="eastAsia" w:ascii="仿宋" w:hAnsi="仿宋" w:eastAsia="仿宋" w:cs="宋体"/>
          <w:color w:val="000000" w:themeColor="text1"/>
          <w:sz w:val="24"/>
          <w:shd w:val="clear" w:color="auto" w:fill="FFFFFF"/>
          <w14:textFill>
            <w14:solidFill>
              <w14:schemeClr w14:val="tx1"/>
            </w14:solidFill>
          </w14:textFill>
        </w:rPr>
        <w:t>2024PCGK027</w:t>
      </w:r>
    </w:p>
    <w:p>
      <w:pPr>
        <w:spacing w:line="400" w:lineRule="exact"/>
        <w:ind w:firstLine="480" w:firstLineChars="200"/>
        <w:rPr>
          <w:rFonts w:ascii="仿宋" w:hAnsi="仿宋" w:eastAsia="仿宋"/>
          <w:bCs/>
          <w:color w:val="000000" w:themeColor="text1"/>
          <w:spacing w:val="-4"/>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bCs/>
          <w:color w:val="000000" w:themeColor="text1"/>
          <w:spacing w:val="-4"/>
          <w:kern w:val="0"/>
          <w:sz w:val="24"/>
          <w14:textFill>
            <w14:solidFill>
              <w14:schemeClr w14:val="tx1"/>
            </w14:solidFill>
          </w14:textFill>
        </w:rPr>
        <w:t>吉木萨尔县总医院（县人民医院）手术室行为管理及毒麻药品管理系统能力提升采购项目</w:t>
      </w:r>
    </w:p>
    <w:p>
      <w:pPr>
        <w:spacing w:line="400" w:lineRule="exact"/>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采购方式：公开招标</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预算金额（元）：2900000.00</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最高限价（元）：2900000.00</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采购需求：</w:t>
      </w:r>
    </w:p>
    <w:p>
      <w:pPr>
        <w:spacing w:line="400" w:lineRule="exact"/>
        <w:ind w:firstLine="480" w:firstLineChars="200"/>
        <w:rPr>
          <w:rFonts w:ascii="仿宋" w:hAnsi="仿宋" w:eastAsia="仿宋"/>
          <w:bCs/>
          <w:color w:val="000000" w:themeColor="text1"/>
          <w:spacing w:val="-4"/>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标项名称：</w:t>
      </w:r>
      <w:r>
        <w:rPr>
          <w:rFonts w:hint="eastAsia" w:ascii="仿宋" w:hAnsi="仿宋" w:eastAsia="仿宋"/>
          <w:bCs/>
          <w:color w:val="000000" w:themeColor="text1"/>
          <w:spacing w:val="-4"/>
          <w:kern w:val="0"/>
          <w:sz w:val="24"/>
          <w14:textFill>
            <w14:solidFill>
              <w14:schemeClr w14:val="tx1"/>
            </w14:solidFill>
          </w14:textFill>
        </w:rPr>
        <w:t>吉木萨尔县总医院（县人民医院）手术室行为管理及毒麻药品管理系统能力提升采购项目</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数量：1批</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预算金额（元）：2900000.00</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简要规格描述：</w:t>
      </w:r>
      <w:r>
        <w:rPr>
          <w:rFonts w:hint="eastAsia" w:ascii="仿宋" w:hAnsi="仿宋" w:eastAsia="仿宋"/>
          <w:bCs/>
          <w:color w:val="000000" w:themeColor="text1"/>
          <w:spacing w:val="-4"/>
          <w:kern w:val="0"/>
          <w:sz w:val="24"/>
          <w14:textFill>
            <w14:solidFill>
              <w14:schemeClr w14:val="tx1"/>
            </w14:solidFill>
          </w14:textFill>
        </w:rPr>
        <w:t>手术室行为管理及毒麻药品管理系统能力提升采购</w:t>
      </w:r>
      <w:r>
        <w:rPr>
          <w:rFonts w:hint="eastAsia" w:ascii="仿宋" w:hAnsi="仿宋" w:eastAsia="仿宋"/>
          <w:color w:val="000000" w:themeColor="text1"/>
          <w:sz w:val="24"/>
          <w14:textFill>
            <w14:solidFill>
              <w14:schemeClr w14:val="tx1"/>
            </w14:solidFill>
          </w14:textFill>
        </w:rPr>
        <w:t>；详见招标文件《采购需求》。</w:t>
      </w:r>
    </w:p>
    <w:p>
      <w:pPr>
        <w:widowControl/>
        <w:shd w:val="clear" w:color="auto" w:fill="FFFFFF"/>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合同履行期限：自签订合同起至服务期结束为止。</w:t>
      </w:r>
    </w:p>
    <w:p>
      <w:pPr>
        <w:widowControl/>
        <w:shd w:val="clear" w:color="auto" w:fill="FFFFFF"/>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w:t>
      </w:r>
      <w:r>
        <w:rPr>
          <w:rFonts w:hint="eastAsia" w:ascii="仿宋" w:hAnsi="仿宋" w:eastAsia="仿宋"/>
          <w:color w:val="000000" w:themeColor="text1"/>
          <w:sz w:val="24"/>
          <w:u w:val="single"/>
          <w14:textFill>
            <w14:solidFill>
              <w14:schemeClr w14:val="tx1"/>
            </w14:solidFill>
          </w14:textFill>
        </w:rPr>
        <w:t xml:space="preserve"> 不 </w:t>
      </w:r>
      <w:r>
        <w:rPr>
          <w:rFonts w:hint="eastAsia" w:ascii="仿宋" w:hAnsi="仿宋" w:eastAsia="仿宋"/>
          <w:color w:val="000000" w:themeColor="text1"/>
          <w:sz w:val="24"/>
          <w14:textFill>
            <w14:solidFill>
              <w14:schemeClr w14:val="tx1"/>
            </w14:solidFill>
          </w14:textFill>
        </w:rPr>
        <w:t>接受联合体投标。</w:t>
      </w:r>
    </w:p>
    <w:p>
      <w:pPr>
        <w:widowControl/>
        <w:shd w:val="clear" w:color="auto" w:fill="FFFFFF"/>
        <w:spacing w:line="400" w:lineRule="exact"/>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二</w:t>
      </w:r>
      <w:r>
        <w:rPr>
          <w:rFonts w:ascii="仿宋" w:hAnsi="仿宋" w:eastAsia="仿宋" w:cs="宋体"/>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申请人的</w:t>
      </w:r>
      <w:r>
        <w:rPr>
          <w:rFonts w:ascii="仿宋" w:hAnsi="仿宋" w:eastAsia="仿宋" w:cs="宋体"/>
          <w:b/>
          <w:color w:val="000000" w:themeColor="text1"/>
          <w:sz w:val="24"/>
          <w14:textFill>
            <w14:solidFill>
              <w14:schemeClr w14:val="tx1"/>
            </w14:solidFill>
          </w14:textFill>
        </w:rPr>
        <w:t>资格要求:</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1.满足《中华人民共和国政府采购法》第二十二条规定；</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2.落实政府采购政策需满足的资格要求：本项目专门面向中小企业采购</w:t>
      </w:r>
    </w:p>
    <w:p>
      <w:pPr>
        <w:widowControl/>
        <w:shd w:val="clear" w:color="auto" w:fill="FFFFFF"/>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3.本项目的特定资格要求：无</w:t>
      </w:r>
    </w:p>
    <w:p>
      <w:pPr>
        <w:widowControl/>
        <w:shd w:val="clear" w:color="auto" w:fill="FFFFFF"/>
        <w:spacing w:line="440" w:lineRule="exact"/>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三、获取招标文件</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时间： 2024年03月30日至2024年04月0</w:t>
      </w:r>
      <w:r>
        <w:rPr>
          <w:rFonts w:hint="eastAsia" w:ascii="仿宋" w:hAnsi="仿宋" w:eastAsia="仿宋" w:cs="宋体"/>
          <w:color w:val="000000" w:themeColor="text1"/>
          <w:sz w:val="24"/>
          <w:lang w:val="en-US" w:eastAsia="zh-CN"/>
          <w14:textFill>
            <w14:solidFill>
              <w14:schemeClr w14:val="tx1"/>
            </w14:solidFill>
          </w14:textFill>
        </w:rPr>
        <w:t>8</w:t>
      </w:r>
      <w:r>
        <w:rPr>
          <w:rFonts w:hint="eastAsia" w:ascii="仿宋" w:hAnsi="仿宋" w:eastAsia="仿宋" w:cs="宋体"/>
          <w:color w:val="000000" w:themeColor="text1"/>
          <w:sz w:val="24"/>
          <w14:textFill>
            <w14:solidFill>
              <w14:schemeClr w14:val="tx1"/>
            </w14:solidFill>
          </w14:textFill>
        </w:rPr>
        <w:t>日，每天上午 10:00至12:00 ，下午 12:00至19:00（北京时间，法定节假日除外）</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方式：供应商登录政采云平台线上获取文件，线下获取无效。</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售价（元）：0。</w:t>
      </w:r>
    </w:p>
    <w:p>
      <w:pPr>
        <w:widowControl/>
        <w:shd w:val="clear" w:color="auto" w:fill="FFFFFF"/>
        <w:spacing w:line="440" w:lineRule="exact"/>
        <w:ind w:firstLine="482" w:firstLineChars="20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四、提交投标文件截止时间、开标时间和地点</w:t>
      </w:r>
    </w:p>
    <w:p>
      <w:pPr>
        <w:widowControl/>
        <w:shd w:val="clear" w:color="auto" w:fill="FFFFFF"/>
        <w:spacing w:line="440" w:lineRule="exact"/>
        <w:ind w:firstLine="480" w:firstLineChars="200"/>
        <w:rPr>
          <w:rFonts w:ascii="仿宋" w:hAnsi="仿宋" w:eastAsia="仿宋" w:cs="宋体"/>
          <w:color w:val="000000" w:themeColor="text1"/>
          <w:sz w:val="24"/>
          <w:highlight w:val="yellow"/>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提交投标文件截止时间：2024年04月19日 11:30（北京时间）</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投标地点：政采云平台（https://www.zcygov.cn/），本项目采用不见面开标，加密的电子投标文件在投标截止时间前通过CA在政采云平台上传。</w:t>
      </w:r>
    </w:p>
    <w:p>
      <w:pPr>
        <w:widowControl/>
        <w:shd w:val="clear" w:color="auto" w:fill="FFFFFF"/>
        <w:spacing w:line="440" w:lineRule="exact"/>
        <w:ind w:firstLine="480" w:firstLineChars="200"/>
        <w:rPr>
          <w:rFonts w:ascii="仿宋" w:hAnsi="仿宋" w:eastAsia="仿宋" w:cs="宋体"/>
          <w:color w:val="000000" w:themeColor="text1"/>
          <w:sz w:val="24"/>
          <w:highlight w:val="yellow"/>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开标时间：2024年04月19日 11:30（北京时间）</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开标地点：政采云平台（https://www.zcygov.cn/）</w:t>
      </w:r>
    </w:p>
    <w:p>
      <w:pPr>
        <w:widowControl/>
        <w:shd w:val="clear" w:color="auto" w:fill="FFFFFF"/>
        <w:spacing w:line="440" w:lineRule="exact"/>
        <w:ind w:firstLine="482" w:firstLineChars="200"/>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五、公告期限</w:t>
      </w:r>
    </w:p>
    <w:p>
      <w:pPr>
        <w:widowControl/>
        <w:shd w:val="clear" w:color="auto" w:fill="FFFFFF"/>
        <w:spacing w:line="44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自本公告发布之日起5个工作日。</w:t>
      </w:r>
    </w:p>
    <w:p>
      <w:pPr>
        <w:widowControl/>
        <w:shd w:val="clear" w:color="auto" w:fill="FFFFFF"/>
        <w:spacing w:line="44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六、其他补充事宜</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1、本项目实行电子招投标，供应商须登录政采云平台申请获取招标文件，并通过政采云电子投标客户端制作投标文件，同时自行承担与投标有关的一切费用。</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2、各供应商应在开标前确保成为政采云平台供应商，并完成CA数字证书申领。</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可前往新疆政府采购网（http://www.ccgp-xinjiang.gov.cn/）下载专区，下载政采云电子投标客户端，安装完成后，可通过账号密码或CA登录客户端进行投标（响应）文件制作。如有问题可拨打政采云客户服务热线95763进行咨询。</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widowControl/>
        <w:shd w:val="clear" w:color="auto" w:fill="FFFFFF"/>
        <w:spacing w:line="44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七、对本次采购提出询问，请按以下方式联系</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1.采购人信息</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名称：吉木萨尔县人民医院</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地址：吉木萨尔县文明西路9号</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联系方式：0994-6912001 </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2.采购代理机构信息</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称：新疆品创项目管理咨询有限公司</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址：新疆乌鲁木齐市沙依巴克区长江路76号兴乐世贸广场29楼 业务一部</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3.项目联系方式</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项目联系人：郭克栋、齐娟</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电话：0991-522178819999129722</w:t>
      </w:r>
    </w:p>
    <w:p>
      <w:pPr>
        <w:widowControl/>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邮箱：472238220@qq.com</w:t>
      </w:r>
    </w:p>
    <w:p>
      <w:pPr>
        <w:widowControl/>
        <w:spacing w:beforeLines="50" w:afterLines="50" w:line="360" w:lineRule="auto"/>
        <w:jc w:val="center"/>
        <w:outlineLvl w:val="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24"/>
          <w14:textFill>
            <w14:solidFill>
              <w14:schemeClr w14:val="tx1"/>
            </w14:solidFill>
          </w14:textFill>
        </w:rPr>
        <w:br w:type="page"/>
      </w:r>
      <w:bookmarkStart w:id="1" w:name="_Toc139284160"/>
      <w:r>
        <w:rPr>
          <w:rFonts w:hint="eastAsia" w:ascii="仿宋" w:hAnsi="仿宋" w:eastAsia="仿宋"/>
          <w:b/>
          <w:color w:val="000000" w:themeColor="text1"/>
          <w:sz w:val="32"/>
          <w:szCs w:val="32"/>
          <w14:textFill>
            <w14:solidFill>
              <w14:schemeClr w14:val="tx1"/>
            </w14:solidFill>
          </w14:textFill>
        </w:rPr>
        <w:t>第二章  投标须知前附表及投标须知</w:t>
      </w:r>
      <w:bookmarkEnd w:id="1"/>
    </w:p>
    <w:p>
      <w:pPr>
        <w:shd w:val="clear" w:color="auto" w:fill="FFFFFF"/>
        <w:autoSpaceDE w:val="0"/>
        <w:autoSpaceDN w:val="0"/>
        <w:adjustRightInd w:val="0"/>
        <w:spacing w:line="360" w:lineRule="exact"/>
        <w:jc w:val="center"/>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一、投标须知前附表</w:t>
      </w:r>
    </w:p>
    <w:p>
      <w:pPr>
        <w:shd w:val="clear" w:color="auto" w:fill="FFFFFF"/>
        <w:autoSpaceDE w:val="0"/>
        <w:autoSpaceDN w:val="0"/>
        <w:adjustRightInd w:val="0"/>
        <w:spacing w:line="360" w:lineRule="exact"/>
        <w:jc w:val="center"/>
        <w:rPr>
          <w:rFonts w:ascii="仿宋" w:hAnsi="仿宋" w:eastAsia="仿宋"/>
          <w:b/>
          <w:bCs/>
          <w:color w:val="000000" w:themeColor="text1"/>
          <w:kern w:val="0"/>
          <w:sz w:val="24"/>
          <w14:textFill>
            <w14:solidFill>
              <w14:schemeClr w14:val="tx1"/>
            </w14:solidFill>
          </w14:textFill>
        </w:rPr>
      </w:pPr>
    </w:p>
    <w:tbl>
      <w:tblPr>
        <w:tblStyle w:val="60"/>
        <w:tblW w:w="9923"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77"/>
        <w:gridCol w:w="16"/>
        <w:gridCol w:w="7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项号</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内  容</w:t>
            </w:r>
          </w:p>
        </w:tc>
        <w:tc>
          <w:tcPr>
            <w:tcW w:w="7218" w:type="dxa"/>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１</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标项名称</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spacing w:val="-4"/>
                <w:kern w:val="0"/>
                <w:sz w:val="24"/>
                <w14:textFill>
                  <w14:solidFill>
                    <w14:schemeClr w14:val="tx1"/>
                  </w14:solidFill>
                </w14:textFill>
              </w:rPr>
            </w:pPr>
            <w:r>
              <w:rPr>
                <w:rFonts w:hint="eastAsia" w:ascii="仿宋" w:hAnsi="仿宋" w:eastAsia="仿宋"/>
                <w:bCs/>
                <w:color w:val="000000" w:themeColor="text1"/>
                <w:spacing w:val="-4"/>
                <w:kern w:val="0"/>
                <w:sz w:val="24"/>
                <w14:textFill>
                  <w14:solidFill>
                    <w14:schemeClr w14:val="tx1"/>
                  </w14:solidFill>
                </w14:textFill>
              </w:rPr>
              <w:t>吉木萨尔县总医院（县人民医院）手术室行为管理及毒麻药品管理系统能力提升采购项目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项目编号</w:t>
            </w:r>
          </w:p>
        </w:tc>
        <w:tc>
          <w:tcPr>
            <w:tcW w:w="7218" w:type="dxa"/>
            <w:vAlign w:val="center"/>
          </w:tcPr>
          <w:p>
            <w:pPr>
              <w:shd w:val="clear" w:color="auto" w:fill="FFFFFF"/>
              <w:autoSpaceDE w:val="0"/>
              <w:autoSpaceDN w:val="0"/>
              <w:spacing w:line="360" w:lineRule="exact"/>
              <w:rPr>
                <w:rFonts w:ascii="仿宋" w:hAnsi="仿宋" w:eastAsia="仿宋" w:cs="Arial"/>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2024PCGK027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采购人</w:t>
            </w:r>
          </w:p>
        </w:tc>
        <w:tc>
          <w:tcPr>
            <w:tcW w:w="7218" w:type="dxa"/>
            <w:vAlign w:val="center"/>
          </w:tcPr>
          <w:p>
            <w:pPr>
              <w:shd w:val="clear" w:color="auto" w:fill="FFFFFF"/>
              <w:autoSpaceDE w:val="0"/>
              <w:autoSpaceDN w:val="0"/>
              <w:spacing w:line="360" w:lineRule="exact"/>
              <w:rPr>
                <w:rFonts w:ascii="仿宋" w:hAnsi="仿宋" w:eastAsia="仿宋" w:cs="Arial"/>
                <w:color w:val="000000" w:themeColor="text1"/>
                <w:sz w:val="24"/>
                <w14:textFill>
                  <w14:solidFill>
                    <w14:schemeClr w14:val="tx1"/>
                  </w14:solidFill>
                </w14:textFill>
              </w:rPr>
            </w:pPr>
            <w:r>
              <w:rPr>
                <w:rFonts w:hint="eastAsia" w:ascii="仿宋" w:hAnsi="仿宋" w:eastAsia="仿宋"/>
                <w:bCs/>
                <w:color w:val="000000" w:themeColor="text1"/>
                <w:spacing w:val="-4"/>
                <w:kern w:val="0"/>
                <w:sz w:val="24"/>
                <w14:textFill>
                  <w14:solidFill>
                    <w14:schemeClr w14:val="tx1"/>
                  </w14:solidFill>
                </w14:textFill>
              </w:rPr>
              <w:t>吉木萨尔县人民医院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采购方式</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资金来源</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专项+自筹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资格审查方式</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采购内容</w:t>
            </w:r>
          </w:p>
        </w:tc>
        <w:tc>
          <w:tcPr>
            <w:tcW w:w="7218" w:type="dxa"/>
            <w:vAlign w:val="center"/>
          </w:tcPr>
          <w:p>
            <w:pPr>
              <w:pStyle w:val="58"/>
              <w:spacing w:after="0" w:line="360" w:lineRule="exact"/>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pacing w:val="-4"/>
                <w:kern w:val="0"/>
                <w:sz w:val="24"/>
                <w14:textFill>
                  <w14:solidFill>
                    <w14:schemeClr w14:val="tx1"/>
                  </w14:solidFill>
                </w14:textFill>
              </w:rPr>
              <w:t>手术室行为管理及毒麻药品管理系统能力提升采购，</w:t>
            </w:r>
            <w:r>
              <w:rPr>
                <w:rFonts w:hint="eastAsia" w:ascii="仿宋" w:hAnsi="仿宋" w:eastAsia="仿宋"/>
                <w:bCs/>
                <w:color w:val="000000" w:themeColor="text1"/>
                <w:spacing w:val="-4"/>
                <w:kern w:val="0"/>
                <w:sz w:val="24"/>
                <w:szCs w:val="24"/>
                <w14:textFill>
                  <w14:solidFill>
                    <w14:schemeClr w14:val="tx1"/>
                  </w14:solidFill>
                </w14:textFill>
              </w:rPr>
              <w:t>详见《采购需求》；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预算</w:t>
            </w:r>
            <w:r>
              <w:rPr>
                <w:rFonts w:hint="eastAsia" w:ascii="仿宋" w:hAnsi="仿宋" w:eastAsia="仿宋" w:cs="Arial"/>
                <w:color w:val="000000" w:themeColor="text1"/>
                <w:sz w:val="24"/>
                <w14:textFill>
                  <w14:solidFill>
                    <w14:schemeClr w14:val="tx1"/>
                  </w14:solidFill>
                </w14:textFill>
              </w:rPr>
              <w:t>及最高限价</w:t>
            </w:r>
          </w:p>
        </w:tc>
        <w:tc>
          <w:tcPr>
            <w:tcW w:w="7218" w:type="dxa"/>
            <w:vAlign w:val="center"/>
          </w:tcPr>
          <w:p>
            <w:pPr>
              <w:widowControl/>
              <w:shd w:val="clear" w:color="auto" w:fill="FFFFFF"/>
              <w:spacing w:line="360" w:lineRule="exact"/>
              <w:rPr>
                <w:rFonts w:ascii="仿宋" w:hAnsi="仿宋" w:eastAsia="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290万元，供应商投标报价超过最高限价，</w:t>
            </w:r>
            <w:r>
              <w:rPr>
                <w:rFonts w:hint="eastAsia" w:ascii="仿宋" w:hAnsi="仿宋" w:eastAsia="仿宋"/>
                <w:b/>
                <w:color w:val="000000" w:themeColor="text1"/>
                <w:sz w:val="24"/>
                <w14:textFill>
                  <w14:solidFill>
                    <w14:schemeClr w14:val="tx1"/>
                  </w14:solidFill>
                </w14:textFill>
              </w:rPr>
              <w:t>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质量标准</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合格（通过采购人及有关部门组织的项目验收）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供应商资格</w:t>
            </w:r>
          </w:p>
        </w:tc>
        <w:tc>
          <w:tcPr>
            <w:tcW w:w="7218" w:type="dxa"/>
            <w:vAlign w:val="center"/>
          </w:tcPr>
          <w:p>
            <w:pPr>
              <w:widowControl/>
              <w:shd w:val="clear" w:color="auto" w:fill="FFFFFF"/>
              <w:spacing w:line="360" w:lineRule="exac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4.1.供应商须满足《中华人民共和国政府采购法》第二十二条款规定。</w:t>
            </w:r>
          </w:p>
          <w:p>
            <w:pPr>
              <w:widowControl/>
              <w:shd w:val="clear" w:color="auto" w:fill="FFFFFF"/>
              <w:spacing w:line="440" w:lineRule="exac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4.2.落实政府采购政策需满足的资格要求：本项目专门面向中小企业采购</w:t>
            </w:r>
          </w:p>
          <w:p>
            <w:pPr>
              <w:widowControl/>
              <w:shd w:val="clear" w:color="auto" w:fill="FFFFFF"/>
              <w:spacing w:line="440" w:lineRule="exact"/>
              <w:rPr>
                <w:rFonts w:eastAsia="仿宋"/>
                <w:color w:val="000000" w:themeColor="text1"/>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4.3.本项目的特定资格要求：无。</w:t>
            </w:r>
          </w:p>
          <w:p>
            <w:pPr>
              <w:widowControl/>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4.4</w:t>
            </w:r>
            <w:r>
              <w:rPr>
                <w:rFonts w:hint="eastAsia" w:ascii="仿宋" w:hAnsi="仿宋" w:eastAsia="仿宋" w:cs="仿宋"/>
                <w:color w:val="000000" w:themeColor="text1"/>
                <w:kern w:val="0"/>
                <w:sz w:val="24"/>
                <w14:textFill>
                  <w14:solidFill>
                    <w14:schemeClr w14:val="tx1"/>
                  </w14:solidFill>
                </w14:textFill>
              </w:rPr>
              <w:t>根据《关于在政府采购活动中查询及使用信用记录有关问题的通知》(财库[2016]125号)的规定，对被列入“失信被执行人”、“重大税收违法失信主体”、“政府采购严重违法失信行为记录名单”的供应商，拒绝参与本项目政府采购活动【查询渠道：“信用中国”网站（www.creditchina.gov.cn）、中国政府采购网（www.ccgp.gov.cn）】。</w:t>
            </w:r>
          </w:p>
          <w:p>
            <w:pPr>
              <w:widowControl/>
              <w:spacing w:line="360" w:lineRule="exac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4.5供应商不得存在下列情形之一：</w:t>
            </w:r>
          </w:p>
          <w:p>
            <w:pPr>
              <w:widowControl/>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（l）与采购人、采购代理机构存在隶属关系或者其他利害关系。</w:t>
            </w:r>
          </w:p>
          <w:p>
            <w:pPr>
              <w:widowControl/>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（2）与其他供应商的法定代表人（或者负责人）为同一人；或者与其他供应商存在直接控股、管理关系的；</w:t>
            </w:r>
          </w:p>
          <w:p>
            <w:pPr>
              <w:widowControl/>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（3）为采购项目提供整体设计、规范编制或者项目管理、监理、检测等服务的供应商,不得再参加该采购项目的其他采购活动。</w:t>
            </w:r>
          </w:p>
          <w:p>
            <w:pPr>
              <w:widowControl/>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4.6</w:t>
            </w:r>
            <w:r>
              <w:rPr>
                <w:rFonts w:hint="eastAsia" w:ascii="仿宋" w:hAnsi="仿宋" w:eastAsia="仿宋" w:cs="仿宋"/>
                <w:color w:val="000000" w:themeColor="text1"/>
                <w:sz w:val="24"/>
                <w14:textFill>
                  <w14:solidFill>
                    <w14:schemeClr w14:val="tx1"/>
                  </w14:solidFill>
                </w14:textFill>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投标文件份数</w:t>
            </w:r>
          </w:p>
        </w:tc>
        <w:tc>
          <w:tcPr>
            <w:tcW w:w="7218" w:type="dxa"/>
            <w:vAlign w:val="center"/>
          </w:tcPr>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5.1</w:t>
            </w:r>
            <w:r>
              <w:rPr>
                <w:rFonts w:hint="eastAsia" w:ascii="仿宋" w:hAnsi="仿宋" w:eastAsia="仿宋" w:cs="仿宋"/>
                <w:b/>
                <w:bCs/>
                <w:color w:val="000000" w:themeColor="text1"/>
                <w:kern w:val="0"/>
                <w:sz w:val="24"/>
                <w14:textFill>
                  <w14:solidFill>
                    <w14:schemeClr w14:val="tx1"/>
                  </w14:solidFill>
                </w14:textFill>
              </w:rPr>
              <w:t>投标文件组成：详见本文件“二、投标须知”第21项要求。</w:t>
            </w:r>
          </w:p>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5.2</w:t>
            </w:r>
            <w:r>
              <w:rPr>
                <w:rFonts w:hint="eastAsia" w:ascii="仿宋" w:hAnsi="仿宋" w:eastAsia="仿宋" w:cs="仿宋"/>
                <w:b/>
                <w:bCs/>
                <w:color w:val="000000" w:themeColor="text1"/>
                <w:kern w:val="0"/>
                <w:sz w:val="24"/>
                <w14:textFill>
                  <w14:solidFill>
                    <w14:schemeClr w14:val="tx1"/>
                  </w14:solidFill>
                </w14:textFill>
              </w:rPr>
              <w:t>投标文件份数</w:t>
            </w:r>
          </w:p>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5.2.1</w:t>
            </w:r>
            <w:r>
              <w:rPr>
                <w:rFonts w:hint="eastAsia" w:ascii="仿宋" w:hAnsi="仿宋" w:eastAsia="仿宋" w:cs="仿宋"/>
                <w:b/>
                <w:bCs/>
                <w:color w:val="000000" w:themeColor="text1"/>
                <w:spacing w:val="-10"/>
                <w:kern w:val="0"/>
                <w:sz w:val="24"/>
                <w14:textFill>
                  <w14:solidFill>
                    <w14:schemeClr w14:val="tx1"/>
                  </w14:solidFill>
                </w14:textFill>
              </w:rPr>
              <w:t>加密的电子投标文件</w:t>
            </w:r>
            <w:r>
              <w:rPr>
                <w:rFonts w:hint="eastAsia" w:ascii="仿宋" w:hAnsi="仿宋" w:eastAsia="仿宋" w:cs="仿宋"/>
                <w:bCs/>
                <w:color w:val="000000" w:themeColor="text1"/>
                <w:spacing w:val="-10"/>
                <w:kern w:val="0"/>
                <w:sz w:val="24"/>
                <w14:textFill>
                  <w14:solidFill>
                    <w14:schemeClr w14:val="tx1"/>
                  </w14:solidFill>
                </w14:textFill>
              </w:rPr>
              <w:t>在投标截止时间前通过CA在政采云平台上传，</w:t>
            </w:r>
            <w:r>
              <w:rPr>
                <w:rFonts w:hint="eastAsia" w:ascii="仿宋" w:hAnsi="仿宋" w:eastAsia="仿宋" w:cs="仿宋"/>
                <w:bCs/>
                <w:color w:val="000000" w:themeColor="text1"/>
                <w:kern w:val="0"/>
                <w:sz w:val="24"/>
                <w14:textFill>
                  <w14:solidFill>
                    <w14:schemeClr w14:val="tx1"/>
                  </w14:solidFill>
                </w14:textFill>
              </w:rPr>
              <w:t>加密的电子投标文件为使用</w:t>
            </w:r>
            <w:r>
              <w:rPr>
                <w:rFonts w:hint="eastAsia" w:ascii="仿宋" w:hAnsi="仿宋" w:eastAsia="仿宋" w:cs="仿宋"/>
                <w:color w:val="000000" w:themeColor="text1"/>
                <w:sz w:val="24"/>
                <w14:textFill>
                  <w14:solidFill>
                    <w14:schemeClr w14:val="tx1"/>
                  </w14:solidFill>
                </w14:textFill>
              </w:rPr>
              <w:t>政采云电子投标客户端制</w:t>
            </w:r>
            <w:r>
              <w:rPr>
                <w:rFonts w:hint="eastAsia" w:ascii="仿宋" w:hAnsi="仿宋" w:eastAsia="仿宋" w:cs="仿宋"/>
                <w:bCs/>
                <w:color w:val="000000" w:themeColor="text1"/>
                <w:kern w:val="0"/>
                <w:sz w:val="24"/>
                <w14:textFill>
                  <w14:solidFill>
                    <w14:schemeClr w14:val="tx1"/>
                  </w14:solidFill>
                </w14:textFill>
              </w:rPr>
              <w:t>作生成的加密版投标文件。</w:t>
            </w:r>
            <w:r>
              <w:rPr>
                <w:rFonts w:hint="eastAsia" w:ascii="仿宋" w:hAnsi="仿宋" w:eastAsia="仿宋" w:cs="仿宋"/>
                <w:b/>
                <w:bCs/>
                <w:color w:val="000000" w:themeColor="text1"/>
                <w:kern w:val="0"/>
                <w:sz w:val="24"/>
                <w14:textFill>
                  <w14:solidFill>
                    <w14:schemeClr w14:val="tx1"/>
                  </w14:solidFill>
                </w14:textFill>
              </w:rPr>
              <w:t>供应商未按上述要求提供加密的电子投标文件的，将导致投标无效。</w:t>
            </w:r>
          </w:p>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5.2.2</w:t>
            </w:r>
            <w:r>
              <w:rPr>
                <w:rFonts w:hint="eastAsia" w:ascii="仿宋" w:hAnsi="仿宋" w:eastAsia="仿宋" w:cs="仿宋"/>
                <w:b/>
                <w:bCs/>
                <w:color w:val="000000" w:themeColor="text1"/>
                <w:kern w:val="0"/>
                <w:sz w:val="24"/>
                <w14:textFill>
                  <w14:solidFill>
                    <w14:schemeClr w14:val="tx1"/>
                  </w14:solidFill>
                </w14:textFill>
              </w:rPr>
              <w:t>未加密的纸质版投标文件</w:t>
            </w:r>
            <w:r>
              <w:rPr>
                <w:rFonts w:hint="eastAsia" w:ascii="仿宋" w:hAnsi="仿宋" w:eastAsia="仿宋" w:cs="仿宋"/>
                <w:b/>
                <w:color w:val="000000" w:themeColor="text1"/>
                <w:sz w:val="24"/>
                <w14:textFill>
                  <w14:solidFill>
                    <w14:schemeClr w14:val="tx1"/>
                  </w14:solidFill>
                </w14:textFill>
              </w:rPr>
              <w:t>须在本项目中标通知书发出后3个工作日内提供</w:t>
            </w:r>
            <w:r>
              <w:rPr>
                <w:rFonts w:hint="eastAsia" w:ascii="仿宋" w:hAnsi="仿宋" w:eastAsia="仿宋" w:cs="仿宋"/>
                <w:b/>
                <w:bCs/>
                <w:color w:val="000000" w:themeColor="text1"/>
                <w:kern w:val="0"/>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中标单位须提供</w:t>
            </w:r>
            <w:r>
              <w:rPr>
                <w:rFonts w:hint="eastAsia" w:ascii="仿宋" w:hAnsi="仿宋" w:eastAsia="仿宋" w:cs="仿宋"/>
                <w:b/>
                <w:bCs/>
                <w:color w:val="000000" w:themeColor="text1"/>
                <w:kern w:val="0"/>
                <w:sz w:val="24"/>
                <w14:textFill>
                  <w14:solidFill>
                    <w14:schemeClr w14:val="tx1"/>
                  </w14:solidFill>
                </w14:textFill>
              </w:rPr>
              <w:t>纸质版投标文件正本</w:t>
            </w:r>
            <w:r>
              <w:rPr>
                <w:rFonts w:hint="eastAsia" w:ascii="仿宋" w:hAnsi="仿宋" w:eastAsia="仿宋" w:cs="仿宋"/>
                <w:b/>
                <w:bCs/>
                <w:color w:val="000000" w:themeColor="text1"/>
                <w:kern w:val="0"/>
                <w:sz w:val="24"/>
                <w:u w:val="single"/>
                <w14:textFill>
                  <w14:solidFill>
                    <w14:schemeClr w14:val="tx1"/>
                  </w14:solidFill>
                </w14:textFill>
              </w:rPr>
              <w:t xml:space="preserve"> 1 </w:t>
            </w:r>
            <w:r>
              <w:rPr>
                <w:rFonts w:hint="eastAsia" w:ascii="仿宋" w:hAnsi="仿宋" w:eastAsia="仿宋" w:cs="仿宋"/>
                <w:b/>
                <w:bCs/>
                <w:color w:val="000000" w:themeColor="text1"/>
                <w:kern w:val="0"/>
                <w:sz w:val="24"/>
                <w14:textFill>
                  <w14:solidFill>
                    <w14:schemeClr w14:val="tx1"/>
                  </w14:solidFill>
                </w14:textFill>
              </w:rPr>
              <w:t>份，副本</w:t>
            </w:r>
            <w:r>
              <w:rPr>
                <w:rFonts w:hint="eastAsia" w:ascii="仿宋" w:hAnsi="仿宋" w:eastAsia="仿宋" w:cs="仿宋"/>
                <w:b/>
                <w:bCs/>
                <w:color w:val="000000" w:themeColor="text1"/>
                <w:kern w:val="0"/>
                <w:sz w:val="24"/>
                <w:u w:val="single"/>
                <w14:textFill>
                  <w14:solidFill>
                    <w14:schemeClr w14:val="tx1"/>
                  </w14:solidFill>
                </w14:textFill>
              </w:rPr>
              <w:t>2</w:t>
            </w:r>
            <w:r>
              <w:rPr>
                <w:rFonts w:hint="eastAsia" w:ascii="仿宋" w:hAnsi="仿宋" w:eastAsia="仿宋" w:cs="仿宋"/>
                <w:b/>
                <w:bCs/>
                <w:color w:val="000000" w:themeColor="text1"/>
                <w:kern w:val="0"/>
                <w:sz w:val="24"/>
                <w14:textFill>
                  <w14:solidFill>
                    <w14:schemeClr w14:val="tx1"/>
                  </w14:solidFill>
                </w14:textFill>
              </w:rPr>
              <w:t>份；</w:t>
            </w:r>
            <w:r>
              <w:rPr>
                <w:rFonts w:hint="eastAsia" w:ascii="仿宋" w:hAnsi="仿宋" w:eastAsia="仿宋" w:cs="仿宋"/>
                <w:b/>
                <w:color w:val="000000" w:themeColor="text1"/>
                <w:sz w:val="24"/>
                <w14:textFill>
                  <w14:solidFill>
                    <w14:schemeClr w14:val="tx1"/>
                  </w14:solidFill>
                </w14:textFill>
              </w:rPr>
              <w:t>落标单位须提供</w:t>
            </w:r>
            <w:r>
              <w:rPr>
                <w:rFonts w:hint="eastAsia" w:ascii="仿宋" w:hAnsi="仿宋" w:eastAsia="仿宋" w:cs="仿宋"/>
                <w:b/>
                <w:bCs/>
                <w:color w:val="000000" w:themeColor="text1"/>
                <w:kern w:val="0"/>
                <w:sz w:val="24"/>
                <w14:textFill>
                  <w14:solidFill>
                    <w14:schemeClr w14:val="tx1"/>
                  </w14:solidFill>
                </w14:textFill>
              </w:rPr>
              <w:t>纸质版投标文件正本</w:t>
            </w:r>
            <w:r>
              <w:rPr>
                <w:rFonts w:hint="eastAsia" w:ascii="仿宋" w:hAnsi="仿宋" w:eastAsia="仿宋" w:cs="仿宋"/>
                <w:b/>
                <w:bCs/>
                <w:color w:val="000000" w:themeColor="text1"/>
                <w:kern w:val="0"/>
                <w:sz w:val="24"/>
                <w:u w:val="single"/>
                <w14:textFill>
                  <w14:solidFill>
                    <w14:schemeClr w14:val="tx1"/>
                  </w14:solidFill>
                </w14:textFill>
              </w:rPr>
              <w:t xml:space="preserve"> 1 </w:t>
            </w:r>
            <w:r>
              <w:rPr>
                <w:rFonts w:hint="eastAsia" w:ascii="仿宋" w:hAnsi="仿宋" w:eastAsia="仿宋" w:cs="仿宋"/>
                <w:b/>
                <w:bCs/>
                <w:color w:val="000000" w:themeColor="text1"/>
                <w:kern w:val="0"/>
                <w:sz w:val="24"/>
                <w14:textFill>
                  <w14:solidFill>
                    <w14:schemeClr w14:val="tx1"/>
                  </w14:solidFill>
                </w14:textFill>
              </w:rPr>
              <w:t>份。</w:t>
            </w:r>
          </w:p>
          <w:p>
            <w:pPr>
              <w:shd w:val="clear" w:color="auto" w:fill="FFFFFF"/>
              <w:autoSpaceDE w:val="0"/>
              <w:autoSpaceDN w:val="0"/>
              <w:spacing w:line="36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w:t>
            </w:r>
          </w:p>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bCs/>
                <w:color w:val="000000" w:themeColor="text1"/>
                <w:kern w:val="0"/>
                <w:sz w:val="24"/>
                <w14:textFill>
                  <w14:solidFill>
                    <w14:schemeClr w14:val="tx1"/>
                  </w14:solidFill>
                </w14:textFill>
              </w:rPr>
              <w:t>）未加密的纸质版投标文件应与加密的电子投标文件内容一致。</w:t>
            </w:r>
          </w:p>
          <w:p>
            <w:pPr>
              <w:shd w:val="clear" w:color="auto" w:fill="FFFFFF"/>
              <w:autoSpaceDE w:val="0"/>
              <w:autoSpaceDN w:val="0"/>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（2）纸质版投标文件递交或邮寄至：乌鲁木齐市沙依巴克区长江路76号兴乐世贸广场29楼 业务二部，郭克栋19999129722。</w:t>
            </w:r>
          </w:p>
          <w:p>
            <w:pPr>
              <w:shd w:val="clear" w:color="auto" w:fill="FFFFFF"/>
              <w:autoSpaceDE w:val="0"/>
              <w:autoSpaceDN w:val="0"/>
              <w:spacing w:line="360" w:lineRule="exact"/>
              <w:rPr>
                <w:rFonts w:ascii="仿宋" w:hAnsi="仿宋" w:eastAsia="仿宋"/>
                <w:b/>
                <w:bCs/>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b/>
                <w:bCs/>
                <w:color w:val="000000" w:themeColor="text1"/>
                <w:kern w:val="0"/>
                <w:sz w:val="24"/>
                <w14:textFill>
                  <w14:solidFill>
                    <w14:schemeClr w14:val="tx1"/>
                  </w14:solidFill>
                </w14:textFill>
              </w:rPr>
              <w:t>供应商应按上述要求提供未加密的纸质版投标文件。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投标文件递交截止时间</w:t>
            </w:r>
          </w:p>
        </w:tc>
        <w:tc>
          <w:tcPr>
            <w:tcW w:w="7218" w:type="dxa"/>
            <w:vAlign w:val="center"/>
          </w:tcPr>
          <w:p>
            <w:pPr>
              <w:shd w:val="clear" w:color="auto" w:fill="FFFFFF"/>
              <w:autoSpaceDE w:val="0"/>
              <w:autoSpaceDN w:val="0"/>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2024年04月19日 11:30（北京时间）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投标有效期限</w:t>
            </w:r>
          </w:p>
        </w:tc>
        <w:tc>
          <w:tcPr>
            <w:tcW w:w="7218" w:type="dxa"/>
            <w:vAlign w:val="center"/>
          </w:tcPr>
          <w:p>
            <w:pPr>
              <w:shd w:val="clear" w:color="auto" w:fill="FFFFFF"/>
              <w:autoSpaceDE w:val="0"/>
              <w:autoSpaceDN w:val="0"/>
              <w:spacing w:line="360" w:lineRule="exact"/>
              <w:rPr>
                <w:rFonts w:hint="eastAsia"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自投标截止之日起90个日历日</w:t>
            </w:r>
          </w:p>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（实质性条款，出现负偏离，投标无效。）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投标文件递交地点</w:t>
            </w:r>
          </w:p>
        </w:tc>
        <w:tc>
          <w:tcPr>
            <w:tcW w:w="7218" w:type="dxa"/>
            <w:vAlign w:val="center"/>
          </w:tcPr>
          <w:p>
            <w:pPr>
              <w:widowControl/>
              <w:shd w:val="clear" w:color="auto" w:fill="FFFFFF"/>
              <w:spacing w:line="360" w:lineRule="exact"/>
              <w:jc w:val="left"/>
              <w:rPr>
                <w:rFonts w:ascii="仿宋" w:hAnsi="仿宋" w:eastAsia="仿宋" w:cs="仿宋"/>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本项目采用不见面开标，加密的电子投标文件须在投标截止时间前通过CA在政采云平台上传。</w:t>
            </w:r>
          </w:p>
          <w:p>
            <w:pPr>
              <w:widowControl/>
              <w:shd w:val="clear" w:color="auto" w:fill="FFFFFF"/>
              <w:spacing w:line="360" w:lineRule="exact"/>
              <w:jc w:val="left"/>
              <w:rPr>
                <w:rFonts w:ascii="仿宋" w:hAnsi="仿宋" w:eastAsia="仿宋"/>
                <w:bCs/>
                <w:color w:val="000000" w:themeColor="text1"/>
                <w:spacing w:val="-10"/>
                <w:kern w:val="0"/>
                <w:sz w:val="24"/>
                <w14:textFill>
                  <w14:solidFill>
                    <w14:schemeClr w14:val="tx1"/>
                  </w14:solidFill>
                </w14:textFill>
              </w:rPr>
            </w:pPr>
            <w:r>
              <w:rPr>
                <w:rFonts w:hint="eastAsia" w:ascii="仿宋" w:hAnsi="仿宋" w:eastAsia="仿宋" w:cs="仿宋"/>
                <w:color w:val="000000" w:themeColor="text1"/>
                <w:spacing w:val="-10"/>
                <w:kern w:val="0"/>
                <w:sz w:val="24"/>
                <w14:textFill>
                  <w14:solidFill>
                    <w14:schemeClr w14:val="tx1"/>
                  </w14:solidFill>
                </w14:textFill>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开标时间、开标地点</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开标时间：2024年04月19日 11:30（北京时间）</w:t>
            </w:r>
          </w:p>
          <w:p>
            <w:pPr>
              <w:shd w:val="clear" w:color="auto" w:fill="FFFFFF"/>
              <w:autoSpaceDE w:val="0"/>
              <w:autoSpaceDN w:val="0"/>
              <w:spacing w:line="36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开标地点：</w:t>
            </w:r>
            <w:r>
              <w:rPr>
                <w:rFonts w:hint="eastAsia" w:ascii="仿宋" w:hAnsi="仿宋" w:eastAsia="仿宋" w:cs="仿宋"/>
                <w:color w:val="000000" w:themeColor="text1"/>
                <w:sz w:val="24"/>
                <w14:textFill>
                  <w14:solidFill>
                    <w14:schemeClr w14:val="tx1"/>
                  </w14:solidFill>
                </w14:textFill>
              </w:rPr>
              <w:t>政采云开标大厅（</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Style w:val="69"/>
                <w:rFonts w:hint="eastAsia" w:ascii="仿宋" w:hAnsi="仿宋" w:eastAsia="仿宋" w:cs="仿宋"/>
                <w:color w:val="000000" w:themeColor="text1"/>
                <w:sz w:val="24"/>
                <w14:textFill>
                  <w14:solidFill>
                    <w14:schemeClr w14:val="tx1"/>
                  </w14:solidFill>
                </w14:textFill>
              </w:rPr>
              <w:t>https://www.zcygov.cn</w:t>
            </w:r>
            <w:r>
              <w:rPr>
                <w:rStyle w:val="69"/>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p>
            <w:pPr>
              <w:shd w:val="clear" w:color="auto" w:fill="FFFFFF"/>
              <w:autoSpaceDE w:val="0"/>
              <w:autoSpaceDN w:val="0"/>
              <w:spacing w:line="360" w:lineRule="exact"/>
              <w:rPr>
                <w:rFonts w:ascii="仿宋" w:hAnsi="仿宋" w:eastAsia="仿宋" w:cs="仿宋"/>
                <w:b/>
                <w:bCs/>
                <w:color w:val="000000" w:themeColor="text1"/>
                <w:kern w:val="0"/>
                <w:sz w:val="24"/>
                <w:u w:val="single"/>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本项目采用</w:t>
            </w:r>
            <w:r>
              <w:rPr>
                <w:rFonts w:hint="eastAsia" w:ascii="仿宋" w:hAnsi="仿宋" w:eastAsia="仿宋" w:cs="仿宋"/>
                <w:b/>
                <w:bCs/>
                <w:color w:val="000000" w:themeColor="text1"/>
                <w:kern w:val="0"/>
                <w:sz w:val="24"/>
                <w:u w:val="single"/>
                <w14:textFill>
                  <w14:solidFill>
                    <w14:schemeClr w14:val="tx1"/>
                  </w14:solidFill>
                </w14:textFill>
              </w:rPr>
              <w:t xml:space="preserve">  不见面开标  </w:t>
            </w:r>
          </w:p>
          <w:p>
            <w:pPr>
              <w:widowControl/>
              <w:shd w:val="clear" w:color="auto" w:fill="FFFFFF"/>
              <w:spacing w:line="360" w:lineRule="exact"/>
              <w:jc w:val="lef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注：（1）供应商远程参与开标，并在规定的时间内完成对投标文件远程解密及报价确认，</w:t>
            </w:r>
            <w:r>
              <w:rPr>
                <w:rFonts w:hint="eastAsia" w:ascii="仿宋" w:hAnsi="仿宋" w:eastAsia="仿宋" w:cs="仿宋"/>
                <w:b/>
                <w:bCs/>
                <w:color w:val="000000" w:themeColor="text1"/>
                <w:kern w:val="0"/>
                <w:sz w:val="24"/>
                <w14:textFill>
                  <w14:solidFill>
                    <w14:schemeClr w14:val="tx1"/>
                  </w14:solidFill>
                </w14:textFill>
              </w:rPr>
              <w:t>本项目供应商解密时长：30分钟，因供应商自身原因导致解密或报价确认失败，投标无效。</w:t>
            </w:r>
          </w:p>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（2）因网上招标系统故障导致所有供应商均解密失败时，由采购人或采购代理机构现场请示项目主管部门处理。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评标办法</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11</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投标保证金</w:t>
            </w:r>
          </w:p>
        </w:tc>
        <w:tc>
          <w:tcPr>
            <w:tcW w:w="7218" w:type="dxa"/>
            <w:vAlign w:val="center"/>
          </w:tcPr>
          <w:p>
            <w:pPr>
              <w:pStyle w:val="86"/>
              <w:shd w:val="clear" w:color="auto" w:fill="FFFFFF"/>
              <w:spacing w:line="360" w:lineRule="exact"/>
              <w:ind w:firstLine="0" w:firstLineChars="0"/>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kern w:val="0"/>
                <w:sz w:val="24"/>
                <w:szCs w:val="24"/>
                <w14:textFill>
                  <w14:solidFill>
                    <w14:schemeClr w14:val="tx1"/>
                  </w14:solidFill>
                </w14:textFill>
              </w:rPr>
              <w:t>金额：</w:t>
            </w:r>
            <w:r>
              <w:rPr>
                <w:rFonts w:hint="eastAsia" w:ascii="仿宋" w:hAnsi="仿宋" w:eastAsia="仿宋"/>
                <w:bCs/>
                <w:color w:val="000000" w:themeColor="text1"/>
                <w:sz w:val="24"/>
                <w:szCs w:val="24"/>
                <w14:textFill>
                  <w14:solidFill>
                    <w14:schemeClr w14:val="tx1"/>
                  </w14:solidFill>
                </w14:textFill>
              </w:rPr>
              <w:t>35500.00元（叁万伍仟伍佰元）</w:t>
            </w:r>
          </w:p>
          <w:p>
            <w:pPr>
              <w:shd w:val="clear" w:color="auto" w:fill="FFFFFF"/>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Arial"/>
                <w:bCs/>
                <w:color w:val="000000" w:themeColor="text1"/>
                <w:sz w:val="24"/>
                <w14:textFill>
                  <w14:solidFill>
                    <w14:schemeClr w14:val="tx1"/>
                  </w14:solidFill>
                </w14:textFill>
              </w:rPr>
              <w:t>供应商应于</w:t>
            </w:r>
            <w:r>
              <w:rPr>
                <w:rFonts w:hint="eastAsia" w:ascii="仿宋" w:hAnsi="仿宋" w:eastAsia="仿宋" w:cs="宋体"/>
                <w:color w:val="000000" w:themeColor="text1"/>
                <w:sz w:val="24"/>
                <w14:textFill>
                  <w14:solidFill>
                    <w14:schemeClr w14:val="tx1"/>
                  </w14:solidFill>
                </w14:textFill>
              </w:rPr>
              <w:t>2024年04月19日 11:30（北京时间）</w:t>
            </w:r>
            <w:r>
              <w:rPr>
                <w:rFonts w:hint="eastAsia" w:ascii="仿宋" w:hAnsi="仿宋" w:eastAsia="仿宋" w:cs="Arial"/>
                <w:bCs/>
                <w:color w:val="000000" w:themeColor="text1"/>
                <w:sz w:val="24"/>
                <w14:textFill>
                  <w14:solidFill>
                    <w14:schemeClr w14:val="tx1"/>
                  </w14:solidFill>
                </w14:textFill>
              </w:rPr>
              <w:t>前</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
                <w:bCs/>
                <w:color w:val="000000" w:themeColor="text1"/>
                <w:kern w:val="0"/>
                <w:sz w:val="24"/>
                <w14:textFill>
                  <w14:solidFill>
                    <w14:schemeClr w14:val="tx1"/>
                  </w14:solidFill>
                </w14:textFill>
              </w:rPr>
              <w:t>将投标保证金以支票、汇票、本票、电汇、网银支付或者金融机构、担保机构出具的保函等非现金形式缴纳。</w:t>
            </w:r>
          </w:p>
          <w:p>
            <w:pPr>
              <w:shd w:val="clear" w:color="auto" w:fill="FFFFFF"/>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账户名称：新疆品创项目管理咨询有限公司</w:t>
            </w:r>
          </w:p>
          <w:p>
            <w:pPr>
              <w:shd w:val="clear" w:color="auto" w:fill="FFFFFF"/>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开户银行：中国银行股份有限公司乌鲁木齐市安居南路支行</w:t>
            </w:r>
          </w:p>
          <w:p>
            <w:pPr>
              <w:shd w:val="clear" w:color="auto" w:fill="FFFFFF"/>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账号：107685372797</w:t>
            </w:r>
          </w:p>
          <w:p>
            <w:pPr>
              <w:shd w:val="clear" w:color="auto" w:fill="FFFFFF"/>
              <w:spacing w:line="36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行号：104881005046</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注：1、如果发现供应商有围标、串标行为，其投标无效，且投标保证金将被没收，不予退还；</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2、投标保证金未按规定时间缴纳或提交金额不足的，其投标将被否决，供应商应充分考虑资金在途时间；</w:t>
            </w:r>
          </w:p>
          <w:p>
            <w:pPr>
              <w:pStyle w:val="86"/>
              <w:shd w:val="clear" w:color="auto" w:fill="FFFFFF"/>
              <w:spacing w:line="360" w:lineRule="exact"/>
              <w:ind w:firstLine="0" w:firstLineChars="0"/>
              <w:rPr>
                <w:rFonts w:ascii="仿宋" w:hAnsi="仿宋" w:eastAsia="仿宋" w:cs="Times New Roman"/>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3、供应商向代理机构账户缴纳投标保证金时，须备注“一部</w:t>
            </w:r>
            <w:r>
              <w:rPr>
                <w:rFonts w:hint="eastAsia" w:ascii="仿宋" w:hAnsi="仿宋" w:eastAsia="仿宋" w:cs="仿宋"/>
                <w:b/>
                <w:color w:val="000000" w:themeColor="text1"/>
                <w:sz w:val="24"/>
                <w:szCs w:val="24"/>
                <w14:textFill>
                  <w14:solidFill>
                    <w14:schemeClr w14:val="tx1"/>
                  </w14:solidFill>
                </w14:textFill>
              </w:rPr>
              <w:t>027</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12</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采购文件售价</w:t>
            </w:r>
          </w:p>
        </w:tc>
        <w:tc>
          <w:tcPr>
            <w:tcW w:w="7218" w:type="dxa"/>
            <w:vAlign w:val="center"/>
          </w:tcPr>
          <w:p>
            <w:pPr>
              <w:shd w:val="clear" w:color="auto" w:fill="FFFFFF"/>
              <w:autoSpaceDE w:val="0"/>
              <w:autoSpaceDN w:val="0"/>
              <w:spacing w:line="36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政采云平台免费下载。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13</w:t>
            </w:r>
          </w:p>
        </w:tc>
        <w:tc>
          <w:tcPr>
            <w:tcW w:w="1993" w:type="dxa"/>
            <w:gridSpan w:val="2"/>
            <w:vAlign w:val="center"/>
          </w:tcPr>
          <w:p>
            <w:pPr>
              <w:pStyle w:val="86"/>
              <w:shd w:val="clear" w:color="auto" w:fill="FFFFFF"/>
              <w:spacing w:line="360" w:lineRule="exact"/>
              <w:ind w:firstLine="0" w:firstLineChars="0"/>
              <w:jc w:val="center"/>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Times New Roman"/>
                <w:bCs/>
                <w:color w:val="000000" w:themeColor="text1"/>
                <w:kern w:val="0"/>
                <w:sz w:val="24"/>
                <w:szCs w:val="24"/>
                <w14:textFill>
                  <w14:solidFill>
                    <w14:schemeClr w14:val="tx1"/>
                  </w14:solidFill>
                </w14:textFill>
              </w:rPr>
              <w:t>对采购文件的质疑</w:t>
            </w:r>
          </w:p>
        </w:tc>
        <w:tc>
          <w:tcPr>
            <w:tcW w:w="7218" w:type="dxa"/>
            <w:vAlign w:val="center"/>
          </w:tcPr>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供应商如需对招标文件内容质疑，须按以下要求提出：</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①供应商应在法定质疑期内（即从获取本项目招标文件起7个工作日内）一次性提出所有质疑内容。</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②质疑函应以书面形式（详见 投标须知 第14.1款）通知采购代理机构，采购代理机构将在收到质疑函后7个工作日内作出答复，并以书面形式通知质疑供应商。</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③联系部门：新疆品创项目管理咨询有限公司 业务一部  郭克栋</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④联系电话：0991-5221788</w:t>
            </w:r>
          </w:p>
          <w:p>
            <w:pPr>
              <w:pStyle w:val="86"/>
              <w:shd w:val="clear" w:color="auto" w:fill="FFFFFF"/>
              <w:spacing w:line="360" w:lineRule="exact"/>
              <w:ind w:firstLine="0" w:firstLineChars="0"/>
              <w:rPr>
                <w:rFonts w:ascii="仿宋" w:hAnsi="仿宋" w:eastAsia="仿宋" w:cs="Times New Roman"/>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⑤通讯地址：新疆乌鲁木齐市沙依巴克区长江路76号兴乐世贸广场29楼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14</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履约保证金</w:t>
            </w:r>
          </w:p>
        </w:tc>
        <w:tc>
          <w:tcPr>
            <w:tcW w:w="7218" w:type="dxa"/>
            <w:vAlign w:val="center"/>
          </w:tcPr>
          <w:p>
            <w:pPr>
              <w:pStyle w:val="86"/>
              <w:shd w:val="clear" w:color="auto" w:fill="FFFFFF"/>
              <w:spacing w:line="360" w:lineRule="exact"/>
              <w:ind w:firstLine="0" w:firstLineChars="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15</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交付时间</w:t>
            </w:r>
          </w:p>
        </w:tc>
        <w:tc>
          <w:tcPr>
            <w:tcW w:w="7218" w:type="dxa"/>
            <w:vAlign w:val="center"/>
          </w:tcPr>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合同签订生效后60个日历日内</w:t>
            </w:r>
            <w:r>
              <w:rPr>
                <w:rFonts w:hint="eastAsia" w:ascii="仿宋" w:hAnsi="仿宋" w:eastAsia="仿宋" w:cs="仿宋"/>
                <w:bCs/>
                <w:color w:val="000000" w:themeColor="text1"/>
                <w:sz w:val="24"/>
                <w:szCs w:val="24"/>
                <w:lang w:eastAsia="zh-CN"/>
                <w14:textFill>
                  <w14:solidFill>
                    <w14:schemeClr w14:val="tx1"/>
                  </w14:solidFill>
                </w14:textFill>
              </w:rPr>
              <w:t>，</w:t>
            </w:r>
            <w:r>
              <w:rPr>
                <w:rFonts w:ascii="仿宋" w:hAnsi="仿宋" w:eastAsia="仿宋" w:cs="仿宋"/>
                <w:i w:val="0"/>
                <w:iCs w:val="0"/>
                <w:caps w:val="0"/>
                <w:color w:val="000000"/>
                <w:spacing w:val="0"/>
                <w:sz w:val="27"/>
                <w:szCs w:val="27"/>
              </w:rPr>
              <w:t>7天内组织验收。</w:t>
            </w:r>
          </w:p>
          <w:p>
            <w:pPr>
              <w:pStyle w:val="86"/>
              <w:shd w:val="clear" w:color="auto" w:fill="FFFFFF"/>
              <w:spacing w:line="360" w:lineRule="exact"/>
              <w:ind w:firstLine="0" w:firstLineChars="0"/>
              <w:rPr>
                <w:rFonts w:ascii="仿宋" w:hAnsi="仿宋" w:eastAsia="仿宋"/>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（实质性条款，出现负偏离，投标无效。）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p>
        </w:tc>
        <w:tc>
          <w:tcPr>
            <w:tcW w:w="1993" w:type="dxa"/>
            <w:gridSpan w:val="2"/>
            <w:vAlign w:val="center"/>
          </w:tcPr>
          <w:p>
            <w:pPr>
              <w:pStyle w:val="86"/>
              <w:shd w:val="clear" w:color="auto" w:fill="FFFFFF"/>
              <w:spacing w:line="360" w:lineRule="exact"/>
              <w:ind w:firstLine="0" w:firstLineChars="0"/>
              <w:jc w:val="center"/>
              <w:rPr>
                <w:rFonts w:ascii="仿宋" w:hAnsi="仿宋" w:eastAsia="仿宋" w:cs="Calibri"/>
                <w:bCs/>
                <w:color w:val="000000" w:themeColor="text1"/>
                <w:kern w:val="0"/>
                <w:sz w:val="24"/>
                <w:szCs w:val="24"/>
                <w14:textFill>
                  <w14:solidFill>
                    <w14:schemeClr w14:val="tx1"/>
                  </w14:solidFill>
                </w14:textFill>
              </w:rPr>
            </w:pPr>
            <w:r>
              <w:rPr>
                <w:rFonts w:hint="eastAsia" w:ascii="仿宋" w:hAnsi="仿宋" w:eastAsia="仿宋" w:cs="Calibri"/>
                <w:bCs/>
                <w:color w:val="000000" w:themeColor="text1"/>
                <w:kern w:val="0"/>
                <w:sz w:val="24"/>
                <w:szCs w:val="24"/>
                <w14:textFill>
                  <w14:solidFill>
                    <w14:schemeClr w14:val="tx1"/>
                  </w14:solidFill>
                </w14:textFill>
              </w:rPr>
              <w:t>交货地点</w:t>
            </w:r>
          </w:p>
        </w:tc>
        <w:tc>
          <w:tcPr>
            <w:tcW w:w="7218" w:type="dxa"/>
            <w:vAlign w:val="center"/>
          </w:tcPr>
          <w:p>
            <w:pPr>
              <w:pStyle w:val="86"/>
              <w:shd w:val="clear" w:color="auto" w:fill="FFFFFF"/>
              <w:spacing w:line="360" w:lineRule="exact"/>
              <w:ind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吉木萨尔县人民医院（具体为买方指定院内地点）。</w:t>
            </w:r>
          </w:p>
          <w:p>
            <w:pPr>
              <w:pStyle w:val="86"/>
              <w:shd w:val="clear" w:color="auto" w:fill="FFFFFF"/>
              <w:spacing w:line="360" w:lineRule="exact"/>
              <w:ind w:firstLine="0" w:firstLineChars="0"/>
              <w:rPr>
                <w:rFonts w:ascii="仿宋" w:hAnsi="仿宋" w:eastAsia="仿宋" w:cs="Calibri"/>
                <w:bCs/>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（实质性条款，出现负偏离，投标无效。）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16</w:t>
            </w:r>
          </w:p>
        </w:tc>
        <w:tc>
          <w:tcPr>
            <w:tcW w:w="1993" w:type="dxa"/>
            <w:gridSpan w:val="2"/>
            <w:vAlign w:val="center"/>
          </w:tcPr>
          <w:p>
            <w:pPr>
              <w:pStyle w:val="86"/>
              <w:shd w:val="clear" w:color="auto" w:fill="FFFFFF"/>
              <w:spacing w:line="360" w:lineRule="exact"/>
              <w:ind w:firstLine="0" w:firstLineChars="0"/>
              <w:jc w:val="center"/>
              <w:rPr>
                <w:rFonts w:ascii="仿宋" w:hAnsi="仿宋" w:eastAsia="仿宋" w:cs="Calibri"/>
                <w:bCs/>
                <w:color w:val="000000" w:themeColor="text1"/>
                <w:kern w:val="0"/>
                <w:sz w:val="24"/>
                <w:szCs w:val="24"/>
                <w:highlight w:val="yellow"/>
                <w14:textFill>
                  <w14:solidFill>
                    <w14:schemeClr w14:val="tx1"/>
                  </w14:solidFill>
                </w14:textFill>
              </w:rPr>
            </w:pPr>
            <w:r>
              <w:rPr>
                <w:rFonts w:hint="eastAsia" w:ascii="仿宋" w:hAnsi="仿宋" w:eastAsia="仿宋" w:cs="Calibri"/>
                <w:bCs/>
                <w:color w:val="000000" w:themeColor="text1"/>
                <w:kern w:val="0"/>
                <w:sz w:val="24"/>
                <w:szCs w:val="24"/>
                <w14:textFill>
                  <w14:solidFill>
                    <w14:schemeClr w14:val="tx1"/>
                  </w14:solidFill>
                </w14:textFill>
              </w:rPr>
              <w:t>付款方式</w:t>
            </w:r>
          </w:p>
        </w:tc>
        <w:tc>
          <w:tcPr>
            <w:tcW w:w="7218" w:type="dxa"/>
            <w:vAlign w:val="center"/>
          </w:tcPr>
          <w:p>
            <w:pPr>
              <w:pStyle w:val="308"/>
              <w:snapToGrid w:val="0"/>
              <w:spacing w:line="36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（分期付款）合同签订生效后全部货到甲方指定地点，最终验收合格后支付合同总价的70%,正常使用1年后支付剩余30%（无息）</w:t>
            </w:r>
          </w:p>
          <w:p>
            <w:pPr>
              <w:pStyle w:val="308"/>
              <w:snapToGrid w:val="0"/>
              <w:spacing w:line="360" w:lineRule="exact"/>
              <w:rPr>
                <w:rFonts w:ascii="仿宋" w:hAnsi="仿宋" w:eastAsia="仿宋"/>
                <w:color w:val="000000" w:themeColor="text1"/>
                <w:sz w:val="24"/>
                <w:highlight w:val="yellow"/>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（实质性条款，出现负偏离，投标无效。）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17</w:t>
            </w:r>
          </w:p>
        </w:tc>
        <w:tc>
          <w:tcPr>
            <w:tcW w:w="1993" w:type="dxa"/>
            <w:gridSpan w:val="2"/>
            <w:vAlign w:val="center"/>
          </w:tcPr>
          <w:p>
            <w:pPr>
              <w:shd w:val="clear" w:color="auto" w:fill="FFFFFF"/>
              <w:autoSpaceDE w:val="0"/>
              <w:autoSpaceDN w:val="0"/>
              <w:spacing w:line="360" w:lineRule="exact"/>
              <w:jc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质保期</w:t>
            </w:r>
          </w:p>
        </w:tc>
        <w:tc>
          <w:tcPr>
            <w:tcW w:w="7218" w:type="dxa"/>
            <w:vAlign w:val="center"/>
          </w:tcPr>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项目验收合格后2年。</w:t>
            </w:r>
          </w:p>
          <w:p>
            <w:pPr>
              <w:pStyle w:val="86"/>
              <w:shd w:val="clear" w:color="auto" w:fill="FFFFFF"/>
              <w:spacing w:line="360" w:lineRule="exact"/>
              <w:ind w:firstLine="0" w:firstLineChars="0"/>
              <w:rPr>
                <w:rFonts w:ascii="仿宋" w:hAnsi="仿宋" w:eastAsia="仿宋"/>
                <w:bCs/>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（实质性条款，出现负偏离，投标无效。）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18</w:t>
            </w:r>
          </w:p>
        </w:tc>
        <w:tc>
          <w:tcPr>
            <w:tcW w:w="1993" w:type="dxa"/>
            <w:gridSpan w:val="2"/>
            <w:vAlign w:val="center"/>
          </w:tcPr>
          <w:p>
            <w:pPr>
              <w:shd w:val="clear" w:color="auto" w:fill="FFFFFF"/>
              <w:autoSpaceDE w:val="0"/>
              <w:autoSpaceDN w:val="0"/>
              <w:spacing w:line="360" w:lineRule="exact"/>
              <w:ind w:firstLine="240" w:firstLineChars="100"/>
              <w:rPr>
                <w:rFonts w:ascii="仿宋" w:hAnsi="仿宋" w:eastAsia="仿宋"/>
                <w:bCs/>
                <w:color w:val="000000" w:themeColor="text1"/>
                <w:kern w:val="0"/>
                <w:sz w:val="24"/>
                <w14:textFill>
                  <w14:solidFill>
                    <w14:schemeClr w14:val="tx1"/>
                  </w14:solidFill>
                </w14:textFill>
              </w:rPr>
            </w:pPr>
            <w:r>
              <w:rPr>
                <w:rFonts w:hint="eastAsia" w:ascii="仿宋" w:hAnsi="仿宋" w:eastAsia="仿宋" w:cs="宋体"/>
                <w:color w:val="000000" w:themeColor="text1"/>
                <w:kern w:val="1"/>
                <w:sz w:val="24"/>
                <w14:textFill>
                  <w14:solidFill>
                    <w14:schemeClr w14:val="tx1"/>
                  </w14:solidFill>
                </w14:textFill>
              </w:rPr>
              <w:t>政府采购政策</w:t>
            </w:r>
          </w:p>
        </w:tc>
        <w:tc>
          <w:tcPr>
            <w:tcW w:w="7218" w:type="dxa"/>
            <w:vAlign w:val="center"/>
          </w:tcPr>
          <w:p>
            <w:pPr>
              <w:shd w:val="clear" w:color="auto" w:fill="FFFFFF"/>
              <w:spacing w:line="360" w:lineRule="exac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18.1.</w:t>
            </w:r>
            <w:r>
              <w:rPr>
                <w:rFonts w:hint="eastAsia" w:ascii="仿宋" w:hAnsi="仿宋" w:eastAsia="仿宋" w:cs="宋体"/>
                <w:b/>
                <w:bCs/>
                <w:color w:val="000000" w:themeColor="text1"/>
                <w:sz w:val="24"/>
                <w14:textFill>
                  <w14:solidFill>
                    <w14:schemeClr w14:val="tx1"/>
                  </w14:solidFill>
                </w14:textFill>
              </w:rPr>
              <w:t>本项目专门面向中小企业采购</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18.2.根据工信部等部委发布的《关于印发中小企业划型标准规定的通知》（工信部联企业〔2011〕300号）、财政部、工业和信息化部《政府采购促进中小企业发展管理办法 》（财库[2020]46号文）规定，</w:t>
            </w:r>
            <w:r>
              <w:rPr>
                <w:rFonts w:hint="eastAsia" w:ascii="仿宋" w:hAnsi="仿宋" w:eastAsia="仿宋" w:cs="仿宋"/>
                <w:b/>
                <w:color w:val="000000" w:themeColor="text1"/>
                <w:kern w:val="0"/>
                <w:sz w:val="24"/>
                <w14:textFill>
                  <w14:solidFill>
                    <w14:schemeClr w14:val="tx1"/>
                  </w14:solidFill>
                </w14:textFill>
              </w:rPr>
              <w:t>本次采购标的所属行业为</w:t>
            </w:r>
            <w:r>
              <w:rPr>
                <w:rFonts w:hint="eastAsia" w:ascii="仿宋" w:hAnsi="仿宋" w:eastAsia="仿宋" w:cs="仿宋"/>
                <w:b/>
                <w:color w:val="000000" w:themeColor="text1"/>
                <w:kern w:val="0"/>
                <w:sz w:val="24"/>
                <w:u w:val="single"/>
                <w14:textFill>
                  <w14:solidFill>
                    <w14:schemeClr w14:val="tx1"/>
                  </w14:solidFill>
                </w14:textFill>
              </w:rPr>
              <w:t>工业（制造业）</w:t>
            </w:r>
            <w:r>
              <w:rPr>
                <w:rFonts w:hint="eastAsia" w:ascii="仿宋" w:hAnsi="仿宋" w:eastAsia="仿宋" w:cs="仿宋"/>
                <w:b/>
                <w:color w:val="000000" w:themeColor="text1"/>
                <w:kern w:val="0"/>
                <w:sz w:val="24"/>
                <w14:textFill>
                  <w14:solidFill>
                    <w14:schemeClr w14:val="tx1"/>
                  </w14:solidFill>
                </w14:textFill>
              </w:rPr>
              <w:t>。</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本次投标供应商提供的所有货物均由中小企业制造，即货物由中小企业生产且使用该中小企业商号或者注册商标；供应商提供的货物既有中小企业制造货物，也有大型企业制造货物的，不享受本办法规定的中小企业扶持政策。</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）依据本办法规定享受扶持政策获得政府采购合同的，小微企业不得将合同分包给大中型企业，中型企业不得将合同分包给大型企业。</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）提供由省级以上监狱管理局、戒毒管理局（含新疆生产建设兵团）出具的属于监狱企业证明文件（扫描件）的，视同为小型和微型企业。</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）符合享受政府采购支持政策的残疾人福利性单位条件且提供《残疾人福利性单位声明函》的，视同为小型和微型企业。</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18.3.节能、环境标志产品评审优惠内容及加分幅度：</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严格执行《财政部 发展改革委 生态环境部 市场监管总局关于调整优化节能产品、环境标志产品政府采购执行机制的通知》（财库〔2019〕9 号）。</w:t>
            </w:r>
          </w:p>
          <w:p>
            <w:pPr>
              <w:shd w:val="clear" w:color="auto" w:fill="FFFFFF"/>
              <w:spacing w:line="36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（1）本次采购产品属于政府强制采购产品类别的，须按照要求提供依据国家确定的认证机构出具的、处于有效期之内的节能产品认证证书，</w:t>
            </w:r>
            <w:r>
              <w:rPr>
                <w:rFonts w:hint="eastAsia" w:ascii="仿宋" w:hAnsi="仿宋" w:eastAsia="仿宋" w:cs="仿宋"/>
                <w:b/>
                <w:color w:val="000000" w:themeColor="text1"/>
                <w:kern w:val="0"/>
                <w:sz w:val="24"/>
                <w14:textFill>
                  <w14:solidFill>
                    <w14:schemeClr w14:val="tx1"/>
                  </w14:solidFill>
                </w14:textFill>
              </w:rPr>
              <w:t>否则投标无效</w:t>
            </w:r>
            <w:r>
              <w:rPr>
                <w:rFonts w:hint="eastAsia" w:ascii="仿宋" w:hAnsi="仿宋" w:eastAsia="仿宋" w:cs="仿宋"/>
                <w:color w:val="000000" w:themeColor="text1"/>
                <w:kern w:val="0"/>
                <w:sz w:val="24"/>
                <w14:textFill>
                  <w14:solidFill>
                    <w14:schemeClr w14:val="tx1"/>
                  </w14:solidFill>
                </w14:textFill>
              </w:rPr>
              <w:t>。</w:t>
            </w:r>
          </w:p>
          <w:p>
            <w:pPr>
              <w:pStyle w:val="86"/>
              <w:shd w:val="clear" w:color="auto" w:fill="FFFFFF"/>
              <w:spacing w:line="360" w:lineRule="exact"/>
              <w:ind w:firstLine="0" w:firstLineChars="0"/>
              <w:rPr>
                <w:rFonts w:ascii="仿宋" w:hAnsi="仿宋" w:eastAsia="仿宋" w:cs="宋体"/>
                <w:color w:val="000000" w:themeColor="text1"/>
                <w:kern w:val="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（2）属于政府优先采购产品类别的，须按照要求提供依据国家确定的认证机构出具的、处于有效期之内的节能产品或环境标志产品认证证书，否则不予认定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19</w:t>
            </w:r>
          </w:p>
        </w:tc>
        <w:tc>
          <w:tcPr>
            <w:tcW w:w="1993" w:type="dxa"/>
            <w:gridSpan w:val="2"/>
            <w:vAlign w:val="center"/>
          </w:tcPr>
          <w:p>
            <w:pPr>
              <w:spacing w:line="360" w:lineRule="exact"/>
              <w:jc w:val="center"/>
              <w:rPr>
                <w:rFonts w:ascii="仿宋" w:hAnsi="仿宋" w:eastAsia="仿宋" w:cs="宋体"/>
                <w:color w:val="000000" w:themeColor="text1"/>
                <w:kern w:val="1"/>
                <w:sz w:val="24"/>
                <w14:textFill>
                  <w14:solidFill>
                    <w14:schemeClr w14:val="tx1"/>
                  </w14:solidFill>
                </w14:textFill>
              </w:rPr>
            </w:pPr>
            <w:r>
              <w:rPr>
                <w:rFonts w:hint="eastAsia" w:ascii="仿宋" w:hAnsi="仿宋" w:eastAsia="仿宋" w:cs="宋体"/>
                <w:color w:val="000000" w:themeColor="text1"/>
                <w:kern w:val="1"/>
                <w:sz w:val="24"/>
                <w14:textFill>
                  <w14:solidFill>
                    <w14:schemeClr w14:val="tx1"/>
                  </w14:solidFill>
                </w14:textFill>
              </w:rPr>
              <w:t>其他说明</w:t>
            </w:r>
          </w:p>
        </w:tc>
        <w:tc>
          <w:tcPr>
            <w:tcW w:w="7218" w:type="dxa"/>
            <w:vAlign w:val="center"/>
          </w:tcPr>
          <w:p>
            <w:pPr>
              <w:spacing w:line="360" w:lineRule="exact"/>
              <w:rPr>
                <w:rFonts w:ascii="仿宋" w:hAnsi="仿宋" w:eastAsia="仿宋" w:cs="宋体"/>
                <w:color w:val="000000" w:themeColor="text1"/>
                <w:kern w:val="1"/>
                <w:sz w:val="24"/>
                <w14:textFill>
                  <w14:solidFill>
                    <w14:schemeClr w14:val="tx1"/>
                  </w14:solidFill>
                </w14:textFill>
              </w:rPr>
            </w:pPr>
            <w:r>
              <w:rPr>
                <w:rFonts w:hint="eastAsia" w:ascii="仿宋" w:hAnsi="仿宋" w:eastAsia="仿宋" w:cs="宋体"/>
                <w:color w:val="000000" w:themeColor="text1"/>
                <w:kern w:val="1"/>
                <w:sz w:val="24"/>
                <w14:textFill>
                  <w14:solidFill>
                    <w14:schemeClr w14:val="tx1"/>
                  </w14:solidFill>
                </w14:textFill>
              </w:rPr>
              <w:t>19.1.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360" w:lineRule="exact"/>
              <w:rPr>
                <w:rFonts w:ascii="仿宋" w:hAnsi="仿宋" w:eastAsia="仿宋" w:cs="宋体"/>
                <w:b/>
                <w:color w:val="000000" w:themeColor="text1"/>
                <w:kern w:val="1"/>
                <w:sz w:val="24"/>
                <w14:textFill>
                  <w14:solidFill>
                    <w14:schemeClr w14:val="tx1"/>
                  </w14:solidFill>
                </w14:textFill>
              </w:rPr>
            </w:pPr>
            <w:r>
              <w:rPr>
                <w:rFonts w:hint="eastAsia" w:ascii="仿宋" w:hAnsi="仿宋" w:eastAsia="仿宋" w:cs="宋体"/>
                <w:color w:val="000000" w:themeColor="text1"/>
                <w:kern w:val="1"/>
                <w:sz w:val="24"/>
                <w14:textFill>
                  <w14:solidFill>
                    <w14:schemeClr w14:val="tx1"/>
                  </w14:solidFill>
                </w14:textFill>
              </w:rPr>
              <w:t>19.2.非单一产品采购项目，采购人应当根据采购项目技术构成、产品价格比重等合理确定核心产品，并在招标文件中载明。多家供应商提供的核心产品品牌相同的，按前款规定处理。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w:t>
            </w:r>
          </w:p>
        </w:tc>
        <w:tc>
          <w:tcPr>
            <w:tcW w:w="1993" w:type="dxa"/>
            <w:gridSpan w:val="2"/>
            <w:vAlign w:val="center"/>
          </w:tcPr>
          <w:p>
            <w:pPr>
              <w:shd w:val="clear" w:color="auto" w:fill="FFFFFF"/>
              <w:autoSpaceDE w:val="0"/>
              <w:autoSpaceDN w:val="0"/>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pacing w:val="-16"/>
                <w:kern w:val="24"/>
                <w:sz w:val="24"/>
                <w14:textFill>
                  <w14:solidFill>
                    <w14:schemeClr w14:val="tx1"/>
                  </w14:solidFill>
                </w14:textFill>
              </w:rPr>
              <w:t>招标代理服务费</w:t>
            </w:r>
          </w:p>
        </w:tc>
        <w:tc>
          <w:tcPr>
            <w:tcW w:w="7218" w:type="dxa"/>
            <w:vAlign w:val="center"/>
          </w:tcPr>
          <w:p>
            <w:pPr>
              <w:pStyle w:val="732"/>
              <w:spacing w:line="36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交纳时间：</w:t>
            </w:r>
            <w:r>
              <w:rPr>
                <w:rFonts w:hint="eastAsia" w:ascii="仿宋" w:hAnsi="仿宋" w:eastAsia="仿宋" w:cs="仿宋"/>
                <w:color w:val="000000" w:themeColor="text1"/>
                <w:kern w:val="0"/>
                <w:sz w:val="24"/>
                <w:szCs w:val="24"/>
                <w14:textFill>
                  <w14:solidFill>
                    <w14:schemeClr w14:val="tx1"/>
                  </w14:solidFill>
                </w14:textFill>
              </w:rPr>
              <w:t>中标单位在《中标通知书》核发前一次性交纳。</w:t>
            </w:r>
          </w:p>
          <w:p>
            <w:pPr>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交纳金额：</w:t>
            </w:r>
            <w:r>
              <w:rPr>
                <w:rFonts w:hint="eastAsia" w:ascii="仿宋" w:hAnsi="仿宋" w:eastAsia="仿宋"/>
                <w:color w:val="000000" w:themeColor="text1"/>
                <w:sz w:val="24"/>
                <w14:textFill>
                  <w14:solidFill>
                    <w14:schemeClr w14:val="tx1"/>
                  </w14:solidFill>
                </w14:textFill>
              </w:rPr>
              <w:t>中标金额*1.2%。</w:t>
            </w:r>
          </w:p>
          <w:p>
            <w:pPr>
              <w:pStyle w:val="732"/>
              <w:spacing w:line="36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账户名称：新疆品创项目管理咨询有限公司</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开户银行：中国银行股份有限公司乌鲁木齐市安居南路支行</w:t>
            </w:r>
          </w:p>
          <w:p>
            <w:pPr>
              <w:pStyle w:val="86"/>
              <w:shd w:val="clear" w:color="auto" w:fill="FFFFFF"/>
              <w:spacing w:line="360" w:lineRule="exact"/>
              <w:ind w:firstLine="0" w:firstLineChars="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账号：107685372797</w:t>
            </w:r>
          </w:p>
          <w:p>
            <w:pPr>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行号：104881005046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w:t>
            </w:r>
          </w:p>
        </w:tc>
        <w:tc>
          <w:tcPr>
            <w:tcW w:w="1977" w:type="dxa"/>
            <w:vAlign w:val="center"/>
          </w:tcPr>
          <w:p>
            <w:pPr>
              <w:spacing w:line="360" w:lineRule="exact"/>
              <w:jc w:val="center"/>
              <w:rPr>
                <w:rFonts w:ascii="仿宋" w:hAnsi="仿宋" w:eastAsia="仿宋" w:cs="宋体"/>
                <w:color w:val="000000" w:themeColor="text1"/>
                <w:spacing w:val="-16"/>
                <w:kern w:val="24"/>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注意事项</w:t>
            </w:r>
          </w:p>
        </w:tc>
        <w:tc>
          <w:tcPr>
            <w:tcW w:w="7234" w:type="dxa"/>
            <w:gridSpan w:val="2"/>
            <w:vAlign w:val="center"/>
          </w:tcPr>
          <w:p>
            <w:pPr>
              <w:pStyle w:val="732"/>
              <w:spacing w:line="36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p>
            <w:pPr>
              <w:pStyle w:val="732"/>
              <w:spacing w:line="36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21.2中标供应商应在《中标通知书》发出后2日内与采购方联系商谈合同。合同签订当日，中标供应商须将本项目《政府采购合同》扫描件发送至采购代理机构邮箱 472238220@qq.com，以便及时发布合同公示及办理投标保证金退还手续。</w:t>
            </w:r>
          </w:p>
        </w:tc>
      </w:tr>
    </w:tbl>
    <w:p>
      <w:pPr>
        <w:widowControl/>
        <w:jc w:val="left"/>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bookmarkStart w:id="14" w:name="_GoBack"/>
      <w:bookmarkEnd w:id="14"/>
    </w:p>
    <w:p>
      <w:pPr>
        <w:shd w:val="clear" w:color="auto" w:fill="FFFFFF"/>
        <w:autoSpaceDE w:val="0"/>
        <w:autoSpaceDN w:val="0"/>
        <w:adjustRightInd w:val="0"/>
        <w:spacing w:line="440" w:lineRule="exac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二、投标须知</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bookmarkStart w:id="2" w:name="_Hlk519799218"/>
      <w:bookmarkStart w:id="3" w:name="_Hlk519798821"/>
      <w:r>
        <w:rPr>
          <w:rFonts w:hint="eastAsia" w:ascii="仿宋" w:hAnsi="仿宋" w:eastAsia="仿宋" w:cs="仿宋"/>
          <w:color w:val="000000" w:themeColor="text1"/>
          <w:sz w:val="24"/>
          <w14:textFill>
            <w14:solidFill>
              <w14:schemeClr w14:val="tx1"/>
            </w14:solidFill>
          </w14:textFill>
        </w:rPr>
        <w:t>（一）总则</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项目说明</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本项目概况详见投标须知前附表。</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1.2本招标项目已经批准，已具备招标条件。</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本招标项目供应商的资格审查采取资格后审方式。本次招标不接受联合体投标、不接受备选方案。</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招标范围</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2.1本招标项目招标范围</w:t>
      </w:r>
      <w:r>
        <w:rPr>
          <w:rFonts w:hint="eastAsia" w:ascii="仿宋" w:hAnsi="仿宋" w:eastAsia="仿宋" w:cs="仿宋"/>
          <w:color w:val="000000" w:themeColor="text1"/>
          <w:kern w:val="0"/>
          <w:sz w:val="24"/>
          <w14:textFill>
            <w14:solidFill>
              <w14:schemeClr w14:val="tx1"/>
            </w14:solidFill>
          </w14:textFill>
        </w:rPr>
        <w:t>已通过“前附表”第1项</w:t>
      </w:r>
      <w:r>
        <w:rPr>
          <w:rFonts w:hint="eastAsia" w:ascii="仿宋" w:hAnsi="仿宋" w:eastAsia="仿宋" w:cs="仿宋"/>
          <w:color w:val="000000" w:themeColor="text1"/>
          <w:sz w:val="24"/>
          <w14:textFill>
            <w14:solidFill>
              <w14:schemeClr w14:val="tx1"/>
            </w14:solidFill>
          </w14:textFill>
        </w:rPr>
        <w:t>采购内容</w:t>
      </w:r>
      <w:r>
        <w:rPr>
          <w:rFonts w:hint="eastAsia" w:ascii="仿宋" w:hAnsi="仿宋" w:eastAsia="仿宋" w:cs="仿宋"/>
          <w:color w:val="000000" w:themeColor="text1"/>
          <w:kern w:val="0"/>
          <w:sz w:val="24"/>
          <w14:textFill>
            <w14:solidFill>
              <w14:schemeClr w14:val="tx1"/>
            </w14:solidFill>
          </w14:textFill>
        </w:rPr>
        <w:t>所述，</w:t>
      </w:r>
      <w:r>
        <w:rPr>
          <w:rFonts w:hint="eastAsia" w:ascii="仿宋" w:hAnsi="仿宋" w:eastAsia="仿宋" w:cs="仿宋"/>
          <w:color w:val="000000" w:themeColor="text1"/>
          <w:sz w:val="24"/>
          <w14:textFill>
            <w14:solidFill>
              <w14:schemeClr w14:val="tx1"/>
            </w14:solidFill>
          </w14:textFill>
        </w:rPr>
        <w:t>指本项目招标文件中范围内所要求的所有工作内容。</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 适用法律及约束力</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本次招标及由本次招标产生的合同受中华人民共和国的相关法律、法规制约和保护。供应商一旦购买了招标文件并参加本项目，即被认为接受了招标文件中的所有条件和规定。</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3.2供应商应保证，在中华人民共和国境内使用投标成果、服务或其任何一部分时，不会产生因第三方提出侵犯其专利权或其它知识产权而引起的法律和经济纠纷。</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招标项目实施要求</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4.1质量标准已通过“前附表”第3项所述。</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4.2 供应商与采购人签订合同后，按照招标文件及合同相关的要求规范实施服务计划。</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 交付时间、地点</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详见“前附表”所述</w:t>
      </w:r>
      <w:r>
        <w:rPr>
          <w:rFonts w:hint="eastAsia" w:ascii="仿宋" w:hAnsi="仿宋" w:eastAsia="仿宋" w:cs="仿宋"/>
          <w:color w:val="000000" w:themeColor="text1"/>
          <w:sz w:val="24"/>
          <w14:textFill>
            <w14:solidFill>
              <w14:schemeClr w14:val="tx1"/>
            </w14:solidFill>
          </w14:textFill>
        </w:rPr>
        <w:t>。</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6. 资金来源</w:t>
      </w:r>
    </w:p>
    <w:p>
      <w:pPr>
        <w:shd w:val="clear" w:color="auto" w:fill="FFFFFF"/>
        <w:spacing w:line="420" w:lineRule="exact"/>
        <w:ind w:firstLine="480"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6.1见前附表</w:t>
      </w:r>
      <w:r>
        <w:rPr>
          <w:rFonts w:hint="eastAsia" w:ascii="仿宋" w:hAnsi="仿宋" w:eastAsia="仿宋" w:cs="仿宋"/>
          <w:color w:val="000000" w:themeColor="text1"/>
          <w:kern w:val="0"/>
          <w:sz w:val="24"/>
          <w14:textFill>
            <w14:solidFill>
              <w14:schemeClr w14:val="tx1"/>
            </w14:solidFill>
          </w14:textFill>
        </w:rPr>
        <w:t>。</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7. 供应商资格要求</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供应商资格要求须满足“前附表”第4项要求。</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8. </w:t>
      </w:r>
      <w:r>
        <w:rPr>
          <w:rFonts w:hint="eastAsia" w:ascii="仿宋" w:hAnsi="仿宋" w:eastAsia="仿宋" w:cs="仿宋"/>
          <w:b/>
          <w:bCs/>
          <w:color w:val="000000" w:themeColor="text1"/>
          <w:kern w:val="0"/>
          <w:sz w:val="24"/>
          <w14:textFill>
            <w14:solidFill>
              <w14:schemeClr w14:val="tx1"/>
            </w14:solidFill>
          </w14:textFill>
        </w:rPr>
        <w:t>投标费用</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供应商应承担其编制投标文件与递交投标文件所涉及的一切费用，不论投标结果如何，采购人或采购代理机构均无义务和责任承担这些费用。</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9. 授权委托</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9.1 供应商代表为法定代表人的，须持有法定代表人资格证明书和法定代表人身份证；供应商代表不是供应商的法定代表人的，须持有法定代表人授权委托书和授权代表人的本人身份证。</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10. 联合体投标</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10.1投标须知前附表中接受联合体投标的，供应商可以联合体形式投标，否则联合体投标视为无效投标；接受联合体投标的，除应符合本章第7</w:t>
      </w:r>
      <w:r>
        <w:rPr>
          <w:rFonts w:hint="eastAsia" w:ascii="仿宋" w:hAnsi="仿宋" w:eastAsia="仿宋" w:cs="仿宋"/>
          <w:bCs/>
          <w:color w:val="000000" w:themeColor="text1"/>
          <w:kern w:val="0"/>
          <w:sz w:val="24"/>
          <w:lang w:val="zh-CN"/>
          <w14:textFill>
            <w14:solidFill>
              <w14:schemeClr w14:val="tx1"/>
            </w14:solidFill>
          </w14:textFill>
        </w:rPr>
        <w:t>款</w:t>
      </w:r>
      <w:r>
        <w:rPr>
          <w:rFonts w:hint="eastAsia" w:ascii="仿宋" w:hAnsi="仿宋" w:eastAsia="仿宋" w:cs="仿宋"/>
          <w:bCs/>
          <w:color w:val="000000" w:themeColor="text1"/>
          <w:kern w:val="0"/>
          <w:sz w:val="24"/>
          <w14:textFill>
            <w14:solidFill>
              <w14:schemeClr w14:val="tx1"/>
            </w14:solidFill>
          </w14:textFill>
        </w:rPr>
        <w:t xml:space="preserve">规定外，还应遵守以下规定： </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（l）联合体各方应按招标文件提供的格式签订</w:t>
      </w:r>
      <w:r>
        <w:rPr>
          <w:rFonts w:hint="eastAsia" w:ascii="仿宋" w:hAnsi="仿宋" w:eastAsia="仿宋" w:cs="仿宋"/>
          <w:bCs/>
          <w:color w:val="000000" w:themeColor="text1"/>
          <w:kern w:val="0"/>
          <w:sz w:val="24"/>
          <w:u w:val="single"/>
          <w14:textFill>
            <w14:solidFill>
              <w14:schemeClr w14:val="tx1"/>
            </w14:solidFill>
          </w14:textFill>
        </w:rPr>
        <w:t>联合体协议</w:t>
      </w:r>
      <w:r>
        <w:rPr>
          <w:rFonts w:hint="eastAsia" w:ascii="仿宋" w:hAnsi="仿宋" w:eastAsia="仿宋" w:cs="仿宋"/>
          <w:bCs/>
          <w:color w:val="000000" w:themeColor="text1"/>
          <w:kern w:val="0"/>
          <w:sz w:val="24"/>
          <w14:textFill>
            <w14:solidFill>
              <w14:schemeClr w14:val="tx1"/>
            </w14:solidFill>
          </w14:textFill>
        </w:rPr>
        <w:t>，明确联合体牵头人和各方的权利义务、合同工作量比例；</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（2）联合体各方签订联合体协议书后，不得再单独参加或者与其他供应商组成新的联合体参加同一项目的采购活动。</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11.信用信息查询</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11.1查询渠道：“信用中国”网站（www.creditchina.gov.cn）、中国政府采购网（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Style w:val="69"/>
          <w:rFonts w:hint="eastAsia" w:ascii="仿宋" w:hAnsi="仿宋" w:eastAsia="仿宋" w:cs="仿宋"/>
          <w:bCs/>
          <w:color w:val="000000" w:themeColor="text1"/>
          <w:kern w:val="0"/>
          <w:sz w:val="24"/>
          <w14:textFill>
            <w14:solidFill>
              <w14:schemeClr w14:val="tx1"/>
            </w14:solidFill>
          </w14:textFill>
        </w:rPr>
        <w:t>www.ccgp.gov.cn</w:t>
      </w:r>
      <w:r>
        <w:rPr>
          <w:rStyle w:val="69"/>
          <w:rFonts w:hint="eastAsia" w:ascii="仿宋" w:hAnsi="仿宋" w:eastAsia="仿宋" w:cs="仿宋"/>
          <w:bCs/>
          <w:color w:val="000000" w:themeColor="text1"/>
          <w:kern w:val="0"/>
          <w:sz w:val="24"/>
          <w14:textFill>
            <w14:solidFill>
              <w14:schemeClr w14:val="tx1"/>
            </w14:solidFill>
          </w14:textFill>
        </w:rPr>
        <w:fldChar w:fldCharType="end"/>
      </w:r>
      <w:r>
        <w:rPr>
          <w:rFonts w:hint="eastAsia" w:ascii="仿宋" w:hAnsi="仿宋" w:eastAsia="仿宋" w:cs="仿宋"/>
          <w:bCs/>
          <w:color w:val="000000" w:themeColor="text1"/>
          <w:kern w:val="0"/>
          <w:sz w:val="24"/>
          <w14:textFill>
            <w14:solidFill>
              <w14:schemeClr w14:val="tx1"/>
            </w14:solidFill>
          </w14:textFill>
        </w:rPr>
        <w:t>）。</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11.2根据《关于在政府采购活动中查询及使用信用记录有关问题的通知》(财库[2016]125号)的规定，对被列入“失信被执行人”、“重大税收违法失信主体”、“政府采购严重违法失信行为记录名单”的供应商，拒绝参与本项目政府采购活动。</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11.3</w:t>
      </w:r>
      <w:r>
        <w:rPr>
          <w:rFonts w:hint="eastAsia" w:ascii="仿宋" w:hAnsi="仿宋" w:eastAsia="仿宋" w:cs="仿宋"/>
          <w:color w:val="000000" w:themeColor="text1"/>
          <w:sz w:val="24"/>
          <w14:textFill>
            <w14:solidFill>
              <w14:schemeClr w14:val="tx1"/>
            </w14:solidFill>
          </w14:textFill>
        </w:rPr>
        <w:t>招标代理机构在开标时间后至资格审查结束前通过上述查询渠道进行网上查询，对存在“失信被执行人”、“重大税收违法失信主体”、“政府采购严重违法失信行为记录名单”情形的供应商，资格审查不合格，投标无效，同时其信用信息查询记录作为证据存档。</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（二）招标文件</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12. 招标文件的组成</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12.1 招标文件包括下列内容</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第一章 招标公告</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第二章 投标须知前附表及投标须知</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第三章 采购需求</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第四章 合同条款</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第五章 投标文件格式</w:t>
      </w:r>
    </w:p>
    <w:p>
      <w:pPr>
        <w:shd w:val="clear" w:color="auto" w:fill="FFFFFF"/>
        <w:autoSpaceDE w:val="0"/>
        <w:autoSpaceDN w:val="0"/>
        <w:adjustRightInd w:val="0"/>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12.2</w:t>
      </w:r>
      <w:r>
        <w:rPr>
          <w:rFonts w:hint="eastAsia" w:ascii="仿宋" w:hAnsi="仿宋" w:eastAsia="仿宋" w:cs="仿宋"/>
          <w:b/>
          <w:bCs/>
          <w:color w:val="000000" w:themeColor="text1"/>
          <w:sz w:val="24"/>
          <w:lang w:val="zh-CN"/>
          <w14:textFill>
            <w14:solidFill>
              <w14:schemeClr w14:val="tx1"/>
            </w14:solidFill>
          </w14:textFill>
        </w:rPr>
        <w:t>招标的最小单位是标项。招标文件未分标项的，供应商须对全部招标内容投标，不得部分投标；招标文件分标项的，供应商应当以标项为单位编制并提交投标文件；不符合本项要求，投标无效。</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12.3 招标文件如果要求供应商提交备选投标方案的，供应商可以提交备选方案；否则，备选方案将被拒绝。</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12.4 招标文件由本文件及由采购人按招标文件有关规定发出的招标文件补充构成。</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12.5 招标文件的澄清、修改、招标答疑会纪要等书面材料在本招标项目中均称招标文件补充。</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pPr>
        <w:shd w:val="clear" w:color="auto" w:fill="FFFFFF"/>
        <w:spacing w:line="420" w:lineRule="exact"/>
        <w:ind w:firstLine="482" w:firstLineChars="200"/>
        <w:rPr>
          <w:rFonts w:ascii="仿宋" w:hAnsi="仿宋" w:eastAsia="仿宋" w:cs="仿宋"/>
          <w:b/>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13. 招标文件的获取</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13.1招标文件的提供期限见招标公告。</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13.2凡符合资格要求并有意参加投标的供应商,均可在</w:t>
      </w:r>
      <w:r>
        <w:rPr>
          <w:rFonts w:hint="eastAsia" w:ascii="仿宋" w:hAnsi="仿宋" w:eastAsia="仿宋" w:cs="仿宋"/>
          <w:color w:val="000000" w:themeColor="text1"/>
          <w:kern w:val="0"/>
          <w:sz w:val="24"/>
          <w14:textFill>
            <w14:solidFill>
              <w14:schemeClr w14:val="tx1"/>
            </w14:solidFill>
          </w14:textFill>
        </w:rPr>
        <w:t>本项目公告发布平台免费获取招标文件。</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14. 招标文件的澄清或修改</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14.1.1供应商的姓名或者名称、地址、邮编、联系人及联系电话；</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14.1.2质疑项目的名称、编号；</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14.1.3具体、明确的质疑事项和与质疑事项相关的请求；</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14.1.4事实依据；</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14.1.5必要的法律依据；</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14.1.6提出质疑的日期。</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供应商为自然人的，应当由本人签字；供应商为法人或者其他组织的，应当由法定代表人、主要负责人，或者其授权代表签字或者盖章，并加盖投标单位公章。</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pPr>
        <w:shd w:val="clear" w:color="auto" w:fill="FFFFFF"/>
        <w:spacing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15. 投标报价</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15.1 本招标项目使用的货币为</w:t>
      </w:r>
      <w:r>
        <w:rPr>
          <w:rFonts w:hint="eastAsia" w:ascii="仿宋" w:hAnsi="仿宋" w:eastAsia="仿宋" w:cs="仿宋"/>
          <w:color w:val="000000" w:themeColor="text1"/>
          <w:kern w:val="0"/>
          <w:sz w:val="24"/>
          <w:u w:val="single"/>
          <w14:textFill>
            <w14:solidFill>
              <w14:schemeClr w14:val="tx1"/>
            </w14:solidFill>
          </w14:textFill>
        </w:rPr>
        <w:t xml:space="preserve"> 人民币 </w:t>
      </w:r>
      <w:r>
        <w:rPr>
          <w:rFonts w:hint="eastAsia" w:ascii="仿宋" w:hAnsi="仿宋" w:eastAsia="仿宋" w:cs="仿宋"/>
          <w:color w:val="000000" w:themeColor="text1"/>
          <w:kern w:val="0"/>
          <w:sz w:val="24"/>
          <w14:textFill>
            <w14:solidFill>
              <w14:schemeClr w14:val="tx1"/>
            </w14:solidFill>
          </w14:textFill>
        </w:rPr>
        <w:t>，实施时亦以</w:t>
      </w:r>
      <w:r>
        <w:rPr>
          <w:rFonts w:hint="eastAsia" w:ascii="仿宋" w:hAnsi="仿宋" w:eastAsia="仿宋" w:cs="仿宋"/>
          <w:color w:val="000000" w:themeColor="text1"/>
          <w:kern w:val="0"/>
          <w:sz w:val="24"/>
          <w:u w:val="single"/>
          <w14:textFill>
            <w14:solidFill>
              <w14:schemeClr w14:val="tx1"/>
            </w14:solidFill>
          </w14:textFill>
        </w:rPr>
        <w:t xml:space="preserve"> 人民币 </w:t>
      </w:r>
      <w:r>
        <w:rPr>
          <w:rFonts w:hint="eastAsia" w:ascii="仿宋" w:hAnsi="仿宋" w:eastAsia="仿宋" w:cs="仿宋"/>
          <w:color w:val="000000" w:themeColor="text1"/>
          <w:kern w:val="0"/>
          <w:sz w:val="24"/>
          <w14:textFill>
            <w14:solidFill>
              <w14:schemeClr w14:val="tx1"/>
            </w14:solidFill>
          </w14:textFill>
        </w:rPr>
        <w:t>支付。</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15.2 投标报价为本招标文件所确定的招标范围内的全部工作内容的价格体现。任何有选择的报价将不予接受（除非采购人另有约定），否则，在评标时将视为投标无效。</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15.3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15.4供应商应按本文件给定的格式填报《开标一览表》及《分项报价明细表》，《开标一览表》中价格填报处不应有空白，如无费用可填报“/”。</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15.5供应商对投标报价若有说明应在《开标一览表》显著处注明，只有开标时公布的报价和优惠才会在评标时予以考虑。报价优惠应对应《开标一览表》及《分项报价明细表》提供相应的明细清单。除报价优惠外，任何超出招标文件要求而额外赠送的货物、免费培训等其他形式的优惠，将不被允许并不予接受。</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15.6对于有配件、耗材、选件和特殊工具的货物，还应填报投标货物配件、耗材、选件表和备件及特殊工具清单，注明品牌、型号、产地、功能、单价等内容，如招标文件未提供相关格式的，应由投标人自行设计编写。</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15.8投标文件报价出现前后不一致的，除招标文件另有规定外，按照下列规定修正：</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（一）投标文件中《开标一览表》内容与投标文件中相应内容不一致的，以《开标一览表》为准；</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（二）大写金额和小写金额不一致的，以大写金额为准；</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（三）单价金额小数点或者百分比有明显错位的，以《开标一览表》的总价为准，并修改单价；</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（四）总价金额与按单价汇总金额不一致的，以单价金额计算结果为准。</w:t>
      </w:r>
    </w:p>
    <w:p>
      <w:pPr>
        <w:shd w:val="clear" w:color="auto" w:fill="FFFFFF"/>
        <w:adjustRightInd w:val="0"/>
        <w:snapToGri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同时出现两种以上不一致的，按照前款规定的顺序修正。</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修正后的报价遵照如下规定处理：供应商的澄清、说明或者补正应当采用书面形式，并加盖公章，或者由法定代表人或其授权的代表签字。供应商的澄清、说明或者补正不得超出投标文件的范围或者改变投标文件的实质性内容。修正后的报价经供应商确认后产生约束力，供应商不确认的，其投标无效。</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16.投标保证金</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16.2 供应商应提交投标保证金，并作为其投标的一部分。招标文件《前附表》规定交纳</w:t>
      </w:r>
      <w:r>
        <w:rPr>
          <w:rFonts w:hint="eastAsia" w:ascii="仿宋" w:hAnsi="仿宋" w:eastAsia="仿宋" w:cs="仿宋"/>
          <w:bCs/>
          <w:color w:val="000000" w:themeColor="text1"/>
          <w:kern w:val="0"/>
          <w:sz w:val="24"/>
          <w14:textFill>
            <w14:solidFill>
              <w14:schemeClr w14:val="tx1"/>
            </w14:solidFill>
          </w14:textFill>
        </w:rPr>
        <w:t>投标保证金的</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Cs/>
          <w:color w:val="000000" w:themeColor="text1"/>
          <w:kern w:val="0"/>
          <w:sz w:val="24"/>
          <w14:textFill>
            <w14:solidFill>
              <w14:schemeClr w14:val="tx1"/>
            </w14:solidFill>
          </w14:textFill>
        </w:rPr>
        <w:t>供应商应按招标文件</w:t>
      </w:r>
      <w:r>
        <w:rPr>
          <w:rFonts w:hint="eastAsia" w:ascii="仿宋" w:hAnsi="仿宋" w:eastAsia="仿宋" w:cs="仿宋"/>
          <w:color w:val="000000" w:themeColor="text1"/>
          <w:kern w:val="0"/>
          <w:sz w:val="24"/>
          <w14:textFill>
            <w14:solidFill>
              <w14:schemeClr w14:val="tx1"/>
            </w14:solidFill>
          </w14:textFill>
        </w:rPr>
        <w:t>《前附表》规定的要求</w:t>
      </w:r>
      <w:r>
        <w:rPr>
          <w:rFonts w:hint="eastAsia" w:ascii="仿宋" w:hAnsi="仿宋" w:eastAsia="仿宋" w:cs="仿宋"/>
          <w:bCs/>
          <w:color w:val="000000" w:themeColor="text1"/>
          <w:kern w:val="0"/>
          <w:sz w:val="24"/>
          <w14:textFill>
            <w14:solidFill>
              <w14:schemeClr w14:val="tx1"/>
            </w14:solidFill>
          </w14:textFill>
        </w:rPr>
        <w:t>提交保证金</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bCs/>
          <w:color w:val="000000" w:themeColor="text1"/>
          <w:kern w:val="0"/>
          <w:sz w:val="24"/>
          <w14:textFill>
            <w14:solidFill>
              <w14:schemeClr w14:val="tx1"/>
            </w14:solidFill>
          </w14:textFill>
        </w:rPr>
        <w:t>投标保证金有效期应与</w:t>
      </w:r>
      <w:r>
        <w:rPr>
          <w:rFonts w:hint="eastAsia" w:ascii="仿宋" w:hAnsi="仿宋" w:eastAsia="仿宋" w:cs="仿宋"/>
          <w:color w:val="000000" w:themeColor="text1"/>
          <w:kern w:val="0"/>
          <w:sz w:val="24"/>
          <w14:textFill>
            <w14:solidFill>
              <w14:schemeClr w14:val="tx1"/>
            </w14:solidFill>
          </w14:textFill>
        </w:rPr>
        <w:t>招标文件规定</w:t>
      </w:r>
      <w:r>
        <w:rPr>
          <w:rFonts w:hint="eastAsia" w:ascii="仿宋" w:hAnsi="仿宋" w:eastAsia="仿宋" w:cs="仿宋"/>
          <w:bCs/>
          <w:color w:val="000000" w:themeColor="text1"/>
          <w:kern w:val="0"/>
          <w:sz w:val="24"/>
          <w14:textFill>
            <w14:solidFill>
              <w14:schemeClr w14:val="tx1"/>
            </w14:solidFill>
          </w14:textFill>
        </w:rPr>
        <w:t>的投标有效期一致。</w:t>
      </w:r>
      <w:r>
        <w:rPr>
          <w:rFonts w:hint="eastAsia" w:ascii="仿宋" w:hAnsi="仿宋" w:eastAsia="仿宋" w:cs="仿宋"/>
          <w:b/>
          <w:bCs/>
          <w:color w:val="000000" w:themeColor="text1"/>
          <w:kern w:val="0"/>
          <w:sz w:val="24"/>
          <w14:textFill>
            <w14:solidFill>
              <w14:schemeClr w14:val="tx1"/>
            </w14:solidFill>
          </w14:textFill>
        </w:rPr>
        <w:t>供应商</w:t>
      </w:r>
      <w:r>
        <w:rPr>
          <w:rFonts w:hint="eastAsia" w:ascii="仿宋" w:hAnsi="仿宋" w:eastAsia="仿宋" w:cs="仿宋"/>
          <w:b/>
          <w:color w:val="000000" w:themeColor="text1"/>
          <w:kern w:val="0"/>
          <w:sz w:val="24"/>
          <w14:textFill>
            <w14:solidFill>
              <w14:schemeClr w14:val="tx1"/>
            </w14:solidFill>
          </w14:textFill>
        </w:rPr>
        <w:t>未按照招标文件《前附表》要求提交投标保证金的，投标无效。</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16.3招标文件接受联合体投标的，可以由联合体中的一方或者共同提交投标保证金。以一方名义提交投标保证金的，对联合体各方均具有约束力。</w:t>
      </w:r>
    </w:p>
    <w:p>
      <w:pPr>
        <w:shd w:val="clear" w:color="auto" w:fill="FFFFFF"/>
        <w:spacing w:line="420" w:lineRule="exact"/>
        <w:ind w:firstLine="480"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16.4 未中标人的投标保证金，将在中标通知书发出5个工作日内退还。因违反规定被没收的投标保证金不予退回。</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16.5 中标人的投标保证金自采购合同签订之日起5个工作日内退还。</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16.6 </w:t>
      </w:r>
      <w:r>
        <w:rPr>
          <w:rFonts w:hint="eastAsia" w:ascii="仿宋" w:hAnsi="仿宋" w:eastAsia="仿宋" w:cs="仿宋"/>
          <w:b/>
          <w:color w:val="000000" w:themeColor="text1"/>
          <w:kern w:val="0"/>
          <w:sz w:val="24"/>
          <w14:textFill>
            <w14:solidFill>
              <w14:schemeClr w14:val="tx1"/>
            </w14:solidFill>
          </w14:textFill>
        </w:rPr>
        <w:t>下列任何情况发生时，投标保证金将被没收：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16.6.1 供应商在规定的投标有效期内撤回其投标；</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16.6.2 中标人无正当理由拒绝按规定与采购人签订合同或未能在规定期限内签署合同的或未按招标文件要求提交履约保证金的。</w:t>
      </w:r>
    </w:p>
    <w:p>
      <w:pPr>
        <w:shd w:val="clear" w:color="auto" w:fill="FFFFFF"/>
        <w:autoSpaceDE w:val="0"/>
        <w:autoSpaceDN w:val="0"/>
        <w:adjustRightInd w:val="0"/>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16.7 </w:t>
      </w:r>
      <w:r>
        <w:rPr>
          <w:rFonts w:hint="eastAsia" w:ascii="仿宋" w:hAnsi="仿宋" w:eastAsia="仿宋" w:cs="仿宋"/>
          <w:b/>
          <w:color w:val="000000" w:themeColor="text1"/>
          <w:kern w:val="0"/>
          <w:sz w:val="24"/>
          <w14:textFill>
            <w14:solidFill>
              <w14:schemeClr w14:val="tx1"/>
            </w14:solidFill>
          </w14:textFill>
        </w:rPr>
        <w:t>供应商办理投标保证金退款申请手续须提供以下资料：</w:t>
      </w:r>
    </w:p>
    <w:p>
      <w:pPr>
        <w:shd w:val="clear" w:color="auto" w:fill="FFFFFF"/>
        <w:autoSpaceDE w:val="0"/>
        <w:autoSpaceDN w:val="0"/>
        <w:adjustRightInd w:val="0"/>
        <w:spacing w:line="420" w:lineRule="exact"/>
        <w:ind w:firstLine="482" w:firstLineChars="200"/>
        <w:jc w:val="left"/>
        <w:rPr>
          <w:rFonts w:ascii="仿宋" w:hAnsi="仿宋" w:eastAsia="仿宋" w:cs="仿宋"/>
          <w:b/>
          <w:color w:val="000000" w:themeColor="text1"/>
          <w:kern w:val="0"/>
          <w:sz w:val="24"/>
          <w:u w:val="single"/>
          <w14:textFill>
            <w14:solidFill>
              <w14:schemeClr w14:val="tx1"/>
            </w14:solidFill>
          </w14:textFill>
        </w:rPr>
      </w:pPr>
      <w:r>
        <w:rPr>
          <w:rFonts w:hint="eastAsia" w:ascii="仿宋" w:hAnsi="仿宋" w:eastAsia="仿宋" w:cs="仿宋"/>
          <w:b/>
          <w:color w:val="000000" w:themeColor="text1"/>
          <w:kern w:val="0"/>
          <w:sz w:val="24"/>
          <w:u w:val="single"/>
          <w14:textFill>
            <w14:solidFill>
              <w14:schemeClr w14:val="tx1"/>
            </w14:solidFill>
          </w14:textFill>
        </w:rPr>
        <w:t>16.7.1 供应商清晰的单位名称、开户银行名称、银行账号、银行行号。</w:t>
      </w:r>
    </w:p>
    <w:p>
      <w:pPr>
        <w:shd w:val="clear" w:color="auto" w:fill="FFFFFF"/>
        <w:spacing w:line="420" w:lineRule="exact"/>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u w:val="single"/>
          <w14:textFill>
            <w14:solidFill>
              <w14:schemeClr w14:val="tx1"/>
            </w14:solidFill>
          </w14:textFill>
        </w:rPr>
        <w:t xml:space="preserve">16.7.2 </w:t>
      </w:r>
      <w:r>
        <w:rPr>
          <w:rFonts w:hint="eastAsia" w:ascii="仿宋" w:hAnsi="仿宋" w:eastAsia="仿宋" w:cs="仿宋"/>
          <w:b/>
          <w:snapToGrid w:val="0"/>
          <w:color w:val="000000" w:themeColor="text1"/>
          <w:kern w:val="0"/>
          <w:sz w:val="24"/>
          <w:u w:val="single"/>
          <w14:textFill>
            <w14:solidFill>
              <w14:schemeClr w14:val="tx1"/>
            </w14:solidFill>
          </w14:textFill>
        </w:rPr>
        <w:t>中标方办理投标保证金退款申请时，中标方还须提供与采购人签订的已加盖中标方公章的合同全本复印件或扫描件一份（代理机构存档备查）。</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17. 招标答疑会和现场踏勘</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17.1本项目不组织招标答疑会。</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18. 投标有效期</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18.1 投标有效期见本须知前附表所规定的期限，在此期限内，凡符合本招标文件要求的投标文件均保持有效。</w:t>
      </w:r>
      <w:r>
        <w:rPr>
          <w:rFonts w:hint="eastAsia" w:ascii="仿宋" w:hAnsi="仿宋" w:eastAsia="仿宋" w:cs="仿宋"/>
          <w:b/>
          <w:color w:val="000000" w:themeColor="text1"/>
          <w:kern w:val="0"/>
          <w:sz w:val="24"/>
          <w14:textFill>
            <w14:solidFill>
              <w14:schemeClr w14:val="tx1"/>
            </w14:solidFill>
          </w14:textFill>
        </w:rPr>
        <w:t>投标有效期不足的，投标无效。</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18.2 在特殊情况下，采购人在原定的投标有效期内，可以根据需要以发布公告或书面形式向供应商提出延长投标有效期的要求，对此要求供应商须以书面形式予以答复。供应商拒绝延长的，其投标在原投标有效期届满后将不再有效，但有权收回其投标保证金；同意延长投标有效期的供应商既不能要求也不允许修改或撤回其投标文件。</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（三） 投标文件的编制</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19. 投标文件编制要求</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19.1供应商提交的投标文件及供应商与采购代理机构就有关投标的所有来往函电均使用中文。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20. 投标文件编制的依据</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20.1 采购人提供的采购需求及有关资料；</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20.2 本招标文件及招标文件的修改或者澄清；</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20.3 相关的法律、法规和规定。</w:t>
      </w:r>
    </w:p>
    <w:p>
      <w:pPr>
        <w:shd w:val="clear" w:color="auto" w:fill="FFFFFF"/>
        <w:spacing w:line="420" w:lineRule="exact"/>
        <w:ind w:firstLine="482" w:firstLineChars="20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21. 投标文件的组成：</w:t>
      </w:r>
      <w:r>
        <w:rPr>
          <w:rFonts w:hint="eastAsia" w:ascii="仿宋" w:hAnsi="仿宋" w:eastAsia="仿宋"/>
          <w:color w:val="000000" w:themeColor="text1"/>
          <w:kern w:val="0"/>
          <w:sz w:val="24"/>
          <w14:textFill>
            <w14:solidFill>
              <w14:schemeClr w14:val="tx1"/>
            </w14:solidFill>
          </w14:textFill>
        </w:rPr>
        <w:t>资格响应文件、商务响应文件、技术响应文件、报价响应文件</w:t>
      </w:r>
      <w:r>
        <w:rPr>
          <w:rFonts w:hint="eastAsia" w:ascii="仿宋" w:hAnsi="仿宋" w:eastAsia="仿宋"/>
          <w:bCs/>
          <w:color w:val="000000" w:themeColor="text1"/>
          <w:kern w:val="0"/>
          <w:sz w:val="24"/>
          <w14:textFill>
            <w14:solidFill>
              <w14:schemeClr w14:val="tx1"/>
            </w14:solidFill>
          </w14:textFill>
        </w:rPr>
        <w:t>。</w:t>
      </w:r>
    </w:p>
    <w:p>
      <w:pPr>
        <w:shd w:val="clear" w:color="auto" w:fill="FFFFFF"/>
        <w:spacing w:line="420" w:lineRule="exact"/>
        <w:ind w:firstLine="480" w:firstLineChars="200"/>
        <w:rPr>
          <w:rFonts w:ascii="仿宋" w:hAnsi="仿宋" w:eastAsia="仿宋"/>
          <w:b/>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b/>
          <w:bCs/>
          <w:color w:val="000000" w:themeColor="text1"/>
          <w:kern w:val="0"/>
          <w:sz w:val="24"/>
          <w14:textFill>
            <w14:solidFill>
              <w14:schemeClr w14:val="tx1"/>
            </w14:solidFill>
          </w14:textFill>
        </w:rPr>
        <w:t>21.1资格响应文件组成</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供应商营业执照或其他组织资格证书，扫描件；</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法定代表人资格证明书和法定代表人身份证或者法定代表人授权委托书及被授权人身份证明，均为扫描件；</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供应商按照招标文件规定格式提供有效的《中小企业声明函》；</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供应商开标前三个月内任意一个月依法纳税及缴纳社会保险相关证明资料；</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供应商是法人组织的应提供经第三方审计的上一年度（2023年）的财务审计报告；自成立到投标截止时间，未跨一个自然年度的须提供近一个季度的财务报表或开标前三个月内基本开户银行出具的资信证明；</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供应商参加本次政府采购活动前3年内在经营活动中没有重大违法记录的书面声明；</w:t>
      </w:r>
    </w:p>
    <w:p>
      <w:pPr>
        <w:numPr>
          <w:ilvl w:val="0"/>
          <w:numId w:val="12"/>
        </w:num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投标保证金缴纳凭证。</w:t>
      </w:r>
    </w:p>
    <w:p>
      <w:pPr>
        <w:shd w:val="clear" w:color="auto" w:fill="FFFFFF"/>
        <w:spacing w:line="420" w:lineRule="exact"/>
        <w:ind w:firstLine="482" w:firstLineChars="20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21.2商务响应文件组成包括但不限于以下内容：</w:t>
      </w:r>
    </w:p>
    <w:bookmarkEnd w:id="2"/>
    <w:bookmarkEnd w:id="3"/>
    <w:p>
      <w:pPr>
        <w:shd w:val="clear" w:color="auto" w:fill="FFFFFF"/>
        <w:spacing w:line="420" w:lineRule="exact"/>
        <w:ind w:firstLine="480" w:firstLineChars="200"/>
        <w:rPr>
          <w:rFonts w:ascii="仿宋" w:hAnsi="仿宋" w:eastAsia="仿宋"/>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（1）投标承诺书；</w:t>
      </w:r>
    </w:p>
    <w:p>
      <w:pPr>
        <w:shd w:val="clear" w:color="auto" w:fill="FFFFFF"/>
        <w:spacing w:line="420" w:lineRule="exact"/>
        <w:ind w:firstLine="480" w:firstLineChars="200"/>
        <w:rPr>
          <w:rFonts w:eastAsia="仿宋"/>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（2）商务及合同条款偏离表（商务条款须至少包含对本文件《前附表》提出的所有“实质性条款”的响应内容；</w:t>
      </w:r>
    </w:p>
    <w:p>
      <w:pPr>
        <w:widowControl/>
        <w:numPr>
          <w:ilvl w:val="0"/>
          <w:numId w:val="13"/>
        </w:numPr>
        <w:spacing w:line="340" w:lineRule="exact"/>
        <w:ind w:firstLine="720" w:firstLineChars="300"/>
        <w:jc w:val="left"/>
        <w:textAlignment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供应商近三年(2021年4月1日至今)同类产品（至少包含本次采购需求一览表任一项内容）销售业绩，提供有效业绩证明资料；</w:t>
      </w:r>
    </w:p>
    <w:p>
      <w:pPr>
        <w:pStyle w:val="27"/>
        <w:ind w:firstLine="480" w:firstLineChars="200"/>
        <w:rPr>
          <w:rFonts w:eastAsia="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（4）</w:t>
      </w:r>
      <w:r>
        <w:rPr>
          <w:rFonts w:hint="eastAsia" w:ascii="仿宋" w:hAnsi="仿宋" w:eastAsia="仿宋"/>
          <w:color w:val="000000" w:themeColor="text1"/>
          <w:kern w:val="0"/>
          <w:sz w:val="24"/>
          <w14:textFill>
            <w14:solidFill>
              <w14:schemeClr w14:val="tx1"/>
            </w14:solidFill>
          </w14:textFill>
        </w:rPr>
        <w:t>供应商认为有必要提供的其他商务资料。</w:t>
      </w:r>
    </w:p>
    <w:p>
      <w:pPr>
        <w:shd w:val="clear" w:color="auto" w:fill="FFFFFF"/>
        <w:spacing w:line="420" w:lineRule="exact"/>
        <w:ind w:firstLine="482" w:firstLineChars="20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21.3技术响应文件组成包括但不限于以下内容：</w:t>
      </w:r>
    </w:p>
    <w:p>
      <w:pPr>
        <w:shd w:val="clear" w:color="auto" w:fill="FFFFFF"/>
        <w:spacing w:line="440" w:lineRule="exact"/>
        <w:ind w:firstLine="480" w:firstLineChars="200"/>
        <w:rPr>
          <w:rFonts w:ascii="仿宋" w:hAnsi="仿宋" w:eastAsia="仿宋"/>
          <w:color w:val="000000" w:themeColor="text1"/>
          <w:kern w:val="0"/>
          <w:sz w:val="24"/>
          <w14:textFill>
            <w14:solidFill>
              <w14:schemeClr w14:val="tx1"/>
            </w14:solidFill>
          </w14:textFill>
        </w:rPr>
      </w:pPr>
      <w:bookmarkStart w:id="4" w:name="_Hlk519798213"/>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（1）技术服务条款偏离表（供应商须对照第四章《采购需求》全部内容</w:t>
      </w:r>
      <w:r>
        <w:rPr>
          <w:rFonts w:hint="eastAsia" w:ascii="仿宋" w:hAnsi="仿宋" w:eastAsia="仿宋"/>
          <w:b/>
          <w:bCs/>
          <w:color w:val="000000" w:themeColor="text1"/>
          <w:kern w:val="0"/>
          <w:sz w:val="24"/>
          <w:u w:val="single"/>
          <w14:textFill>
            <w14:solidFill>
              <w14:schemeClr w14:val="tx1"/>
            </w14:solidFill>
          </w14:textFill>
        </w:rPr>
        <w:t>逐条列明</w:t>
      </w:r>
      <w:r>
        <w:rPr>
          <w:rFonts w:hint="eastAsia" w:ascii="仿宋" w:hAnsi="仿宋" w:eastAsia="仿宋"/>
          <w:color w:val="000000" w:themeColor="text1"/>
          <w:kern w:val="0"/>
          <w:sz w:val="24"/>
          <w14:textFill>
            <w14:solidFill>
              <w14:schemeClr w14:val="tx1"/>
            </w14:solidFill>
          </w14:textFill>
        </w:rPr>
        <w:t>响应内容及是否偏离等情况.</w:t>
      </w:r>
      <w:r>
        <w:rPr>
          <w:rFonts w:hint="eastAsia" w:ascii="仿宋" w:hAnsi="仿宋" w:eastAsia="仿宋" w:cs="仿宋"/>
          <w:bCs/>
          <w:color w:val="000000" w:themeColor="text1"/>
          <w:kern w:val="0"/>
          <w:sz w:val="24"/>
          <w14:textFill>
            <w14:solidFill>
              <w14:schemeClr w14:val="tx1"/>
            </w14:solidFill>
          </w14:textFill>
        </w:rPr>
        <w:t>参数中若有要求提供截图、证明、证书、照片、检测报告等各类证明资料的，须在“备注”栏说明此项证明资料在《投标文件》的具体页码）；</w:t>
      </w:r>
      <w:r>
        <w:rPr>
          <w:rFonts w:hint="eastAsia" w:ascii="仿宋" w:hAnsi="仿宋" w:eastAsia="仿宋"/>
          <w:color w:val="000000" w:themeColor="text1"/>
          <w:sz w:val="24"/>
          <w14:textFill>
            <w14:solidFill>
              <w14:schemeClr w14:val="tx1"/>
            </w14:solidFill>
          </w14:textFill>
        </w:rPr>
        <w:t>未提供技术支持资料，或参数与其提供的技术支持资料不一致的，或未按要求注明页码的，均视为负偏离。</w:t>
      </w:r>
    </w:p>
    <w:p>
      <w:pPr>
        <w:shd w:val="clear" w:color="auto" w:fill="FFFFFF"/>
        <w:spacing w:line="44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（2）产品详细配置清单 （格式自拟）；</w:t>
      </w:r>
    </w:p>
    <w:bookmarkEnd w:id="4"/>
    <w:p>
      <w:pPr>
        <w:shd w:val="clear" w:color="auto" w:fill="FFFFFF"/>
        <w:spacing w:line="44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（3）供应商认为有必要提供的其他技术资料。</w:t>
      </w:r>
    </w:p>
    <w:p>
      <w:pPr>
        <w:shd w:val="clear" w:color="auto" w:fill="FFFFFF"/>
        <w:spacing w:line="420" w:lineRule="exact"/>
        <w:ind w:firstLine="482" w:firstLineChars="20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21.4报价响应文件包括但不限于以下内容：</w:t>
      </w:r>
      <w:r>
        <w:rPr>
          <w:rFonts w:hint="eastAsia" w:ascii="仿宋" w:hAnsi="仿宋" w:eastAsia="仿宋"/>
          <w:b/>
          <w:bCs/>
          <w:color w:val="000000" w:themeColor="text1"/>
          <w:kern w:val="0"/>
          <w:sz w:val="24"/>
          <w14:textFill>
            <w14:solidFill>
              <w14:schemeClr w14:val="tx1"/>
            </w14:solidFill>
          </w14:textFill>
        </w:rPr>
        <w:tab/>
      </w:r>
    </w:p>
    <w:p>
      <w:pPr>
        <w:shd w:val="clear" w:color="auto" w:fill="FFFFFF"/>
        <w:spacing w:line="420" w:lineRule="exact"/>
        <w:ind w:firstLine="480" w:firstLineChars="200"/>
        <w:rPr>
          <w:rFonts w:ascii="仿宋" w:hAnsi="仿宋" w:eastAsia="仿宋"/>
          <w:bCs/>
          <w:color w:val="000000" w:themeColor="text1"/>
          <w:kern w:val="0"/>
          <w:sz w:val="24"/>
          <w14:textFill>
            <w14:solidFill>
              <w14:schemeClr w14:val="tx1"/>
            </w14:solidFill>
          </w14:textFill>
        </w:rPr>
      </w:pPr>
      <w:bookmarkStart w:id="5" w:name="_Hlk519798401"/>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（1）开标一览表；</w:t>
      </w:r>
    </w:p>
    <w:p>
      <w:pPr>
        <w:shd w:val="clear" w:color="auto" w:fill="FFFFFF"/>
        <w:spacing w:line="440" w:lineRule="exact"/>
        <w:ind w:firstLine="480" w:firstLineChars="200"/>
        <w:rPr>
          <w:rFonts w:ascii="仿宋" w:hAnsi="仿宋" w:eastAsia="仿宋"/>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w:t>
      </w:r>
      <w:r>
        <w:rPr>
          <w:rFonts w:hint="eastAsia" w:ascii="仿宋" w:hAnsi="仿宋" w:eastAsia="仿宋"/>
          <w:bCs/>
          <w:color w:val="000000" w:themeColor="text1"/>
          <w:kern w:val="0"/>
          <w:sz w:val="24"/>
          <w14:textFill>
            <w14:solidFill>
              <w14:schemeClr w14:val="tx1"/>
            </w14:solidFill>
          </w14:textFill>
        </w:rPr>
        <w:t>（2）分项报价明细表（按第五章给定格式，并按照第三章《采购需求》内容列明所有货物（含软硬件）、服务等明细价格）；</w:t>
      </w:r>
    </w:p>
    <w:p>
      <w:pPr>
        <w:shd w:val="clear" w:color="auto" w:fill="FFFFFF"/>
        <w:spacing w:line="44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（3）报价需要的其他资料。</w:t>
      </w:r>
    </w:p>
    <w:bookmarkEnd w:id="5"/>
    <w:p>
      <w:pPr>
        <w:shd w:val="clear" w:color="auto" w:fill="FFFFFF"/>
        <w:spacing w:line="440" w:lineRule="exact"/>
        <w:ind w:firstLine="482" w:firstLineChars="20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22. 投标文件的编制及格式</w:t>
      </w:r>
    </w:p>
    <w:p>
      <w:pPr>
        <w:shd w:val="clear" w:color="auto" w:fill="FFFFFF"/>
        <w:spacing w:line="42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22.1 供应商提供的投标文件应按照本须知第20条规定的内容编制，其中，第21.1（1）—（7）、第21.2（1）—（2）、第21.3（1）—（2）、第21.4（1）—（2）为必备项，供应商在投标文件中必须提供有关材料，如果缺项或不符合要求，将导致投标无效。</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22.2供应商提供的投标文件应当使用招标文件所提供投标文件格式（表格可按照同样格式扩展），并保证所提供的资料的真实性。未提供格式的，供应商可自行编制。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22.3投标文件严禁涂改或行间插字和增删，除非这些修改是根据采购人的指示进行的，或者是供应商造成的必须修改的错误，</w:t>
      </w:r>
      <w:r>
        <w:rPr>
          <w:rFonts w:hint="eastAsia" w:ascii="仿宋" w:hAnsi="仿宋" w:eastAsia="仿宋" w:cs="仿宋"/>
          <w:color w:val="000000" w:themeColor="text1"/>
          <w:sz w:val="24"/>
          <w14:textFill>
            <w14:solidFill>
              <w14:schemeClr w14:val="tx1"/>
            </w14:solidFill>
          </w14:textFill>
        </w:rPr>
        <w:t>必要的修改处必须有供应商法人代表或其授权代表人签字并加盖供应商公章，</w:t>
      </w:r>
      <w:r>
        <w:rPr>
          <w:rFonts w:hint="eastAsia" w:ascii="仿宋" w:hAnsi="仿宋" w:eastAsia="仿宋" w:cs="仿宋"/>
          <w:b/>
          <w:color w:val="000000" w:themeColor="text1"/>
          <w:sz w:val="24"/>
          <w14:textFill>
            <w14:solidFill>
              <w14:schemeClr w14:val="tx1"/>
            </w14:solidFill>
          </w14:textFill>
        </w:rPr>
        <w:t>否则，投标无效。</w:t>
      </w:r>
    </w:p>
    <w:p>
      <w:pPr>
        <w:shd w:val="clear" w:color="auto" w:fill="FFFFFF"/>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22.4</w:t>
      </w:r>
      <w:r>
        <w:rPr>
          <w:rFonts w:hint="eastAsia" w:ascii="仿宋" w:hAnsi="仿宋" w:eastAsia="仿宋" w:cs="仿宋"/>
          <w:bCs/>
          <w:color w:val="000000" w:themeColor="text1"/>
          <w:sz w:val="24"/>
          <w14:textFill>
            <w14:solidFill>
              <w14:schemeClr w14:val="tx1"/>
            </w14:solidFill>
          </w14:textFill>
        </w:rPr>
        <w:t>供应商应当按照招标文件的要求编制投标文件。投标文件应当对招标文件提出的要求和条件作出明确响应。</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23. 投标文件的份数和签署</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23.1 供应商应当按照本须知前附表第5项规定的份数提交投标文件。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23.2 投标文件签署要求均应符合招标文件相关规定。</w:t>
      </w:r>
    </w:p>
    <w:p>
      <w:pPr>
        <w:shd w:val="clear" w:color="auto" w:fill="FFFFFF"/>
        <w:spacing w:line="420" w:lineRule="exact"/>
        <w:ind w:firstLine="480" w:firstLineChars="200"/>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23.3投标文件未按照上述规定编制，</w:t>
      </w:r>
      <w:r>
        <w:rPr>
          <w:rFonts w:hint="eastAsia" w:ascii="仿宋" w:hAnsi="仿宋" w:eastAsia="仿宋" w:cs="仿宋"/>
          <w:color w:val="000000" w:themeColor="text1"/>
          <w:sz w:val="24"/>
          <w14:textFill>
            <w14:solidFill>
              <w14:schemeClr w14:val="tx1"/>
            </w14:solidFill>
          </w14:textFill>
        </w:rPr>
        <w:t>符合性审查</w:t>
      </w:r>
      <w:r>
        <w:rPr>
          <w:rFonts w:hint="eastAsia" w:ascii="仿宋" w:hAnsi="仿宋" w:eastAsia="仿宋" w:cs="仿宋"/>
          <w:color w:val="000000" w:themeColor="text1"/>
          <w:kern w:val="0"/>
          <w:sz w:val="24"/>
          <w14:textFill>
            <w14:solidFill>
              <w14:schemeClr w14:val="tx1"/>
            </w14:solidFill>
          </w14:textFill>
        </w:rPr>
        <w:t>将不予以通过。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（四） 投标文件的递交</w:t>
      </w:r>
    </w:p>
    <w:p>
      <w:pPr>
        <w:shd w:val="clear" w:color="auto" w:fill="FFFFFF"/>
        <w:spacing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24.电子版投标文件</w:t>
      </w:r>
    </w:p>
    <w:p>
      <w:pPr>
        <w:shd w:val="clear" w:color="auto" w:fill="FFFFFF"/>
        <w:spacing w:line="420" w:lineRule="exact"/>
        <w:ind w:firstLine="482" w:firstLineChars="20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24.1供应商</w:t>
      </w:r>
      <w:r>
        <w:rPr>
          <w:rFonts w:hint="eastAsia" w:ascii="仿宋" w:hAnsi="仿宋" w:eastAsia="仿宋" w:cs="仿宋"/>
          <w:b/>
          <w:bCs/>
          <w:color w:val="000000" w:themeColor="text1"/>
          <w:kern w:val="0"/>
          <w:sz w:val="24"/>
          <w14:textFill>
            <w14:solidFill>
              <w14:schemeClr w14:val="tx1"/>
            </w14:solidFill>
          </w14:textFill>
        </w:rPr>
        <w:t>须在投标截止时间前通过CA在政采云平台上传加密的电子投标文件；</w:t>
      </w:r>
      <w:r>
        <w:rPr>
          <w:rFonts w:hint="eastAsia" w:ascii="仿宋" w:hAnsi="仿宋" w:eastAsia="仿宋" w:cs="仿宋"/>
          <w:b/>
          <w:color w:val="000000" w:themeColor="text1"/>
          <w:kern w:val="0"/>
          <w:sz w:val="24"/>
          <w14:textFill>
            <w14:solidFill>
              <w14:schemeClr w14:val="tx1"/>
            </w14:solidFill>
          </w14:textFill>
        </w:rPr>
        <w:t>投标截止时间以政采云平台显示的时间为准，逾期系统将自动关闭，</w:t>
      </w:r>
      <w:r>
        <w:rPr>
          <w:rFonts w:hint="eastAsia" w:ascii="仿宋" w:hAnsi="仿宋" w:eastAsia="仿宋" w:cs="仿宋"/>
          <w:b/>
          <w:bCs/>
          <w:color w:val="000000" w:themeColor="text1"/>
          <w:kern w:val="0"/>
          <w:sz w:val="24"/>
          <w14:textFill>
            <w14:solidFill>
              <w14:schemeClr w14:val="tx1"/>
            </w14:solidFill>
          </w14:textFill>
        </w:rPr>
        <w:t>逾期上传的或者未成功上传到平台的投标文件，投标无效。</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25. 投标文件的提交</w:t>
      </w:r>
    </w:p>
    <w:p>
      <w:pPr>
        <w:shd w:val="clear" w:color="auto" w:fill="FFFFFF"/>
        <w:spacing w:line="420" w:lineRule="exact"/>
        <w:ind w:firstLine="480"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供应商应当按照本投标须知前附表所规定的地点，于投标截止时间前上传加密的电子投标文件。纸质版投标文件按照本投标须知前附表相关规定提交。</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26.</w:t>
      </w:r>
      <w:r>
        <w:rPr>
          <w:rFonts w:hint="eastAsia" w:ascii="仿宋" w:hAnsi="仿宋" w:eastAsia="仿宋" w:cs="仿宋"/>
          <w:b/>
          <w:bCs/>
          <w:color w:val="000000" w:themeColor="text1"/>
          <w:kern w:val="0"/>
          <w:sz w:val="24"/>
          <w14:textFill>
            <w14:solidFill>
              <w14:schemeClr w14:val="tx1"/>
            </w14:solidFill>
          </w14:textFill>
        </w:rPr>
        <w:t>加密的电子投标文件</w:t>
      </w:r>
      <w:r>
        <w:rPr>
          <w:rFonts w:hint="eastAsia" w:ascii="仿宋" w:hAnsi="仿宋" w:eastAsia="仿宋" w:cs="仿宋"/>
          <w:b/>
          <w:color w:val="000000" w:themeColor="text1"/>
          <w:kern w:val="0"/>
          <w:sz w:val="24"/>
          <w14:textFill>
            <w14:solidFill>
              <w14:schemeClr w14:val="tx1"/>
            </w14:solidFill>
          </w14:textFill>
        </w:rPr>
        <w:t>提交的截止时间</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26.1 投标文件提交的截止时间详见本投标须知前附表规定。</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26.2 采购人可按本招标文件第14条规定以修改补充通知的方式，酌情延长提交投标书的截止时间。在上述情况下，采购人与供应商在原投标截止时间前的全部权利和义务，将适用于延长后新的投标截止时间。</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26.3 至投标文件递交截止时间，采购人收到的投标文件少于3个的，不得开标。评标过程中有效供应商少于3个的，应终止评标，由采购人依法重新组织招标。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27. 迟交的</w:t>
      </w:r>
      <w:r>
        <w:rPr>
          <w:rFonts w:hint="eastAsia" w:ascii="仿宋" w:hAnsi="仿宋" w:eastAsia="仿宋" w:cs="仿宋"/>
          <w:b/>
          <w:bCs/>
          <w:color w:val="000000" w:themeColor="text1"/>
          <w:kern w:val="0"/>
          <w:sz w:val="24"/>
          <w14:textFill>
            <w14:solidFill>
              <w14:schemeClr w14:val="tx1"/>
            </w14:solidFill>
          </w14:textFill>
        </w:rPr>
        <w:t>加密的电子投标文件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供应商在本投标须知前附表规定的投标截止时间以后提交的投标文件将被拒绝并退回。</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 xml:space="preserve">28. </w:t>
      </w:r>
      <w:r>
        <w:rPr>
          <w:rFonts w:hint="eastAsia" w:ascii="仿宋" w:hAnsi="仿宋" w:eastAsia="仿宋" w:cs="仿宋"/>
          <w:b/>
          <w:bCs/>
          <w:color w:val="000000" w:themeColor="text1"/>
          <w:kern w:val="0"/>
          <w:sz w:val="24"/>
          <w14:textFill>
            <w14:solidFill>
              <w14:schemeClr w14:val="tx1"/>
            </w14:solidFill>
          </w14:textFill>
        </w:rPr>
        <w:t>加密的电子投标文件</w:t>
      </w:r>
      <w:r>
        <w:rPr>
          <w:rFonts w:hint="eastAsia" w:ascii="仿宋" w:hAnsi="仿宋" w:eastAsia="仿宋" w:cs="仿宋"/>
          <w:b/>
          <w:color w:val="000000" w:themeColor="text1"/>
          <w:kern w:val="0"/>
          <w:sz w:val="24"/>
          <w14:textFill>
            <w14:solidFill>
              <w14:schemeClr w14:val="tx1"/>
            </w14:solidFill>
          </w14:textFill>
        </w:rPr>
        <w:t>的补充、修改与撤回</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28.1 供应商在投标须知前附表规定的投标截止时间之前，可以补充、修改或撤回已提交的投标文件。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28.2 在投标截止时间之后，供应商不得补充、修改投标文件。</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（五） 开标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29. 开标</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29.1本项目采用不见面开标方式，招标会将于投标须知前附表规定的时间和地点召开，</w:t>
      </w:r>
      <w:r>
        <w:rPr>
          <w:rFonts w:hint="eastAsia" w:ascii="仿宋" w:hAnsi="仿宋" w:eastAsia="仿宋" w:cs="仿宋"/>
          <w:bCs/>
          <w:color w:val="000000" w:themeColor="text1"/>
          <w:kern w:val="0"/>
          <w:sz w:val="24"/>
          <w14:textFill>
            <w14:solidFill>
              <w14:schemeClr w14:val="tx1"/>
            </w14:solidFill>
          </w14:textFill>
        </w:rPr>
        <w:t>供应商无需到达开标现场，仅需在任意地点通过政采云平台完成开标签到、远程解密、报价确认等交互环节。</w:t>
      </w:r>
      <w:r>
        <w:rPr>
          <w:rFonts w:hint="eastAsia" w:ascii="仿宋" w:hAnsi="仿宋" w:eastAsia="仿宋" w:cs="仿宋"/>
          <w:color w:val="000000" w:themeColor="text1"/>
          <w:kern w:val="0"/>
          <w:sz w:val="24"/>
          <w14:textFill>
            <w14:solidFill>
              <w14:schemeClr w14:val="tx1"/>
            </w14:solidFill>
          </w14:textFill>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cs="仿宋"/>
          <w:b/>
          <w:color w:val="000000" w:themeColor="text1"/>
          <w:kern w:val="0"/>
          <w:sz w:val="24"/>
          <w14:textFill>
            <w14:solidFill>
              <w14:schemeClr w14:val="tx1"/>
            </w14:solidFill>
          </w14:textFill>
        </w:rPr>
        <w:t>投标截止时间前不得开启投标文件。</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 开标程序</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29.2.1供应商不足3个的，不得开标。</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29.2.2 开标由采购人或采购代理机构主持；</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29.2.3 宣读开标纪律，介绍采购人代表、监督人员；</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29.2.4 供应商解密，解密时长30分钟；</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29.2.5由采购代理机构工作人员开启报价签字时段，供应商在规定时间内对《开标一览表》的内容进行签字确认，本项目报价签字时段设定为30分钟，如供应商未在规定时间内签字确认，后果自负。</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29.2.6开标结束后由采购人代表对供应商进行资格审查；资格审查不合格的，投标无效；</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29.2.7 按本文件第 28 条已提交了可接受的撤回通知的投标文件及无效投标文件将不予开启。</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29.3 公开招标数额标准以上的采购项目，投标截止后供应商不足3家或者通过资格审查或符合性审查的供应商不足3家的，除采购任务取消情形外，可按照以下方式处理：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（一）招标文件存在不合理条款或者招标程序不符合规定的，采购人、采购代理机构改正后依法重新招标；</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（二）招标文件没有不合理条款、招标程序符合规定，需要采用其他采购方式采购的，采购人应当依法报财政部门批准。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29.4供应商法定代表人或法定代表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29.5采购人或采购代理机构应对开标过程进行记录，由相关工作人员签字确认后随招标文件一并存档。</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30. 资格审查</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30.1开标结束后，采购人按照本须知21.1条资格响应文件要求的（1）-（7）项内容对各供应商进行资格审查，同时由招标代理机构按照《投标须知前附表》第4.4项要求对所有供应商进行信用记录查询，并将查询结果书面记录资料提交采购人。供应商资格审查不合格的，其投标无效。</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30.2合格供应商不足三家的，不进行评标。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（六） 评标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 评标委员会与评标</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31.1 评标工作由采购人依法组建的评标委员会负责。评标委员会的名单在评标结果公告前应当保密。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31.2本项目评标委员会由 7人以上单数组成，其中评审专家不得少于成员总数的三分之二。</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31.3 开标结束后，开始评标，评标采用保密方式进行。</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31.4 评标委员会组长由评标委员会成员推举产生，并与评标委员会其他成员有同等的权利和义务。采购人代表不得担任评标委员会组长。</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31.5 评标委员会成员应当客观、公正地履行职责，遵守职业道德，对所提出的评审意见承担个人责任。</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31.6 评标委员会根据招标文件确定的评比标准和方法，对投标文件进行系统地评审和比较。招标文件中没有规定的标准和方法不得作为评标的依据。</w:t>
      </w:r>
    </w:p>
    <w:p>
      <w:pPr>
        <w:shd w:val="clear" w:color="auto" w:fill="FFFFFF"/>
        <w:spacing w:line="420" w:lineRule="exact"/>
        <w:ind w:firstLine="480" w:firstLineChars="200"/>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31.7在评标过程中，评标委员会发现有证据表明供应商以他人的名义投标、串通投标、以行贿手段谋取中标或者以其他弄虚作假方式投标的，该供应商的投标作无效标处理。并在评标报告中说明。</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投标文件的澄清</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32.2 供应商未按照要求对投标文件进行澄清、说明或者补正的，评标委员会可以否决其投标。</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 投标文件的评审、比较</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33.1 投标文件符合性审查</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33.1.1评标委员会应当对通过资格审查的供应商的投标文件进行符合性审查，以确定其是否满足招标文件的实质性要求。通过符合性审查的供应商的投标文件进入详细评审。</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 投标文件的详细评审</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33.2.1</w:t>
      </w:r>
      <w:r>
        <w:rPr>
          <w:rFonts w:hint="eastAsia" w:ascii="仿宋" w:hAnsi="仿宋" w:eastAsia="仿宋" w:cs="仿宋"/>
          <w:bCs/>
          <w:color w:val="000000" w:themeColor="text1"/>
          <w:kern w:val="0"/>
          <w:sz w:val="24"/>
          <w14:textFill>
            <w14:solidFill>
              <w14:schemeClr w14:val="tx1"/>
            </w14:solidFill>
          </w14:textFill>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33.2.2 评审中，评标委员会可以对投标文件中含义不明确、同类问题表述不一致或者有明显文字和计算错误的内容，在规定的时限内要求供应商作出必要的澄清、说明或者补正。</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非单一产品采购项目，采购人应当根据采购项目技术构成、产品价格比重等合理确定核心产品，并在招标文件中载明。多家供应商提供的核心产品品牌相同的，按前款规定处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33.2.7评标结果汇总完成后，除下列情形外，任何人不得修改评标结果：</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（一）分值汇总计算错误的；</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（二）分项评分超出评分标准范围的；</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（三）评标委员会成员对客观评审因素评分不一致的；</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（四）经评标委员会认定评分畸高、畸低的。</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spacing w:line="42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33.2.8 评标委员会依据投标须知前附表规定的评标方法，对供应商的投标文件进行评审和比较，</w:t>
      </w:r>
      <w:r>
        <w:rPr>
          <w:rFonts w:hint="eastAsia" w:ascii="仿宋" w:hAnsi="仿宋" w:eastAsia="仿宋" w:cs="仿宋"/>
          <w:bCs/>
          <w:color w:val="000000" w:themeColor="text1"/>
          <w:kern w:val="0"/>
          <w:sz w:val="24"/>
          <w14:textFill>
            <w14:solidFill>
              <w14:schemeClr w14:val="tx1"/>
            </w14:solidFill>
          </w14:textFill>
        </w:rPr>
        <w:t>供应商最终得分等于商务部分、技术部分、报价部分得分之和。评标委员会确定供应商最终得分向采购人提出书面报告，并推荐合格的中标候选人。</w:t>
      </w:r>
    </w:p>
    <w:p>
      <w:pPr>
        <w:shd w:val="clear" w:color="auto" w:fill="FFFFFF"/>
        <w:spacing w:line="42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 评标的办法和标准</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34.1 本招标项目评标办法为：</w:t>
      </w:r>
      <w:r>
        <w:rPr>
          <w:rFonts w:hint="eastAsia" w:ascii="仿宋" w:hAnsi="仿宋" w:eastAsia="仿宋" w:cs="仿宋"/>
          <w:b/>
          <w:color w:val="000000" w:themeColor="text1"/>
          <w:kern w:val="0"/>
          <w:sz w:val="24"/>
          <w14:textFill>
            <w14:solidFill>
              <w14:schemeClr w14:val="tx1"/>
            </w14:solidFill>
          </w14:textFill>
        </w:rPr>
        <w:t>综合评分法</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 审查</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34.2.1 资格审查</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34.2.2 投标文件符合性审查</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34.2.3 投标文件详细评审</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（1）投标报价评审</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（2）投标文件商务部分、技术部分评审</w:t>
      </w:r>
    </w:p>
    <w:p>
      <w:pPr>
        <w:shd w:val="clear" w:color="auto" w:fill="FFFFFF"/>
        <w:spacing w:line="4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 评标的具体评审办法和标准</w:t>
      </w: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p>
      <w:pPr>
        <w:widowControl/>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br w:type="page"/>
      </w: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34.3.1资格审查</w:t>
      </w: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tbl>
      <w:tblPr>
        <w:tblStyle w:val="6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w:t>
            </w:r>
          </w:p>
        </w:tc>
        <w:tc>
          <w:tcPr>
            <w:tcW w:w="4819" w:type="dxa"/>
            <w:gridSpan w:val="2"/>
            <w:tcBorders>
              <w:bottom w:val="single" w:color="auto" w:sz="4" w:space="0"/>
            </w:tcBorders>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  审  内  容</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供应商1</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供应商2</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供应商3</w:t>
            </w:r>
          </w:p>
        </w:tc>
        <w:tc>
          <w:tcPr>
            <w:tcW w:w="709"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851" w:type="dxa"/>
            <w:vMerge w:val="restart"/>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资</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审</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查</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w:t>
            </w:r>
          </w:p>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4252" w:type="dxa"/>
            <w:vAlign w:val="center"/>
          </w:tcPr>
          <w:p>
            <w:pPr>
              <w:shd w:val="clear" w:color="auto" w:fill="FFFFFF"/>
              <w:spacing w:line="340" w:lineRule="exact"/>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供应商营业执照或其他组织资格证书</w:t>
            </w:r>
            <w:r>
              <w:rPr>
                <w:rFonts w:hint="eastAsia" w:ascii="仿宋" w:hAnsi="仿宋" w:eastAsia="仿宋"/>
                <w:bCs/>
                <w:color w:val="000000" w:themeColor="text1"/>
                <w:kern w:val="0"/>
                <w:sz w:val="24"/>
                <w14:textFill>
                  <w14:solidFill>
                    <w14:schemeClr w14:val="tx1"/>
                  </w14:solidFill>
                </w14:textFill>
              </w:rPr>
              <w:t>，扫描件</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4252" w:type="dxa"/>
            <w:vAlign w:val="center"/>
          </w:tcPr>
          <w:p>
            <w:pPr>
              <w:shd w:val="clear" w:color="auto" w:fill="FFFFFF"/>
              <w:spacing w:line="3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法定代表人资格证明书和法定代表人身份证或者法定代表人授权委托书及被授权人身份证明，均为扫描件；</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4252" w:type="dxa"/>
            <w:vAlign w:val="center"/>
          </w:tcPr>
          <w:p>
            <w:pPr>
              <w:shd w:val="clear" w:color="auto" w:fill="FFFFFF"/>
              <w:spacing w:line="34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供应商按照招标文件规定格式提供有效的《中小企业声明函》；</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4252" w:type="dxa"/>
            <w:vAlign w:val="center"/>
          </w:tcPr>
          <w:p>
            <w:pPr>
              <w:shd w:val="clear" w:color="auto" w:fill="FFFFFF"/>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供应商开标前三个月内任意一个月依法纳税及缴纳社会保险相关证明资料</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4252" w:type="dxa"/>
            <w:vAlign w:val="center"/>
          </w:tcPr>
          <w:p>
            <w:pPr>
              <w:shd w:val="clear" w:color="auto" w:fill="FFFFFF"/>
              <w:spacing w:line="42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供应商经第三方审计的上一年度（2023年）的财务审计报告；自成立到投标截止时间，未跨一个自然年度的须提供近一个季度的财务报表或开标前三个月内基本开户银行出具的资信证明</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4252" w:type="dxa"/>
            <w:vAlign w:val="center"/>
          </w:tcPr>
          <w:p>
            <w:pPr>
              <w:shd w:val="clear" w:color="auto" w:fill="FFFFFF"/>
              <w:spacing w:line="340" w:lineRule="exact"/>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供应商参加本次政府采购活动前3年内在经营活动中没有重大违法记录的书面声明</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4252" w:type="dxa"/>
            <w:vAlign w:val="center"/>
          </w:tcPr>
          <w:p>
            <w:pPr>
              <w:shd w:val="clear" w:color="auto" w:fill="FFFFFF"/>
              <w:spacing w:line="340" w:lineRule="exact"/>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投标保证金缴纳凭证</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4252" w:type="dxa"/>
            <w:vAlign w:val="center"/>
          </w:tcPr>
          <w:p>
            <w:pPr>
              <w:shd w:val="clear" w:color="auto" w:fill="FFFFFF"/>
              <w:spacing w:line="34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信用查询记录未出现《投标须知前附表》第4.4项所述违法或失信情形</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5670" w:type="dxa"/>
            <w:gridSpan w:val="3"/>
            <w:vAlign w:val="center"/>
          </w:tcPr>
          <w:p>
            <w:pPr>
              <w:shd w:val="clear" w:color="auto" w:fill="FFFFFF"/>
              <w:spacing w:line="360" w:lineRule="exact"/>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结论</w:t>
            </w: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13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709"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9781" w:type="dxa"/>
            <w:gridSpan w:val="7"/>
            <w:vAlign w:val="center"/>
          </w:tcPr>
          <w:p>
            <w:pPr>
              <w:shd w:val="clear" w:color="auto" w:fill="FFFFFF"/>
              <w:spacing w:line="440" w:lineRule="exact"/>
              <w:rPr>
                <w:rFonts w:ascii="仿宋" w:hAnsi="仿宋" w:eastAsia="仿宋"/>
                <w:bCs/>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采购人代表签名：</w:t>
            </w:r>
          </w:p>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9781" w:type="dxa"/>
            <w:gridSpan w:val="7"/>
            <w:vAlign w:val="center"/>
          </w:tcPr>
          <w:p>
            <w:pPr>
              <w:shd w:val="clear" w:color="auto" w:fill="FFFFFF"/>
              <w:spacing w:line="360" w:lineRule="exac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上述每一项审查，供应商通过的，以“√”标记；否则，以“×”标记。如果供应商有一项未通过上述审查，其结论请注明“不合格”，全部通过的，其结论请注明“合格”。资格审查不合格的供应商，投标无效。</w:t>
            </w:r>
          </w:p>
        </w:tc>
      </w:tr>
    </w:tbl>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sz w:val="24"/>
          <w14:textFill>
            <w14:solidFill>
              <w14:schemeClr w14:val="tx1"/>
            </w14:solidFill>
          </w14:textFill>
        </w:rPr>
      </w:pPr>
    </w:p>
    <w:p>
      <w:pPr>
        <w:widowControl/>
        <w:jc w:val="left"/>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br w:type="page"/>
      </w:r>
    </w:p>
    <w:p>
      <w:pPr>
        <w:shd w:val="clear" w:color="auto" w:fill="FFFFFF"/>
        <w:tabs>
          <w:tab w:val="left" w:pos="3045"/>
        </w:tabs>
        <w:autoSpaceDE w:val="0"/>
        <w:autoSpaceDN w:val="0"/>
        <w:adjustRightInd w:val="0"/>
        <w:snapToGrid w:val="0"/>
        <w:spacing w:line="360" w:lineRule="exact"/>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34.3.2符合性审查</w:t>
      </w:r>
    </w:p>
    <w:tbl>
      <w:tblPr>
        <w:tblStyle w:val="6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537"/>
        <w:gridCol w:w="988"/>
        <w:gridCol w:w="977"/>
        <w:gridCol w:w="104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项目</w:t>
            </w:r>
          </w:p>
        </w:tc>
        <w:tc>
          <w:tcPr>
            <w:tcW w:w="5104" w:type="dxa"/>
            <w:gridSpan w:val="2"/>
            <w:tcBorders>
              <w:bottom w:val="single" w:color="auto" w:sz="4" w:space="0"/>
            </w:tcBorders>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  审  内  容</w:t>
            </w:r>
          </w:p>
        </w:tc>
        <w:tc>
          <w:tcPr>
            <w:tcW w:w="988"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供应商1</w:t>
            </w:r>
          </w:p>
        </w:tc>
        <w:tc>
          <w:tcPr>
            <w:tcW w:w="977"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供应商2</w:t>
            </w:r>
          </w:p>
        </w:tc>
        <w:tc>
          <w:tcPr>
            <w:tcW w:w="1047"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供应商3</w:t>
            </w:r>
          </w:p>
        </w:tc>
        <w:tc>
          <w:tcPr>
            <w:tcW w:w="814" w:type="dxa"/>
            <w:tcBorders>
              <w:bottom w:val="single" w:color="auto" w:sz="4" w:space="0"/>
            </w:tcBorders>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1" w:type="dxa"/>
            <w:vMerge w:val="restart"/>
            <w:vAlign w:val="center"/>
          </w:tcPr>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初</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步</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审</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符</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合</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性</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审</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查</w:t>
            </w:r>
          </w:p>
          <w:p>
            <w:pPr>
              <w:shd w:val="clear" w:color="auto" w:fill="FFFFFF"/>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表</w:t>
            </w:r>
          </w:p>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投标文件组成完整，主要内容按招标文件规定的内容、格式填写装订</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投标总报价未超过本项目的最高限价</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供应商未出现对同一货物或服务做出两个以上报价且未明确效力的</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w:t>
            </w:r>
            <w:r>
              <w:rPr>
                <w:rFonts w:hint="eastAsia" w:ascii="仿宋" w:hAnsi="仿宋" w:eastAsia="仿宋"/>
                <w:bCs/>
                <w:color w:val="000000" w:themeColor="text1"/>
                <w:kern w:val="0"/>
                <w:sz w:val="24"/>
                <w14:textFill>
                  <w14:solidFill>
                    <w14:schemeClr w14:val="tx1"/>
                  </w14:solidFill>
                </w14:textFill>
              </w:rPr>
              <w:t>商务及合同条款偏离表</w:t>
            </w:r>
            <w:r>
              <w:rPr>
                <w:rFonts w:hint="eastAsia" w:ascii="仿宋" w:hAnsi="仿宋" w:eastAsia="仿宋"/>
                <w:color w:val="000000" w:themeColor="text1"/>
                <w:sz w:val="24"/>
                <w14:textFill>
                  <w14:solidFill>
                    <w14:schemeClr w14:val="tx1"/>
                  </w14:solidFill>
                </w14:textFill>
              </w:rPr>
              <w:t>》载明的</w:t>
            </w:r>
            <w:r>
              <w:rPr>
                <w:rFonts w:hint="eastAsia" w:ascii="仿宋" w:hAnsi="仿宋" w:eastAsia="仿宋"/>
                <w:bCs/>
                <w:color w:val="000000" w:themeColor="text1"/>
                <w:kern w:val="0"/>
                <w:sz w:val="24"/>
                <w14:textFill>
                  <w14:solidFill>
                    <w14:schemeClr w14:val="tx1"/>
                  </w14:solidFill>
                </w14:textFill>
              </w:rPr>
              <w:t>“投标有效期”、“交付时间”、“交货地点”、“质保期”、“付款方式”</w:t>
            </w:r>
            <w:r>
              <w:rPr>
                <w:rFonts w:hint="eastAsia" w:ascii="仿宋" w:hAnsi="仿宋" w:eastAsia="仿宋"/>
                <w:color w:val="000000" w:themeColor="text1"/>
                <w:sz w:val="24"/>
                <w14:textFill>
                  <w14:solidFill>
                    <w14:schemeClr w14:val="tx1"/>
                  </w14:solidFill>
                </w14:textFill>
              </w:rPr>
              <w:t>符合招标文件要求，未出现负偏离</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投标文件按照招标文件第二章第21项要求的资格、商务、技术、报价部分提供必备项内容且符合要求</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投标承诺书按招标文件规定格式、内容完整提供，且按招标文件要求签字、盖章</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投标文件未附有采购人不能接受的条件</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851" w:type="dxa"/>
            <w:vMerge w:val="continue"/>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p>
        </w:tc>
        <w:tc>
          <w:tcPr>
            <w:tcW w:w="567" w:type="dxa"/>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453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符合法律、法规和招标文件中规定的实质性要求</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955" w:type="dxa"/>
            <w:gridSpan w:val="3"/>
            <w:vAlign w:val="center"/>
          </w:tcPr>
          <w:p>
            <w:pPr>
              <w:shd w:val="clear" w:color="auto" w:fill="FFFFFF"/>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结论</w:t>
            </w:r>
          </w:p>
        </w:tc>
        <w:tc>
          <w:tcPr>
            <w:tcW w:w="988"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97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1047"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c>
          <w:tcPr>
            <w:tcW w:w="814" w:type="dxa"/>
            <w:vAlign w:val="center"/>
          </w:tcPr>
          <w:p>
            <w:pPr>
              <w:shd w:val="clear" w:color="auto" w:fill="FFFFFF"/>
              <w:spacing w:line="36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781" w:type="dxa"/>
            <w:gridSpan w:val="7"/>
            <w:vAlign w:val="center"/>
          </w:tcPr>
          <w:p>
            <w:pPr>
              <w:shd w:val="clear" w:color="auto" w:fill="FFFFFF"/>
              <w:spacing w:line="36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评标委员会成员签名：</w:t>
            </w:r>
          </w:p>
          <w:p>
            <w:pPr>
              <w:shd w:val="clear" w:color="auto" w:fill="FFFFFF"/>
              <w:spacing w:line="360" w:lineRule="exac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781" w:type="dxa"/>
            <w:gridSpan w:val="7"/>
            <w:vAlign w:val="center"/>
          </w:tcPr>
          <w:p>
            <w:pPr>
              <w:shd w:val="clear" w:color="auto" w:fill="FFFFFF"/>
              <w:spacing w:line="360" w:lineRule="exac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上述每一项审查，供应商通过的，以“√”标记；否则，以“×”标记。如果供应商有一项未通过上述审查，其结论请注明“不合格”，全部通过的，其结论请注明“合格”。初步评审合格的供应商方可进入详细评审阶段。</w:t>
            </w:r>
          </w:p>
        </w:tc>
      </w:tr>
    </w:tbl>
    <w:p>
      <w:pPr>
        <w:shd w:val="clear" w:color="auto" w:fill="FFFFFF"/>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br w:type="page"/>
      </w:r>
      <w:r>
        <w:rPr>
          <w:rFonts w:hint="eastAsia" w:ascii="仿宋" w:hAnsi="仿宋" w:eastAsia="仿宋"/>
          <w:b/>
          <w:color w:val="000000" w:themeColor="text1"/>
          <w:sz w:val="24"/>
          <w14:textFill>
            <w14:solidFill>
              <w14:schemeClr w14:val="tx1"/>
            </w14:solidFill>
          </w14:textFill>
        </w:rPr>
        <w:t>34.3.2详细评审</w:t>
      </w:r>
    </w:p>
    <w:p>
      <w:pPr>
        <w:pStyle w:val="527"/>
        <w:shd w:val="clear" w:color="auto" w:fill="FFFFFF"/>
        <w:spacing w:line="440" w:lineRule="exact"/>
        <w:ind w:firstLine="480" w:firstLineChars="200"/>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符合性评审合格的供应商方可进入详细评审阶段。详细评审分为投标文件商务、技术部分评审和投标报价评审。其中，报价部分30分，商务部分30分，技术部分40分，合计满分100分。</w:t>
      </w:r>
    </w:p>
    <w:p>
      <w:pPr>
        <w:shd w:val="clear" w:color="auto" w:fill="FFFFFF"/>
        <w:spacing w:line="44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34.3.3具体评审内容及标准</w:t>
      </w:r>
    </w:p>
    <w:p>
      <w:pPr>
        <w:shd w:val="clear" w:color="auto" w:fill="FFFFFF"/>
        <w:spacing w:line="44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报价评审</w:t>
      </w:r>
    </w:p>
    <w:tbl>
      <w:tblPr>
        <w:tblStyle w:val="60"/>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974"/>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681" w:type="dxa"/>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评审因素</w:t>
            </w:r>
          </w:p>
        </w:tc>
        <w:tc>
          <w:tcPr>
            <w:tcW w:w="974" w:type="dxa"/>
            <w:vAlign w:val="center"/>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分值</w:t>
            </w:r>
          </w:p>
        </w:tc>
        <w:tc>
          <w:tcPr>
            <w:tcW w:w="6548" w:type="dxa"/>
            <w:vAlign w:val="center"/>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2681" w:type="dxa"/>
            <w:vAlign w:val="center"/>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价格部分</w:t>
            </w:r>
          </w:p>
        </w:tc>
        <w:tc>
          <w:tcPr>
            <w:tcW w:w="974" w:type="dxa"/>
            <w:vAlign w:val="center"/>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30分</w:t>
            </w:r>
          </w:p>
        </w:tc>
        <w:tc>
          <w:tcPr>
            <w:tcW w:w="6548" w:type="dxa"/>
            <w:vAlign w:val="center"/>
          </w:tcPr>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采用低价优先法计算，即满足招标文件要求且投标价格最低的投标报价为评标基准价，其价格分为满分。</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其他供应商的价格分统一按照下列公式计算:</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投标报价得分=(评标基准价/投标报价)×30%×100（小数点保留两位）</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注：对小微企业价格优惠计算方法按本须知“前附表”18.2项执行.</w:t>
            </w:r>
          </w:p>
        </w:tc>
      </w:tr>
    </w:tbl>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商务技术评审</w:t>
      </w:r>
    </w:p>
    <w:tbl>
      <w:tblPr>
        <w:tblStyle w:val="60"/>
        <w:tblW w:w="10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1321"/>
        <w:gridCol w:w="696"/>
        <w:gridCol w:w="7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27"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评审因素</w:t>
            </w:r>
          </w:p>
        </w:tc>
        <w:tc>
          <w:tcPr>
            <w:tcW w:w="1321"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评审内容</w:t>
            </w:r>
          </w:p>
        </w:tc>
        <w:tc>
          <w:tcPr>
            <w:tcW w:w="696"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分值</w:t>
            </w:r>
          </w:p>
        </w:tc>
        <w:tc>
          <w:tcPr>
            <w:tcW w:w="7198" w:type="dxa"/>
            <w:shd w:val="clear" w:color="auto" w:fill="auto"/>
            <w:tcMar>
              <w:top w:w="15" w:type="dxa"/>
              <w:left w:w="15" w:type="dxa"/>
              <w:right w:w="15" w:type="dxa"/>
            </w:tcMar>
            <w:vAlign w:val="center"/>
          </w:tcPr>
          <w:p>
            <w:pPr>
              <w:widowControl/>
              <w:spacing w:line="360" w:lineRule="exact"/>
              <w:jc w:val="center"/>
              <w:textAlignment w:val="top"/>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1027" w:type="dxa"/>
            <w:vMerge w:val="restart"/>
            <w:shd w:val="clear" w:color="auto" w:fill="auto"/>
            <w:tcMar>
              <w:top w:w="15" w:type="dxa"/>
              <w:left w:w="15" w:type="dxa"/>
              <w:right w:w="15" w:type="dxa"/>
            </w:tcMar>
            <w:vAlign w:val="center"/>
          </w:tcPr>
          <w:p>
            <w:pPr>
              <w:widowControl/>
              <w:spacing w:line="360" w:lineRule="exac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商务部分（30分）</w:t>
            </w:r>
          </w:p>
        </w:tc>
        <w:tc>
          <w:tcPr>
            <w:tcW w:w="1321" w:type="dxa"/>
            <w:shd w:val="clear" w:color="auto" w:fill="auto"/>
            <w:noWrap/>
            <w:tcMar>
              <w:top w:w="15" w:type="dxa"/>
              <w:left w:w="15" w:type="dxa"/>
              <w:right w:w="15" w:type="dxa"/>
            </w:tcMar>
            <w:vAlign w:val="center"/>
          </w:tcPr>
          <w:p>
            <w:pPr>
              <w:shd w:val="clear" w:color="auto" w:fill="FFFFFF"/>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售后服务</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olor w:val="000000" w:themeColor="text1"/>
                <w:kern w:val="0"/>
                <w:szCs w:val="24"/>
                <w14:textFill>
                  <w14:solidFill>
                    <w14:schemeClr w14:val="tx1"/>
                  </w14:solidFill>
                </w14:textFill>
              </w:rPr>
              <w:t>15</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ascii="仿宋" w:hAnsi="仿宋" w:eastAsia="仿宋" w:cstheme="minorBidi"/>
                <w:color w:val="000000" w:themeColor="text1"/>
                <w:szCs w:val="24"/>
                <w14:textFill>
                  <w14:solidFill>
                    <w14:schemeClr w14:val="tx1"/>
                  </w14:solidFill>
                </w14:textFill>
              </w:rPr>
              <w:t>对售后服务保修期内的免费维修维护有详细的描述，</w:t>
            </w:r>
          </w:p>
          <w:p>
            <w:pPr>
              <w:pStyle w:val="680"/>
              <w:numPr>
                <w:ilvl w:val="0"/>
                <w:numId w:val="14"/>
              </w:numPr>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ascii="仿宋" w:hAnsi="仿宋" w:eastAsia="仿宋" w:cstheme="minorBidi"/>
                <w:color w:val="000000" w:themeColor="text1"/>
                <w:szCs w:val="24"/>
                <w14:textFill>
                  <w14:solidFill>
                    <w14:schemeClr w14:val="tx1"/>
                  </w14:solidFill>
                </w14:textFill>
              </w:rPr>
              <w:t>包括</w:t>
            </w:r>
            <w:r>
              <w:rPr>
                <w:rFonts w:hint="eastAsia" w:ascii="仿宋" w:hAnsi="仿宋" w:eastAsia="仿宋" w:cstheme="minorBidi"/>
                <w:color w:val="000000" w:themeColor="text1"/>
                <w:szCs w:val="24"/>
                <w14:textFill>
                  <w14:solidFill>
                    <w14:schemeClr w14:val="tx1"/>
                  </w14:solidFill>
                </w14:textFill>
              </w:rPr>
              <w:t>如下：</w:t>
            </w:r>
            <w:r>
              <w:rPr>
                <w:rFonts w:ascii="仿宋" w:hAnsi="仿宋" w:eastAsia="仿宋" w:cstheme="minorBidi"/>
                <w:color w:val="000000" w:themeColor="text1"/>
                <w:szCs w:val="24"/>
                <w14:textFill>
                  <w14:solidFill>
                    <w14:schemeClr w14:val="tx1"/>
                  </w14:solidFill>
                </w14:textFill>
              </w:rPr>
              <w:t>①响应时间</w:t>
            </w:r>
            <w:r>
              <w:rPr>
                <w:rFonts w:hint="eastAsia" w:ascii="仿宋" w:hAnsi="仿宋" w:eastAsia="仿宋" w:cstheme="minorBidi"/>
                <w:color w:val="000000" w:themeColor="text1"/>
                <w:szCs w:val="24"/>
                <w14:textFill>
                  <w14:solidFill>
                    <w14:schemeClr w14:val="tx1"/>
                  </w14:solidFill>
                </w14:textFill>
              </w:rPr>
              <w:t>；</w:t>
            </w:r>
            <w:r>
              <w:rPr>
                <w:rFonts w:ascii="仿宋" w:hAnsi="仿宋" w:eastAsia="仿宋" w:cstheme="minorBidi"/>
                <w:color w:val="000000" w:themeColor="text1"/>
                <w:szCs w:val="24"/>
                <w14:textFill>
                  <w14:solidFill>
                    <w14:schemeClr w14:val="tx1"/>
                  </w14:solidFill>
                </w14:textFill>
              </w:rPr>
              <w:t>② 售后服务方案、售后服务流程</w:t>
            </w:r>
            <w:r>
              <w:rPr>
                <w:rFonts w:hint="eastAsia" w:ascii="仿宋" w:hAnsi="仿宋" w:eastAsia="仿宋" w:cstheme="minorBidi"/>
                <w:color w:val="000000" w:themeColor="text1"/>
                <w:szCs w:val="24"/>
                <w14:textFill>
                  <w14:solidFill>
                    <w14:schemeClr w14:val="tx1"/>
                  </w14:solidFill>
                </w14:textFill>
              </w:rPr>
              <w:t>；</w:t>
            </w:r>
            <w:r>
              <w:rPr>
                <w:rFonts w:ascii="仿宋" w:hAnsi="仿宋" w:eastAsia="仿宋" w:cstheme="minorBidi"/>
                <w:color w:val="000000" w:themeColor="text1"/>
                <w:szCs w:val="24"/>
                <w14:textFill>
                  <w14:solidFill>
                    <w14:schemeClr w14:val="tx1"/>
                  </w14:solidFill>
                </w14:textFill>
              </w:rPr>
              <w:t>③维修保障</w:t>
            </w:r>
            <w:r>
              <w:rPr>
                <w:rFonts w:hint="eastAsia" w:ascii="仿宋" w:hAnsi="仿宋" w:eastAsia="仿宋" w:cstheme="minorBidi"/>
                <w:color w:val="000000" w:themeColor="text1"/>
                <w:szCs w:val="24"/>
                <w14:textFill>
                  <w14:solidFill>
                    <w14:schemeClr w14:val="tx1"/>
                  </w14:solidFill>
                </w14:textFill>
              </w:rPr>
              <w:t>；</w:t>
            </w:r>
            <w:r>
              <w:rPr>
                <w:rFonts w:ascii="仿宋" w:hAnsi="仿宋" w:eastAsia="仿宋" w:cstheme="minorBidi"/>
                <w:color w:val="000000" w:themeColor="text1"/>
                <w:szCs w:val="24"/>
                <w14:textFill>
                  <w14:solidFill>
                    <w14:schemeClr w14:val="tx1"/>
                  </w14:solidFill>
                </w14:textFill>
              </w:rPr>
              <w:t>④售后服务电话及联系人</w:t>
            </w:r>
            <w:r>
              <w:rPr>
                <w:rFonts w:hint="eastAsia" w:ascii="仿宋" w:hAnsi="仿宋" w:eastAsia="仿宋" w:cstheme="minorBidi"/>
                <w:color w:val="000000" w:themeColor="text1"/>
                <w:szCs w:val="24"/>
                <w14:textFill>
                  <w14:solidFill>
                    <w14:schemeClr w14:val="tx1"/>
                  </w14:solidFill>
                </w14:textFill>
              </w:rPr>
              <w:t>；</w:t>
            </w:r>
            <w:r>
              <w:rPr>
                <w:rFonts w:ascii="仿宋" w:hAnsi="仿宋" w:eastAsia="仿宋" w:cstheme="minorBidi"/>
                <w:color w:val="000000" w:themeColor="text1"/>
                <w:szCs w:val="24"/>
                <w14:textFill>
                  <w14:solidFill>
                    <w14:schemeClr w14:val="tx1"/>
                  </w14:solidFill>
                </w14:textFill>
              </w:rPr>
              <w:t>⑤对招标人造成损失的补偿措施等内容</w:t>
            </w:r>
            <w:r>
              <w:rPr>
                <w:rFonts w:hint="eastAsia" w:ascii="仿宋" w:hAnsi="仿宋" w:eastAsia="仿宋" w:cstheme="minorBidi"/>
                <w:color w:val="000000" w:themeColor="text1"/>
                <w:szCs w:val="24"/>
                <w14:textFill>
                  <w14:solidFill>
                    <w14:schemeClr w14:val="tx1"/>
                  </w14:solidFill>
                </w14:textFill>
              </w:rPr>
              <w:t>。</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各项售后服务完全满足项目实际需求，可操作性强，得10分；每少一项内容或方案制定有不科学或或不完善或不合理处，扣2分，最多扣10分；</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2）提供详尽完备的履约验收方案（含具体验收流程和履约保障措施）：</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方案内容全面完整，表述条理清晰、方案制定科学合理，可操作性强，得2分；没有提供方案或方案不完整或提供的方案与本项目采购内容不符，得0分；</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3）供应商所投产品有保障充足的备存库，提供有效证明文件（如房屋租赁证明或合作协议、详细地址、联系电话、真实清晰的现场实景照片），得2分，未提供或资料不符合要求得0分；</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4）具有售后服务网点，提供有效证明文件（如房屋租赁证明或合作协议、网点详细地址、联系电话等）得1分，未提供或资料不符合要求得0分。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1027" w:type="dxa"/>
            <w:vMerge w:val="continue"/>
            <w:shd w:val="clear" w:color="auto" w:fill="auto"/>
            <w:tcMar>
              <w:top w:w="15" w:type="dxa"/>
              <w:left w:w="15" w:type="dxa"/>
              <w:right w:w="15" w:type="dxa"/>
            </w:tcMar>
            <w:vAlign w:val="center"/>
          </w:tcPr>
          <w:p>
            <w:pPr>
              <w:widowControl/>
              <w:spacing w:line="360" w:lineRule="exact"/>
              <w:textAlignment w:val="center"/>
              <w:rPr>
                <w:rFonts w:ascii="仿宋" w:hAnsi="仿宋" w:eastAsia="仿宋" w:cs="仿宋"/>
                <w:color w:val="000000" w:themeColor="text1"/>
                <w:kern w:val="0"/>
                <w:sz w:val="24"/>
                <w14:textFill>
                  <w14:solidFill>
                    <w14:schemeClr w14:val="tx1"/>
                  </w14:solidFill>
                </w14:textFill>
              </w:rPr>
            </w:pPr>
          </w:p>
        </w:tc>
        <w:tc>
          <w:tcPr>
            <w:tcW w:w="1321" w:type="dxa"/>
            <w:shd w:val="clear" w:color="auto" w:fill="auto"/>
            <w:noWrap/>
            <w:tcMar>
              <w:top w:w="15" w:type="dxa"/>
              <w:left w:w="15" w:type="dxa"/>
              <w:right w:w="15" w:type="dxa"/>
            </w:tcMar>
            <w:vAlign w:val="center"/>
          </w:tcPr>
          <w:p>
            <w:pPr>
              <w:shd w:val="clear" w:color="auto" w:fill="FFFFFF"/>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履约能力</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kern w:val="0"/>
                <w:szCs w:val="24"/>
                <w14:textFill>
                  <w14:solidFill>
                    <w14:schemeClr w14:val="tx1"/>
                  </w14:solidFill>
                </w14:textFill>
              </w:rPr>
            </w:pPr>
            <w:r>
              <w:rPr>
                <w:rFonts w:hint="eastAsia" w:ascii="仿宋" w:hAnsi="仿宋" w:eastAsia="仿宋"/>
                <w:color w:val="000000" w:themeColor="text1"/>
                <w:kern w:val="0"/>
                <w:szCs w:val="24"/>
                <w14:textFill>
                  <w14:solidFill>
                    <w14:schemeClr w14:val="tx1"/>
                  </w14:solidFill>
                </w14:textFill>
              </w:rPr>
              <w:t>5</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hint="eastAsia"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供应商或制造商具有有效的：</w:t>
            </w:r>
          </w:p>
          <w:p>
            <w:pPr>
              <w:pStyle w:val="680"/>
              <w:spacing w:line="360" w:lineRule="exact"/>
              <w:ind w:firstLine="0" w:firstLineChars="0"/>
              <w:rPr>
                <w:rFonts w:hint="eastAsia"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1.ISO9001质量管理体系认证，1分；</w:t>
            </w:r>
          </w:p>
          <w:p>
            <w:pPr>
              <w:pStyle w:val="680"/>
              <w:spacing w:line="360" w:lineRule="exact"/>
              <w:ind w:firstLine="0" w:firstLineChars="0"/>
              <w:rPr>
                <w:rFonts w:hint="eastAsia"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2.ISO 20000 信息技术服务管理体系认证，2分；</w:t>
            </w:r>
          </w:p>
          <w:p>
            <w:pPr>
              <w:pStyle w:val="680"/>
              <w:spacing w:line="360" w:lineRule="exact"/>
              <w:ind w:firstLine="0" w:firstLineChars="0"/>
              <w:rPr>
                <w:rFonts w:hint="eastAsia"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3.ISO 27001 信息安全管理体系认证，2分</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注：投标文件中须提供证书复印件并加盖公章，未提供不得分。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1027" w:type="dxa"/>
            <w:vMerge w:val="continue"/>
            <w:shd w:val="clear" w:color="auto" w:fill="auto"/>
            <w:tcMar>
              <w:top w:w="15" w:type="dxa"/>
              <w:left w:w="15" w:type="dxa"/>
              <w:right w:w="15" w:type="dxa"/>
            </w:tcMar>
            <w:vAlign w:val="center"/>
          </w:tcPr>
          <w:p>
            <w:pPr>
              <w:widowControl/>
              <w:spacing w:line="360" w:lineRule="exact"/>
              <w:textAlignment w:val="center"/>
              <w:rPr>
                <w:rFonts w:ascii="仿宋" w:hAnsi="仿宋" w:eastAsia="仿宋" w:cs="仿宋"/>
                <w:color w:val="000000" w:themeColor="text1"/>
                <w:kern w:val="0"/>
                <w:sz w:val="24"/>
                <w14:textFill>
                  <w14:solidFill>
                    <w14:schemeClr w14:val="tx1"/>
                  </w14:solidFill>
                </w14:textFill>
              </w:rPr>
            </w:pPr>
          </w:p>
        </w:tc>
        <w:tc>
          <w:tcPr>
            <w:tcW w:w="1321" w:type="dxa"/>
            <w:shd w:val="clear" w:color="auto" w:fill="auto"/>
            <w:noWrap/>
            <w:tcMar>
              <w:top w:w="15" w:type="dxa"/>
              <w:left w:w="15" w:type="dxa"/>
              <w:right w:w="15" w:type="dxa"/>
            </w:tcMar>
            <w:vAlign w:val="center"/>
          </w:tcPr>
          <w:p>
            <w:pPr>
              <w:shd w:val="clear" w:color="auto" w:fill="FFFFFF"/>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拟投入本项目技术人员情况</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kern w:val="0"/>
                <w:szCs w:val="24"/>
                <w14:textFill>
                  <w14:solidFill>
                    <w14:schemeClr w14:val="tx1"/>
                  </w14:solidFill>
                </w14:textFill>
              </w:rPr>
            </w:pPr>
            <w:r>
              <w:rPr>
                <w:rFonts w:hint="eastAsia" w:ascii="仿宋" w:hAnsi="仿宋" w:eastAsia="仿宋"/>
                <w:color w:val="000000" w:themeColor="text1"/>
                <w:kern w:val="0"/>
                <w:szCs w:val="24"/>
                <w14:textFill>
                  <w14:solidFill>
                    <w14:schemeClr w14:val="tx1"/>
                  </w14:solidFill>
                </w14:textFill>
              </w:rPr>
              <w:t>4</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 xml:space="preserve">投标人拟投入本项目的技术人员： </w:t>
            </w:r>
          </w:p>
          <w:p>
            <w:pPr>
              <w:pStyle w:val="680"/>
              <w:numPr>
                <w:ilvl w:val="0"/>
                <w:numId w:val="15"/>
              </w:numPr>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具备软件工程类专业硕士（或以上）学历，得</w:t>
            </w:r>
            <w:r>
              <w:rPr>
                <w:rFonts w:hint="eastAsia" w:ascii="仿宋" w:hAnsi="仿宋" w:eastAsia="仿宋" w:cstheme="minorBidi"/>
                <w:color w:val="000000" w:themeColor="text1"/>
                <w:szCs w:val="24"/>
                <w:lang w:val="en-US" w:eastAsia="zh-CN"/>
                <w14:textFill>
                  <w14:solidFill>
                    <w14:schemeClr w14:val="tx1"/>
                  </w14:solidFill>
                </w14:textFill>
              </w:rPr>
              <w:t>2</w:t>
            </w:r>
            <w:r>
              <w:rPr>
                <w:rFonts w:hint="eastAsia" w:ascii="仿宋" w:hAnsi="仿宋" w:eastAsia="仿宋" w:cstheme="minorBidi"/>
                <w:color w:val="000000" w:themeColor="text1"/>
                <w:szCs w:val="24"/>
                <w14:textFill>
                  <w14:solidFill>
                    <w14:schemeClr w14:val="tx1"/>
                  </w14:solidFill>
                </w14:textFill>
              </w:rPr>
              <w:t>分；软件工程类的本科学历，得</w:t>
            </w:r>
            <w:r>
              <w:rPr>
                <w:rFonts w:hint="eastAsia" w:ascii="仿宋" w:hAnsi="仿宋" w:eastAsia="仿宋" w:cstheme="minorBidi"/>
                <w:color w:val="000000" w:themeColor="text1"/>
                <w:szCs w:val="24"/>
                <w:lang w:val="en-US" w:eastAsia="zh-CN"/>
                <w14:textFill>
                  <w14:solidFill>
                    <w14:schemeClr w14:val="tx1"/>
                  </w14:solidFill>
                </w14:textFill>
              </w:rPr>
              <w:t>1</w:t>
            </w:r>
            <w:r>
              <w:rPr>
                <w:rFonts w:hint="eastAsia" w:ascii="仿宋" w:hAnsi="仿宋" w:eastAsia="仿宋" w:cstheme="minorBidi"/>
                <w:color w:val="000000" w:themeColor="text1"/>
                <w:szCs w:val="24"/>
                <w14:textFill>
                  <w14:solidFill>
                    <w14:schemeClr w14:val="tx1"/>
                  </w14:solidFill>
                </w14:textFill>
              </w:rPr>
              <w:t>分；最高得</w:t>
            </w:r>
            <w:r>
              <w:rPr>
                <w:rFonts w:hint="eastAsia" w:ascii="仿宋" w:hAnsi="仿宋" w:eastAsia="仿宋" w:cstheme="minorBidi"/>
                <w:color w:val="000000" w:themeColor="text1"/>
                <w:szCs w:val="24"/>
                <w:lang w:val="en-US" w:eastAsia="zh-CN"/>
                <w14:textFill>
                  <w14:solidFill>
                    <w14:schemeClr w14:val="tx1"/>
                  </w14:solidFill>
                </w14:textFill>
              </w:rPr>
              <w:t>2</w:t>
            </w:r>
            <w:r>
              <w:rPr>
                <w:rFonts w:hint="eastAsia" w:ascii="仿宋" w:hAnsi="仿宋" w:eastAsia="仿宋" w:cstheme="minorBidi"/>
                <w:color w:val="000000" w:themeColor="text1"/>
                <w:szCs w:val="24"/>
                <w14:textFill>
                  <w14:solidFill>
                    <w14:schemeClr w14:val="tx1"/>
                  </w14:solidFill>
                </w14:textFill>
              </w:rPr>
              <w:t>分。</w:t>
            </w:r>
          </w:p>
          <w:p>
            <w:pPr>
              <w:pStyle w:val="680"/>
              <w:numPr>
                <w:ilvl w:val="0"/>
                <w:numId w:val="15"/>
              </w:numPr>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theme="minorBidi"/>
                <w:color w:val="000000" w:themeColor="text1"/>
                <w:szCs w:val="24"/>
                <w14:textFill>
                  <w14:solidFill>
                    <w14:schemeClr w14:val="tx1"/>
                  </w14:solidFill>
                </w14:textFill>
              </w:rPr>
              <w:t>具备信息系统项目管理师高级证书，得</w:t>
            </w:r>
            <w:r>
              <w:rPr>
                <w:rFonts w:hint="eastAsia" w:ascii="仿宋" w:hAnsi="仿宋" w:eastAsia="仿宋" w:cstheme="minorBidi"/>
                <w:color w:val="000000" w:themeColor="text1"/>
                <w:szCs w:val="24"/>
                <w:lang w:val="en-US" w:eastAsia="zh-CN"/>
                <w14:textFill>
                  <w14:solidFill>
                    <w14:schemeClr w14:val="tx1"/>
                  </w14:solidFill>
                </w14:textFill>
              </w:rPr>
              <w:t>2</w:t>
            </w:r>
            <w:r>
              <w:rPr>
                <w:rFonts w:hint="eastAsia" w:ascii="仿宋" w:hAnsi="仿宋" w:eastAsia="仿宋" w:cstheme="minorBidi"/>
                <w:color w:val="000000" w:themeColor="text1"/>
                <w:szCs w:val="24"/>
                <w14:textFill>
                  <w14:solidFill>
                    <w14:schemeClr w14:val="tx1"/>
                  </w14:solidFill>
                </w14:textFill>
              </w:rPr>
              <w:t>分；系统集成项目管理师中级证书，得</w:t>
            </w:r>
            <w:r>
              <w:rPr>
                <w:rFonts w:hint="eastAsia" w:ascii="仿宋" w:hAnsi="仿宋" w:eastAsia="仿宋" w:cstheme="minorBidi"/>
                <w:color w:val="000000" w:themeColor="text1"/>
                <w:szCs w:val="24"/>
                <w:lang w:val="en-US" w:eastAsia="zh-CN"/>
                <w14:textFill>
                  <w14:solidFill>
                    <w14:schemeClr w14:val="tx1"/>
                  </w14:solidFill>
                </w14:textFill>
              </w:rPr>
              <w:t>1</w:t>
            </w:r>
            <w:r>
              <w:rPr>
                <w:rFonts w:hint="eastAsia" w:ascii="仿宋" w:hAnsi="仿宋" w:eastAsia="仿宋" w:cstheme="minorBidi"/>
                <w:color w:val="000000" w:themeColor="text1"/>
                <w:szCs w:val="24"/>
                <w14:textFill>
                  <w14:solidFill>
                    <w14:schemeClr w14:val="tx1"/>
                  </w14:solidFill>
                </w14:textFill>
              </w:rPr>
              <w:t>分；最高得</w:t>
            </w:r>
            <w:r>
              <w:rPr>
                <w:rFonts w:hint="eastAsia" w:ascii="仿宋" w:hAnsi="仿宋" w:eastAsia="仿宋" w:cstheme="minorBidi"/>
                <w:color w:val="000000" w:themeColor="text1"/>
                <w:szCs w:val="24"/>
                <w:lang w:val="en-US" w:eastAsia="zh-CN"/>
                <w14:textFill>
                  <w14:solidFill>
                    <w14:schemeClr w14:val="tx1"/>
                  </w14:solidFill>
                </w14:textFill>
              </w:rPr>
              <w:t>2</w:t>
            </w:r>
            <w:r>
              <w:rPr>
                <w:rFonts w:hint="eastAsia" w:ascii="仿宋" w:hAnsi="仿宋" w:eastAsia="仿宋" w:cstheme="minorBidi"/>
                <w:color w:val="000000" w:themeColor="text1"/>
                <w:szCs w:val="24"/>
                <w14:textFill>
                  <w14:solidFill>
                    <w14:schemeClr w14:val="tx1"/>
                  </w14:solidFill>
                </w14:textFill>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jc w:val="center"/>
        </w:trPr>
        <w:tc>
          <w:tcPr>
            <w:tcW w:w="1027" w:type="dxa"/>
            <w:vMerge w:val="continue"/>
            <w:shd w:val="clear" w:color="auto" w:fill="auto"/>
            <w:tcMar>
              <w:top w:w="15" w:type="dxa"/>
              <w:left w:w="15" w:type="dxa"/>
              <w:right w:w="15" w:type="dxa"/>
            </w:tcMar>
            <w:vAlign w:val="center"/>
          </w:tcPr>
          <w:p>
            <w:pPr>
              <w:widowControl/>
              <w:spacing w:line="360" w:lineRule="exact"/>
              <w:textAlignment w:val="center"/>
              <w:rPr>
                <w:rFonts w:ascii="仿宋" w:hAnsi="仿宋" w:eastAsia="仿宋" w:cs="仿宋"/>
                <w:color w:val="000000" w:themeColor="text1"/>
                <w:kern w:val="0"/>
                <w:sz w:val="24"/>
                <w14:textFill>
                  <w14:solidFill>
                    <w14:schemeClr w14:val="tx1"/>
                  </w14:solidFill>
                </w14:textFill>
              </w:rPr>
            </w:pPr>
          </w:p>
        </w:tc>
        <w:tc>
          <w:tcPr>
            <w:tcW w:w="1321" w:type="dxa"/>
            <w:shd w:val="clear" w:color="auto" w:fill="auto"/>
            <w:noWrap/>
            <w:tcMar>
              <w:top w:w="15" w:type="dxa"/>
              <w:left w:w="15" w:type="dxa"/>
              <w:right w:w="15" w:type="dxa"/>
            </w:tcMar>
            <w:vAlign w:val="center"/>
          </w:tcPr>
          <w:p>
            <w:pPr>
              <w:shd w:val="clear" w:color="auto" w:fill="FFFFFF"/>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业绩</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kern w:val="0"/>
                <w:szCs w:val="24"/>
                <w14:textFill>
                  <w14:solidFill>
                    <w14:schemeClr w14:val="tx1"/>
                  </w14:solidFill>
                </w14:textFill>
              </w:rPr>
            </w:pPr>
            <w:r>
              <w:rPr>
                <w:rFonts w:hint="eastAsia" w:ascii="仿宋" w:hAnsi="仿宋" w:eastAsia="仿宋"/>
                <w:color w:val="000000" w:themeColor="text1"/>
                <w:kern w:val="0"/>
                <w:szCs w:val="24"/>
                <w14:textFill>
                  <w14:solidFill>
                    <w14:schemeClr w14:val="tx1"/>
                  </w14:solidFill>
                </w14:textFill>
              </w:rPr>
              <w:t>5</w:t>
            </w:r>
          </w:p>
        </w:tc>
        <w:tc>
          <w:tcPr>
            <w:tcW w:w="7198" w:type="dxa"/>
            <w:shd w:val="clear" w:color="auto" w:fill="auto"/>
            <w:tcMar>
              <w:top w:w="15" w:type="dxa"/>
              <w:left w:w="15" w:type="dxa"/>
              <w:right w:w="15" w:type="dxa"/>
            </w:tcMar>
            <w:vAlign w:val="center"/>
          </w:tcPr>
          <w:p>
            <w:pPr>
              <w:widowControl/>
              <w:spacing w:line="340" w:lineRule="exact"/>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供应商近三年(2021年4月1日至今)同类产品（至少包含本次采购需求一览表任一项内容）销售业绩</w:t>
            </w:r>
            <w:r>
              <w:rPr>
                <w:rFonts w:hint="eastAsia" w:ascii="仿宋" w:hAnsi="仿宋" w:eastAsia="仿宋" w:cs="仿宋"/>
                <w:color w:val="000000" w:themeColor="text1"/>
                <w:sz w:val="24"/>
                <w14:textFill>
                  <w14:solidFill>
                    <w14:schemeClr w14:val="tx1"/>
                  </w14:solidFill>
                </w14:textFill>
              </w:rPr>
              <w:t>，提供有效业绩证明资料，每提供一项得1分，最多得5分。</w:t>
            </w:r>
          </w:p>
          <w:p>
            <w:pPr>
              <w:pStyle w:val="680"/>
              <w:spacing w:line="360" w:lineRule="exact"/>
              <w:ind w:firstLine="0" w:firstLineChars="0"/>
              <w:rPr>
                <w:rFonts w:ascii="仿宋" w:hAnsi="仿宋" w:eastAsia="仿宋" w:cstheme="minorBidi"/>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注:提供的有效业绩证明资料即同类产品（至少包含本次采购需求一览表任一项内容）</w:t>
            </w:r>
            <w:r>
              <w:rPr>
                <w:rFonts w:hint="eastAsia" w:ascii="仿宋" w:hAnsi="仿宋" w:eastAsia="仿宋" w:cs="仿宋"/>
                <w:b/>
                <w:bCs/>
                <w:color w:val="000000" w:themeColor="text1"/>
                <w:u w:val="single"/>
                <w14:textFill>
                  <w14:solidFill>
                    <w14:schemeClr w14:val="tx1"/>
                  </w14:solidFill>
                </w14:textFill>
              </w:rPr>
              <w:t>销售合同原件</w:t>
            </w:r>
            <w:r>
              <w:rPr>
                <w:rFonts w:hint="eastAsia" w:ascii="仿宋" w:hAnsi="仿宋" w:eastAsia="仿宋" w:cs="仿宋"/>
                <w:b/>
                <w:bCs/>
                <w:color w:val="000000" w:themeColor="text1"/>
                <w:u w:val="single"/>
                <w:lang w:eastAsia="zh-CN"/>
                <w14:textFill>
                  <w14:solidFill>
                    <w14:schemeClr w14:val="tx1"/>
                  </w14:solidFill>
                </w14:textFill>
              </w:rPr>
              <w:t>或中标（成交）通知书</w:t>
            </w:r>
            <w:r>
              <w:rPr>
                <w:rFonts w:hint="eastAsia" w:ascii="仿宋" w:hAnsi="仿宋" w:eastAsia="仿宋" w:cs="仿宋"/>
                <w:color w:val="000000" w:themeColor="text1"/>
                <w14:textFill>
                  <w14:solidFill>
                    <w14:schemeClr w14:val="tx1"/>
                  </w14:solidFill>
                </w14:textFill>
              </w:rPr>
              <w:t>的扫描件，证明资料应清晰反映产品名称、品牌、规格型号、合同金额、签订日期、合同签字盖章页信息，未按要求提供证明资料的不计分。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7" w:hRule="atLeast"/>
          <w:jc w:val="center"/>
        </w:trPr>
        <w:tc>
          <w:tcPr>
            <w:tcW w:w="1027" w:type="dxa"/>
            <w:vMerge w:val="continue"/>
            <w:tcBorders>
              <w:bottom w:val="single" w:color="auto" w:sz="4" w:space="0"/>
            </w:tcBorders>
            <w:shd w:val="clear" w:color="auto" w:fill="auto"/>
            <w:tcMar>
              <w:top w:w="15" w:type="dxa"/>
              <w:left w:w="15" w:type="dxa"/>
              <w:right w:w="15" w:type="dxa"/>
            </w:tcMar>
            <w:vAlign w:val="center"/>
          </w:tcPr>
          <w:p>
            <w:pPr>
              <w:spacing w:line="360" w:lineRule="exact"/>
              <w:rPr>
                <w:rFonts w:ascii="仿宋" w:hAnsi="仿宋" w:eastAsia="仿宋" w:cs="仿宋"/>
                <w:color w:val="000000" w:themeColor="text1"/>
                <w:sz w:val="24"/>
                <w:highlight w:val="yellow"/>
                <w14:textFill>
                  <w14:solidFill>
                    <w14:schemeClr w14:val="tx1"/>
                  </w14:solidFill>
                </w14:textFill>
              </w:rPr>
            </w:pPr>
          </w:p>
        </w:tc>
        <w:tc>
          <w:tcPr>
            <w:tcW w:w="1321" w:type="dxa"/>
            <w:tcBorders>
              <w:bottom w:val="single" w:color="auto" w:sz="4" w:space="0"/>
            </w:tcBorders>
            <w:shd w:val="clear" w:color="auto" w:fill="auto"/>
            <w:tcMar>
              <w:top w:w="15" w:type="dxa"/>
              <w:left w:w="15" w:type="dxa"/>
              <w:right w:w="15" w:type="dxa"/>
            </w:tcMar>
            <w:vAlign w:val="center"/>
          </w:tcPr>
          <w:p>
            <w:pPr>
              <w:shd w:val="clear" w:color="auto" w:fill="FFFFFF"/>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非强制节能环保产品政策功能评分</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bCs/>
                <w:color w:val="000000" w:themeColor="text1"/>
                <w:kern w:val="0"/>
                <w:szCs w:val="24"/>
                <w14:textFill>
                  <w14:solidFill>
                    <w14:schemeClr w14:val="tx1"/>
                  </w14:solidFill>
                </w14:textFill>
              </w:rPr>
              <w:t>1</w:t>
            </w:r>
          </w:p>
        </w:tc>
        <w:tc>
          <w:tcPr>
            <w:tcW w:w="7198" w:type="dxa"/>
            <w:shd w:val="clear" w:color="auto" w:fill="auto"/>
            <w:tcMar>
              <w:top w:w="15" w:type="dxa"/>
              <w:left w:w="15" w:type="dxa"/>
              <w:right w:w="15" w:type="dxa"/>
            </w:tcMar>
            <w:vAlign w:val="center"/>
          </w:tcPr>
          <w:p>
            <w:pPr>
              <w:widowControl/>
              <w:spacing w:line="360" w:lineRule="exact"/>
              <w:textAlignment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供应商所投货物（</w:t>
            </w:r>
            <w:r>
              <w:rPr>
                <w:rFonts w:hint="eastAsia" w:ascii="仿宋" w:hAnsi="仿宋" w:eastAsia="仿宋"/>
                <w:color w:val="000000" w:themeColor="text1"/>
                <w:sz w:val="24"/>
                <w14:textFill>
                  <w14:solidFill>
                    <w14:schemeClr w14:val="tx1"/>
                  </w14:solidFill>
                </w14:textFill>
              </w:rPr>
              <w:t>以分项报价明细表所列设备为准</w:t>
            </w:r>
            <w:r>
              <w:rPr>
                <w:rFonts w:hint="eastAsia" w:ascii="仿宋" w:hAnsi="仿宋" w:eastAsia="仿宋"/>
                <w:color w:val="000000" w:themeColor="text1"/>
                <w:sz w:val="24"/>
                <w:lang w:val="zh-CN"/>
                <w14:textFill>
                  <w14:solidFill>
                    <w14:schemeClr w14:val="tx1"/>
                  </w14:solidFill>
                </w14:textFill>
              </w:rPr>
              <w:t>）如属于政府优先采购产品类别，须按照《财政部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国家确定的认证机构出具的、处于有效期之内的节能产品或环境标志产品认证证书，</w:t>
            </w:r>
            <w:r>
              <w:rPr>
                <w:rFonts w:hint="eastAsia" w:ascii="仿宋" w:hAnsi="仿宋" w:eastAsia="仿宋"/>
                <w:color w:val="000000" w:themeColor="text1"/>
                <w:sz w:val="24"/>
                <w14:textFill>
                  <w14:solidFill>
                    <w14:schemeClr w14:val="tx1"/>
                  </w14:solidFill>
                </w14:textFill>
              </w:rPr>
              <w:t>提供证书原件清晰版扫描件，</w:t>
            </w:r>
            <w:r>
              <w:rPr>
                <w:rFonts w:hint="eastAsia" w:ascii="仿宋" w:hAnsi="仿宋" w:eastAsia="仿宋"/>
                <w:color w:val="000000" w:themeColor="text1"/>
                <w:sz w:val="24"/>
                <w:lang w:val="zh-CN"/>
                <w14:textFill>
                  <w14:solidFill>
                    <w14:schemeClr w14:val="tx1"/>
                  </w14:solidFill>
                </w14:textFill>
              </w:rPr>
              <w:t>每</w:t>
            </w:r>
            <w:r>
              <w:rPr>
                <w:rFonts w:hint="eastAsia" w:ascii="仿宋" w:hAnsi="仿宋" w:eastAsia="仿宋"/>
                <w:color w:val="000000" w:themeColor="text1"/>
                <w:sz w:val="24"/>
                <w14:textFill>
                  <w14:solidFill>
                    <w14:schemeClr w14:val="tx1"/>
                  </w14:solidFill>
                </w14:textFill>
              </w:rPr>
              <w:t>个证书得0.5</w:t>
            </w:r>
            <w:r>
              <w:rPr>
                <w:rFonts w:hint="eastAsia" w:ascii="仿宋" w:hAnsi="仿宋" w:eastAsia="仿宋"/>
                <w:color w:val="000000" w:themeColor="text1"/>
                <w:sz w:val="24"/>
                <w:lang w:val="zh-CN"/>
                <w14:textFill>
                  <w14:solidFill>
                    <w14:schemeClr w14:val="tx1"/>
                  </w14:solidFill>
                </w14:textFill>
              </w:rPr>
              <w:t>分，最高</w:t>
            </w:r>
            <w:r>
              <w:rPr>
                <w:rFonts w:hint="eastAsia" w:ascii="仿宋" w:hAnsi="仿宋" w:eastAsia="仿宋"/>
                <w:color w:val="000000" w:themeColor="text1"/>
                <w:sz w:val="24"/>
                <w14:textFill>
                  <w14:solidFill>
                    <w14:schemeClr w14:val="tx1"/>
                  </w14:solidFill>
                </w14:textFill>
              </w:rPr>
              <w:t>得</w:t>
            </w:r>
            <w:r>
              <w:rPr>
                <w:rFonts w:hint="eastAsia" w:ascii="仿宋" w:hAnsi="仿宋" w:eastAsia="仿宋"/>
                <w:color w:val="000000" w:themeColor="text1"/>
                <w:sz w:val="24"/>
                <w:lang w:val="zh-CN"/>
                <w14:textFill>
                  <w14:solidFill>
                    <w14:schemeClr w14:val="tx1"/>
                  </w14:solidFill>
                </w14:textFill>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2" w:hRule="atLeast"/>
          <w:jc w:val="center"/>
        </w:trPr>
        <w:tc>
          <w:tcPr>
            <w:tcW w:w="1027" w:type="dxa"/>
            <w:vMerge w:val="restart"/>
            <w:tcBorders>
              <w:top w:val="single" w:color="auto" w:sz="4" w:space="0"/>
            </w:tcBorders>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技术部分（40分）</w:t>
            </w:r>
          </w:p>
        </w:tc>
        <w:tc>
          <w:tcPr>
            <w:tcW w:w="1321" w:type="dxa"/>
            <w:tcBorders>
              <w:top w:val="single" w:color="auto" w:sz="4" w:space="0"/>
            </w:tcBorders>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采购需求</w:t>
            </w:r>
          </w:p>
          <w:p>
            <w:pPr>
              <w:pStyle w:val="680"/>
              <w:spacing w:line="360" w:lineRule="exact"/>
              <w:ind w:firstLine="0" w:firstLineChars="0"/>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响应</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highlight w:val="yellow"/>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30</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ascii="仿宋" w:hAnsi="仿宋" w:eastAsia="仿宋" w:cs="仿宋"/>
                <w:color w:val="000000" w:themeColor="text1"/>
                <w:szCs w:val="24"/>
                <w:lang w:val="zh-CN"/>
                <w14:textFill>
                  <w14:solidFill>
                    <w14:schemeClr w14:val="tx1"/>
                  </w14:solidFill>
                </w14:textFill>
              </w:rPr>
            </w:pPr>
            <w:r>
              <w:rPr>
                <w:rFonts w:hint="eastAsia" w:ascii="仿宋" w:hAnsi="仿宋" w:eastAsia="仿宋" w:cs="仿宋"/>
                <w:color w:val="000000" w:themeColor="text1"/>
                <w:szCs w:val="24"/>
                <w:lang w:val="zh-CN"/>
                <w14:textFill>
                  <w14:solidFill>
                    <w14:schemeClr w14:val="tx1"/>
                  </w14:solidFill>
                </w14:textFill>
              </w:rPr>
              <w:t>供应商</w:t>
            </w:r>
            <w:r>
              <w:rPr>
                <w:rFonts w:hint="eastAsia" w:ascii="仿宋" w:hAnsi="仿宋" w:eastAsia="仿宋" w:cs="仿宋"/>
                <w:color w:val="000000" w:themeColor="text1"/>
                <w:szCs w:val="24"/>
                <w14:textFill>
                  <w14:solidFill>
                    <w14:schemeClr w14:val="tx1"/>
                  </w14:solidFill>
                </w14:textFill>
              </w:rPr>
              <w:t>提供的《技术服务条款偏离表》</w:t>
            </w:r>
            <w:r>
              <w:rPr>
                <w:rFonts w:hint="eastAsia" w:ascii="仿宋" w:hAnsi="仿宋" w:eastAsia="仿宋" w:cs="仿宋"/>
                <w:color w:val="000000" w:themeColor="text1"/>
                <w:szCs w:val="24"/>
                <w:lang w:val="zh-CN"/>
                <w14:textFill>
                  <w14:solidFill>
                    <w14:schemeClr w14:val="tx1"/>
                  </w14:solidFill>
                </w14:textFill>
              </w:rPr>
              <w:t>须对照第四章《采购需求》所有条款按照序号逐条</w:t>
            </w:r>
            <w:r>
              <w:rPr>
                <w:rFonts w:hint="eastAsia" w:ascii="仿宋" w:hAnsi="仿宋" w:eastAsia="仿宋" w:cs="仿宋"/>
                <w:color w:val="000000" w:themeColor="text1"/>
                <w:szCs w:val="24"/>
                <w14:textFill>
                  <w14:solidFill>
                    <w14:schemeClr w14:val="tx1"/>
                  </w14:solidFill>
                </w14:textFill>
              </w:rPr>
              <w:t>列明</w:t>
            </w:r>
            <w:r>
              <w:rPr>
                <w:rFonts w:hint="eastAsia" w:ascii="仿宋" w:hAnsi="仿宋" w:eastAsia="仿宋" w:cs="仿宋"/>
                <w:color w:val="000000" w:themeColor="text1"/>
                <w:szCs w:val="24"/>
                <w:lang w:val="zh-CN"/>
                <w14:textFill>
                  <w14:solidFill>
                    <w14:schemeClr w14:val="tx1"/>
                  </w14:solidFill>
                </w14:textFill>
              </w:rPr>
              <w:t>响应内容</w:t>
            </w:r>
            <w:r>
              <w:rPr>
                <w:rFonts w:hint="eastAsia" w:ascii="仿宋" w:hAnsi="仿宋" w:eastAsia="仿宋" w:cs="仿宋"/>
                <w:color w:val="000000" w:themeColor="text1"/>
                <w:szCs w:val="24"/>
                <w14:textFill>
                  <w14:solidFill>
                    <w14:schemeClr w14:val="tx1"/>
                  </w14:solidFill>
                </w14:textFill>
              </w:rPr>
              <w:t>及</w:t>
            </w:r>
            <w:r>
              <w:rPr>
                <w:rFonts w:hint="eastAsia" w:ascii="仿宋" w:hAnsi="仿宋" w:eastAsia="仿宋" w:cs="仿宋"/>
                <w:color w:val="000000" w:themeColor="text1"/>
                <w:szCs w:val="24"/>
                <w:lang w:val="zh-CN"/>
                <w14:textFill>
                  <w14:solidFill>
                    <w14:schemeClr w14:val="tx1"/>
                  </w14:solidFill>
                </w14:textFill>
              </w:rPr>
              <w:t>是否</w:t>
            </w:r>
            <w:r>
              <w:rPr>
                <w:rFonts w:hint="eastAsia" w:ascii="仿宋" w:hAnsi="仿宋" w:eastAsia="仿宋" w:cs="仿宋"/>
                <w:color w:val="000000" w:themeColor="text1"/>
                <w:szCs w:val="24"/>
                <w14:textFill>
                  <w14:solidFill>
                    <w14:schemeClr w14:val="tx1"/>
                  </w14:solidFill>
                </w14:textFill>
              </w:rPr>
              <w:t>偏离等情况，评审标准为</w:t>
            </w:r>
            <w:r>
              <w:rPr>
                <w:rFonts w:hint="eastAsia" w:ascii="仿宋" w:hAnsi="仿宋" w:eastAsia="仿宋" w:cs="仿宋"/>
                <w:color w:val="000000" w:themeColor="text1"/>
                <w:szCs w:val="24"/>
                <w:lang w:val="zh-CN"/>
                <w14:textFill>
                  <w14:solidFill>
                    <w14:schemeClr w14:val="tx1"/>
                  </w14:solidFill>
                </w14:textFill>
              </w:rPr>
              <w:t>：</w:t>
            </w:r>
          </w:p>
          <w:p>
            <w:pPr>
              <w:pStyle w:val="680"/>
              <w:spacing w:line="360" w:lineRule="exact"/>
              <w:ind w:firstLine="0" w:firstLineChars="0"/>
              <w:rPr>
                <w:rFonts w:hint="eastAsia"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1）对第四章《采购需求》所有条款</w:t>
            </w:r>
            <w:r>
              <w:rPr>
                <w:rFonts w:hint="eastAsia" w:ascii="仿宋" w:hAnsi="仿宋" w:eastAsia="仿宋" w:cs="仿宋"/>
                <w:color w:val="000000" w:themeColor="text1"/>
                <w:szCs w:val="24"/>
                <w:lang w:eastAsia="zh-CN"/>
                <w14:textFill>
                  <w14:solidFill>
                    <w14:schemeClr w14:val="tx1"/>
                  </w14:solidFill>
                </w14:textFill>
              </w:rPr>
              <w:t>全部响应得</w:t>
            </w:r>
            <w:r>
              <w:rPr>
                <w:rFonts w:hint="eastAsia" w:ascii="仿宋" w:hAnsi="仿宋" w:eastAsia="仿宋" w:cs="仿宋"/>
                <w:color w:val="000000" w:themeColor="text1"/>
                <w:szCs w:val="24"/>
                <w:lang w:val="en-US" w:eastAsia="zh-CN"/>
                <w14:textFill>
                  <w14:solidFill>
                    <w14:schemeClr w14:val="tx1"/>
                  </w14:solidFill>
                </w14:textFill>
              </w:rPr>
              <w:t>30分；</w:t>
            </w:r>
          </w:p>
          <w:p>
            <w:pPr>
              <w:pStyle w:val="680"/>
              <w:spacing w:line="360" w:lineRule="exact"/>
              <w:ind w:firstLine="0" w:firstLineChars="0"/>
              <w:rPr>
                <w:rFonts w:hint="default"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lang w:val="en-US" w:eastAsia="zh-CN"/>
                <w14:textFill>
                  <w14:solidFill>
                    <w14:schemeClr w14:val="tx1"/>
                  </w14:solidFill>
                </w14:textFill>
              </w:rPr>
              <w:t>2</w:t>
            </w:r>
            <w:r>
              <w:rPr>
                <w:rFonts w:hint="eastAsia" w:ascii="仿宋" w:hAnsi="仿宋" w:eastAsia="仿宋" w:cs="仿宋"/>
                <w:color w:val="000000" w:themeColor="text1"/>
                <w:szCs w:val="24"/>
                <w14:textFill>
                  <w14:solidFill>
                    <w14:schemeClr w14:val="tx1"/>
                  </w14:solidFill>
                </w14:textFill>
              </w:rPr>
              <w:t>）对第四章《采购需求》所有</w:t>
            </w:r>
            <w:r>
              <w:rPr>
                <w:rFonts w:hint="eastAsia" w:ascii="仿宋" w:hAnsi="仿宋" w:eastAsia="仿宋" w:cs="仿宋"/>
                <w:color w:val="000000" w:themeColor="text1"/>
                <w:szCs w:val="24"/>
                <w:lang w:eastAsia="zh-CN"/>
                <w14:textFill>
                  <w14:solidFill>
                    <w14:schemeClr w14:val="tx1"/>
                  </w14:solidFill>
                </w14:textFill>
              </w:rPr>
              <w:t>条款</w:t>
            </w:r>
            <w:r>
              <w:rPr>
                <w:rFonts w:hint="eastAsia" w:ascii="仿宋" w:hAnsi="仿宋" w:eastAsia="仿宋" w:cs="仿宋"/>
                <w:color w:val="000000" w:themeColor="text1"/>
                <w:szCs w:val="24"/>
                <w14:textFill>
                  <w14:solidFill>
                    <w14:schemeClr w14:val="tx1"/>
                  </w14:solidFill>
                </w14:textFill>
              </w:rPr>
              <w:t>每出现一条负偏离，扣</w:t>
            </w:r>
            <w:r>
              <w:rPr>
                <w:rFonts w:hint="eastAsia" w:ascii="仿宋" w:hAnsi="仿宋" w:eastAsia="仿宋" w:cs="仿宋"/>
                <w:color w:val="000000" w:themeColor="text1"/>
                <w:szCs w:val="24"/>
                <w:lang w:val="en-US" w:eastAsia="zh-CN"/>
                <w14:textFill>
                  <w14:solidFill>
                    <w14:schemeClr w14:val="tx1"/>
                  </w14:solidFill>
                </w14:textFill>
              </w:rPr>
              <w:t>2</w:t>
            </w:r>
            <w:r>
              <w:rPr>
                <w:rFonts w:hint="eastAsia" w:ascii="仿宋" w:hAnsi="仿宋" w:eastAsia="仿宋" w:cs="仿宋"/>
                <w:color w:val="000000" w:themeColor="text1"/>
                <w:szCs w:val="24"/>
                <w14:textFill>
                  <w14:solidFill>
                    <w14:schemeClr w14:val="tx1"/>
                  </w14:solidFill>
                </w14:textFill>
              </w:rPr>
              <w:t>分，最多</w:t>
            </w:r>
            <w:r>
              <w:rPr>
                <w:rFonts w:hint="eastAsia" w:ascii="仿宋" w:hAnsi="仿宋" w:eastAsia="仿宋" w:cs="仿宋"/>
                <w:color w:val="000000" w:themeColor="text1"/>
                <w:szCs w:val="24"/>
                <w:lang w:eastAsia="zh-CN"/>
                <w14:textFill>
                  <w14:solidFill>
                    <w14:schemeClr w14:val="tx1"/>
                  </w14:solidFill>
                </w14:textFill>
              </w:rPr>
              <w:t>扣</w:t>
            </w:r>
            <w:r>
              <w:rPr>
                <w:rFonts w:hint="eastAsia" w:ascii="仿宋" w:hAnsi="仿宋" w:eastAsia="仿宋" w:cs="仿宋"/>
                <w:color w:val="000000" w:themeColor="text1"/>
                <w:szCs w:val="24"/>
                <w:lang w:val="en-US" w:eastAsia="zh-CN"/>
                <w14:textFill>
                  <w14:solidFill>
                    <w14:schemeClr w14:val="tx1"/>
                  </w14:solidFill>
                </w14:textFill>
              </w:rPr>
              <w:t>30分；</w:t>
            </w:r>
          </w:p>
          <w:p>
            <w:pPr>
              <w:pStyle w:val="680"/>
              <w:spacing w:line="360" w:lineRule="exact"/>
              <w:ind w:firstLine="0" w:firstLineChars="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注：对技术参数中需提供截图、证书、检测报告等证明材料的，供应商须附相关证明材料，未提供证明材料的或证明材料与其响应参数不符的，均不计分。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000000" w:themeColor="text1"/>
                <w:sz w:val="24"/>
                <w:highlight w:val="yellow"/>
                <w14:textFill>
                  <w14:solidFill>
                    <w14:schemeClr w14:val="tx1"/>
                  </w14:solidFill>
                </w14:textFill>
              </w:rPr>
            </w:pPr>
          </w:p>
        </w:tc>
        <w:tc>
          <w:tcPr>
            <w:tcW w:w="1321"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lang w:val="zh-CN"/>
                <w14:textFill>
                  <w14:solidFill>
                    <w14:schemeClr w14:val="tx1"/>
                  </w14:solidFill>
                </w14:textFill>
              </w:rPr>
              <w:t>安装调试方案</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ascii="仿宋" w:hAnsi="仿宋" w:eastAsia="仿宋" w:cs="仿宋"/>
                <w:color w:val="000000" w:themeColor="text1"/>
                <w:szCs w:val="24"/>
                <w:lang w:val="zh-CN"/>
                <w14:textFill>
                  <w14:solidFill>
                    <w14:schemeClr w14:val="tx1"/>
                  </w14:solidFill>
                </w14:textFill>
              </w:rPr>
            </w:pPr>
            <w:r>
              <w:rPr>
                <w:rFonts w:ascii="仿宋" w:hAnsi="仿宋" w:eastAsia="仿宋" w:cs="仿宋"/>
                <w:color w:val="000000" w:themeColor="text1"/>
                <w:szCs w:val="24"/>
                <w:lang w:val="zh-CN"/>
                <w14:textFill>
                  <w14:solidFill>
                    <w14:schemeClr w14:val="tx1"/>
                  </w14:solidFill>
                </w14:textFill>
              </w:rPr>
              <w:t>提供安装调试方案：方案包含①人员配置、②安装措施、③安装调试计划 、④安装调试工期等内容。</w:t>
            </w:r>
          </w:p>
          <w:p>
            <w:pPr>
              <w:pStyle w:val="680"/>
              <w:spacing w:line="360" w:lineRule="exact"/>
              <w:ind w:firstLine="0" w:firstLineChars="0"/>
              <w:rPr>
                <w:rFonts w:hint="eastAsia" w:ascii="仿宋" w:hAnsi="仿宋" w:eastAsia="仿宋" w:cs="仿宋"/>
                <w:color w:val="000000" w:themeColor="text1"/>
                <w:szCs w:val="24"/>
                <w:lang w:val="zh-CN" w:eastAsia="zh-CN"/>
                <w14:textFill>
                  <w14:solidFill>
                    <w14:schemeClr w14:val="tx1"/>
                  </w14:solidFill>
                </w14:textFill>
              </w:rPr>
            </w:pPr>
            <w:r>
              <w:rPr>
                <w:rFonts w:ascii="仿宋" w:hAnsi="仿宋" w:eastAsia="仿宋" w:cs="仿宋"/>
                <w:color w:val="000000" w:themeColor="text1"/>
                <w:szCs w:val="24"/>
                <w:lang w:val="zh-CN"/>
                <w14:textFill>
                  <w14:solidFill>
                    <w14:schemeClr w14:val="tx1"/>
                  </w14:solidFill>
                </w14:textFill>
              </w:rPr>
              <w:t>方案内容</w:t>
            </w:r>
            <w:r>
              <w:rPr>
                <w:rFonts w:hint="eastAsia" w:ascii="仿宋" w:hAnsi="仿宋" w:eastAsia="仿宋" w:cstheme="minorBidi"/>
                <w:color w:val="000000" w:themeColor="text1"/>
                <w:szCs w:val="24"/>
                <w14:textFill>
                  <w14:solidFill>
                    <w14:schemeClr w14:val="tx1"/>
                  </w14:solidFill>
                </w14:textFill>
              </w:rPr>
              <w:t>全面完整，表述条理清晰、科学合理</w:t>
            </w:r>
            <w:r>
              <w:rPr>
                <w:rFonts w:hint="eastAsia" w:ascii="仿宋" w:hAnsi="仿宋" w:eastAsia="仿宋" w:cstheme="minorBidi"/>
                <w:color w:val="000000" w:themeColor="text1"/>
                <w:szCs w:val="24"/>
                <w:lang w:eastAsia="zh-CN"/>
                <w14:textFill>
                  <w14:solidFill>
                    <w14:schemeClr w14:val="tx1"/>
                  </w14:solidFill>
                </w14:textFill>
              </w:rPr>
              <w:t>得</w:t>
            </w:r>
            <w:r>
              <w:rPr>
                <w:rFonts w:hint="eastAsia" w:ascii="仿宋" w:hAnsi="仿宋" w:eastAsia="仿宋" w:cstheme="minorBidi"/>
                <w:color w:val="000000" w:themeColor="text1"/>
                <w:szCs w:val="24"/>
                <w:lang w:val="en-US" w:eastAsia="zh-CN"/>
                <w14:textFill>
                  <w14:solidFill>
                    <w14:schemeClr w14:val="tx1"/>
                  </w14:solidFill>
                </w14:textFill>
              </w:rPr>
              <w:t>2分；</w:t>
            </w:r>
            <w:r>
              <w:rPr>
                <w:rFonts w:hint="eastAsia" w:ascii="仿宋" w:hAnsi="仿宋" w:eastAsia="仿宋" w:cstheme="minorBidi"/>
                <w:color w:val="000000" w:themeColor="text1"/>
                <w:szCs w:val="24"/>
                <w14:textFill>
                  <w14:solidFill>
                    <w14:schemeClr w14:val="tx1"/>
                  </w14:solidFill>
                </w14:textFill>
              </w:rPr>
              <w:t>每缺少上述一项内容</w:t>
            </w:r>
            <w:r>
              <w:rPr>
                <w:rFonts w:hint="eastAsia" w:ascii="仿宋" w:hAnsi="仿宋" w:eastAsia="仿宋" w:cstheme="minorBidi"/>
                <w:color w:val="000000" w:themeColor="text1"/>
                <w:szCs w:val="24"/>
                <w:lang w:eastAsia="zh-CN"/>
                <w14:textFill>
                  <w14:solidFill>
                    <w14:schemeClr w14:val="tx1"/>
                  </w14:solidFill>
                </w14:textFill>
              </w:rPr>
              <w:t>、</w:t>
            </w:r>
            <w:r>
              <w:rPr>
                <w:rFonts w:hint="eastAsia" w:ascii="仿宋" w:hAnsi="仿宋" w:eastAsia="仿宋" w:cstheme="minorBidi"/>
                <w:color w:val="000000" w:themeColor="text1"/>
                <w:szCs w:val="24"/>
                <w14:textFill>
                  <w14:solidFill>
                    <w14:schemeClr w14:val="tx1"/>
                  </w14:solidFill>
                </w14:textFill>
              </w:rPr>
              <w:t>方案制定有不科学或不完善或不合理处，每一处扣</w:t>
            </w:r>
            <w:r>
              <w:rPr>
                <w:rFonts w:hint="eastAsia" w:ascii="仿宋" w:hAnsi="仿宋" w:eastAsia="仿宋" w:cstheme="minorBidi"/>
                <w:color w:val="000000" w:themeColor="text1"/>
                <w:szCs w:val="24"/>
                <w:lang w:val="en-US" w:eastAsia="zh-CN"/>
                <w14:textFill>
                  <w14:solidFill>
                    <w14:schemeClr w14:val="tx1"/>
                  </w14:solidFill>
                </w14:textFill>
              </w:rPr>
              <w:t>0.5</w:t>
            </w:r>
            <w:r>
              <w:rPr>
                <w:rFonts w:hint="eastAsia" w:ascii="仿宋" w:hAnsi="仿宋" w:eastAsia="仿宋" w:cstheme="minorBidi"/>
                <w:color w:val="000000" w:themeColor="text1"/>
                <w:szCs w:val="24"/>
                <w14:textFill>
                  <w14:solidFill>
                    <w14:schemeClr w14:val="tx1"/>
                  </w14:solidFill>
                </w14:textFill>
              </w:rPr>
              <w:t>分</w:t>
            </w:r>
            <w:r>
              <w:rPr>
                <w:rFonts w:hint="eastAsia" w:ascii="仿宋" w:hAnsi="仿宋" w:eastAsia="仿宋" w:cstheme="minorBidi"/>
                <w:color w:val="000000" w:themeColor="text1"/>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000000" w:themeColor="text1"/>
                <w:sz w:val="24"/>
                <w:highlight w:val="yellow"/>
                <w14:textFill>
                  <w14:solidFill>
                    <w14:schemeClr w14:val="tx1"/>
                  </w14:solidFill>
                </w14:textFill>
              </w:rPr>
            </w:pPr>
          </w:p>
        </w:tc>
        <w:tc>
          <w:tcPr>
            <w:tcW w:w="1321"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培训方案</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6</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提供培训方案</w:t>
            </w:r>
            <w:r>
              <w:rPr>
                <w:rFonts w:hint="eastAsia" w:ascii="仿宋" w:hAnsi="仿宋" w:eastAsia="仿宋"/>
                <w:color w:val="000000" w:themeColor="text1"/>
                <w:szCs w:val="24"/>
                <w14:textFill>
                  <w14:solidFill>
                    <w14:schemeClr w14:val="tx1"/>
                  </w14:solidFill>
                </w14:textFill>
              </w:rPr>
              <w:t>包含</w:t>
            </w:r>
            <w:r>
              <w:rPr>
                <w:rFonts w:ascii="仿宋" w:hAnsi="仿宋" w:eastAsia="仿宋"/>
                <w:color w:val="000000" w:themeColor="text1"/>
                <w:szCs w:val="24"/>
                <w14:textFill>
                  <w14:solidFill>
                    <w14:schemeClr w14:val="tx1"/>
                  </w14:solidFill>
                </w14:textFill>
              </w:rPr>
              <w:t>：</w:t>
            </w:r>
          </w:p>
          <w:p>
            <w:pPr>
              <w:pStyle w:val="680"/>
              <w:spacing w:line="360" w:lineRule="exact"/>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①培训时间计划</w:t>
            </w:r>
          </w:p>
          <w:p>
            <w:pPr>
              <w:pStyle w:val="680"/>
              <w:spacing w:line="360" w:lineRule="exact"/>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②培训内容设计安排</w:t>
            </w:r>
          </w:p>
          <w:p>
            <w:pPr>
              <w:pStyle w:val="680"/>
              <w:spacing w:line="360" w:lineRule="exact"/>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③培训人员安排</w:t>
            </w:r>
          </w:p>
          <w:p>
            <w:pPr>
              <w:pStyle w:val="680"/>
              <w:spacing w:line="360" w:lineRule="exact"/>
              <w:ind w:firstLine="0" w:firstLineChars="0"/>
              <w:rPr>
                <w:rFonts w:hint="eastAsia" w:ascii="仿宋" w:hAnsi="仿宋" w:eastAsia="仿宋"/>
                <w:color w:val="000000" w:themeColor="text1"/>
                <w:szCs w:val="24"/>
                <w:lang w:eastAsia="zh-CN"/>
                <w14:textFill>
                  <w14:solidFill>
                    <w14:schemeClr w14:val="tx1"/>
                  </w14:solidFill>
                </w14:textFill>
              </w:rPr>
            </w:pPr>
            <w:r>
              <w:rPr>
                <w:rFonts w:hint="eastAsia" w:ascii="仿宋" w:hAnsi="仿宋" w:eastAsia="仿宋"/>
                <w:color w:val="000000" w:themeColor="text1"/>
                <w:szCs w:val="24"/>
                <w:lang w:eastAsia="zh-CN"/>
                <w14:textFill>
                  <w14:solidFill>
                    <w14:schemeClr w14:val="tx1"/>
                  </w14:solidFill>
                </w14:textFill>
              </w:rPr>
              <w:t>培训方案科学、完善、合理得</w:t>
            </w:r>
            <w:r>
              <w:rPr>
                <w:rFonts w:hint="eastAsia" w:ascii="仿宋" w:hAnsi="仿宋" w:eastAsia="仿宋"/>
                <w:color w:val="000000" w:themeColor="text1"/>
                <w:szCs w:val="24"/>
                <w:lang w:val="en-US" w:eastAsia="zh-CN"/>
                <w14:textFill>
                  <w14:solidFill>
                    <w14:schemeClr w14:val="tx1"/>
                  </w14:solidFill>
                </w14:textFill>
              </w:rPr>
              <w:t>6分；</w:t>
            </w:r>
            <w:r>
              <w:rPr>
                <w:rFonts w:hint="eastAsia" w:ascii="仿宋" w:hAnsi="仿宋" w:eastAsia="仿宋" w:cstheme="minorBidi"/>
                <w:color w:val="000000" w:themeColor="text1"/>
                <w:szCs w:val="24"/>
                <w14:textFill>
                  <w14:solidFill>
                    <w14:schemeClr w14:val="tx1"/>
                  </w14:solidFill>
                </w14:textFill>
              </w:rPr>
              <w:t>每缺少上述一项内容扣2分；方案制定有不科学或不完善或不合理处，每一处扣1分</w:t>
            </w:r>
            <w:r>
              <w:rPr>
                <w:rFonts w:hint="eastAsia" w:ascii="仿宋" w:hAnsi="仿宋" w:eastAsia="仿宋" w:cstheme="minorBidi"/>
                <w:color w:val="000000" w:themeColor="text1"/>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1027" w:type="dxa"/>
            <w:vMerge w:val="continue"/>
            <w:shd w:val="clear" w:color="auto" w:fill="auto"/>
            <w:tcMar>
              <w:top w:w="15" w:type="dxa"/>
              <w:left w:w="15" w:type="dxa"/>
              <w:right w:w="15" w:type="dxa"/>
            </w:tcMar>
            <w:vAlign w:val="center"/>
          </w:tcPr>
          <w:p>
            <w:pPr>
              <w:widowControl/>
              <w:snapToGrid w:val="0"/>
              <w:spacing w:line="360" w:lineRule="exact"/>
              <w:textAlignment w:val="center"/>
              <w:rPr>
                <w:rFonts w:ascii="仿宋" w:hAnsi="仿宋" w:eastAsia="仿宋" w:cs="仿宋"/>
                <w:color w:val="000000" w:themeColor="text1"/>
                <w:sz w:val="24"/>
                <w:highlight w:val="yellow"/>
                <w14:textFill>
                  <w14:solidFill>
                    <w14:schemeClr w14:val="tx1"/>
                  </w14:solidFill>
                </w14:textFill>
              </w:rPr>
            </w:pPr>
          </w:p>
        </w:tc>
        <w:tc>
          <w:tcPr>
            <w:tcW w:w="1321"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故障应急方案</w:t>
            </w:r>
          </w:p>
        </w:tc>
        <w:tc>
          <w:tcPr>
            <w:tcW w:w="696" w:type="dxa"/>
            <w:shd w:val="clear" w:color="auto" w:fill="auto"/>
            <w:tcMar>
              <w:top w:w="15" w:type="dxa"/>
              <w:left w:w="15" w:type="dxa"/>
              <w:right w:w="15" w:type="dxa"/>
            </w:tcMar>
            <w:vAlign w:val="center"/>
          </w:tcPr>
          <w:p>
            <w:pPr>
              <w:pStyle w:val="680"/>
              <w:spacing w:line="360" w:lineRule="exact"/>
              <w:ind w:firstLine="0" w:firstLineChars="0"/>
              <w:jc w:val="center"/>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p>
        </w:tc>
        <w:tc>
          <w:tcPr>
            <w:tcW w:w="7198" w:type="dxa"/>
            <w:shd w:val="clear" w:color="auto" w:fill="auto"/>
            <w:tcMar>
              <w:top w:w="15" w:type="dxa"/>
              <w:left w:w="15" w:type="dxa"/>
              <w:right w:w="15" w:type="dxa"/>
            </w:tcMar>
            <w:vAlign w:val="center"/>
          </w:tcPr>
          <w:p>
            <w:pPr>
              <w:pStyle w:val="680"/>
              <w:spacing w:line="360" w:lineRule="exact"/>
              <w:ind w:firstLine="0" w:firstLineChars="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提供使用期间故障与应急情况应对措施，包括①故障处理②故障应急程序 等内容。</w:t>
            </w:r>
          </w:p>
          <w:p>
            <w:pPr>
              <w:pStyle w:val="680"/>
              <w:spacing w:line="360" w:lineRule="exact"/>
              <w:ind w:firstLine="0" w:firstLineChars="0"/>
              <w:rPr>
                <w:rFonts w:hint="default" w:ascii="仿宋" w:hAnsi="仿宋" w:eastAsia="仿宋" w:cs="仿宋"/>
                <w:color w:val="000000" w:themeColor="text1"/>
                <w:szCs w:val="24"/>
                <w:lang w:val="en-US" w:eastAsia="zh-CN"/>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故障应急方案满足项目实际需求，可操作性强得2分；每缺少上述一项内容扣1分；方案制定有不科学或不完善或不合理处扣0.5分。</w:t>
            </w:r>
          </w:p>
        </w:tc>
      </w:tr>
    </w:tbl>
    <w:p>
      <w:pPr>
        <w:pStyle w:val="527"/>
        <w:shd w:val="clear" w:color="auto" w:fill="FFFFFF"/>
        <w:spacing w:line="440" w:lineRule="exact"/>
        <w:rPr>
          <w:rFonts w:ascii="仿宋" w:hAnsi="仿宋" w:eastAsia="仿宋"/>
          <w:b/>
          <w:color w:val="000000" w:themeColor="text1"/>
          <w:sz w:val="24"/>
          <w:szCs w:val="24"/>
          <w:highlight w:val="yellow"/>
          <w14:textFill>
            <w14:solidFill>
              <w14:schemeClr w14:val="tx1"/>
            </w14:solidFill>
          </w14:textFill>
        </w:rPr>
      </w:pPr>
    </w:p>
    <w:p>
      <w:pPr>
        <w:shd w:val="clear" w:color="auto" w:fill="FFFFFF"/>
        <w:spacing w:line="440" w:lineRule="exact"/>
        <w:ind w:firstLine="482"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 定标原则</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35.1 评标委员会依据投标须知前附表规定的评标方法和标准，按照供应商综合得分排序确定出前三名作为中标候选人推荐给采购人。</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35.2采购代理机构应当在评标结束后2个工作日内将评标报告送采购人。</w:t>
      </w:r>
      <w:r>
        <w:rPr>
          <w:rFonts w:hint="eastAsia" w:ascii="仿宋" w:hAnsi="仿宋" w:eastAsia="仿宋" w:cs="仿宋"/>
          <w:bCs/>
          <w:color w:val="000000" w:themeColor="text1"/>
          <w:kern w:val="0"/>
          <w:sz w:val="24"/>
          <w14:textFill>
            <w14:solidFill>
              <w14:schemeClr w14:val="tx1"/>
            </w14:solidFill>
          </w14:textFill>
        </w:rPr>
        <w:t>采购人应当自收到评标报告之日起５个工作日内，在评标报告确定的中标候选人名单中按顺序确定中标人。</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 评标过程的保密</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36.1凡属于对投标文件的审查、澄清、评价和比较有关的资料、中标候选人的推荐情况以及与评标有关的其他任何情况，评标委员会成员和与评标活动有关的工作人员不得对任何单位和个人透露。</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36.2 在投标文件的评审和比较、中标候选人推荐以及授予合同的过程中，供应商向采购人或者评标委员会施加影响的任何行为，都将会导致其投标被拒绝。</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36.3 中标人确定后，采购人不对未中标人就评标过程以及未能中标原因做出任何解释。未中标人不得向评标委员会组成人员或者其他有关人员索问评标过程的情况和材料。</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（七） 授予合同</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37. 确定中标人</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37.1 中标的标准</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37.1.1投标文件满足招标文件全部实质性要求；</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37.1.2 具有良好的履行合同的能力和条件；</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37.1.3 能够最大限度满足招标文件的各项要求；</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37.2 采购人将确定资格合格的中标候选人为中标人。</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38. 授予合同的准则</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38.1 采购人将把合同授予经确认的中标人。</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39. 中标通知</w:t>
      </w:r>
    </w:p>
    <w:p>
      <w:pPr>
        <w:shd w:val="clear" w:color="auto" w:fill="FFFFFF"/>
        <w:spacing w:line="440" w:lineRule="exact"/>
        <w:ind w:firstLine="484" w:firstLineChars="20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39.1采购人依据评标委员会推荐的中标候选人排序确定排名第一的中标候选人为中标人后，将</w:t>
      </w:r>
      <w:r>
        <w:rPr>
          <w:rFonts w:hint="eastAsia" w:ascii="仿宋" w:hAnsi="仿宋" w:eastAsia="仿宋" w:cs="仿宋"/>
          <w:color w:val="000000" w:themeColor="text1"/>
          <w:sz w:val="24"/>
          <w14:textFill>
            <w14:solidFill>
              <w14:schemeClr w14:val="tx1"/>
            </w14:solidFill>
          </w14:textFill>
        </w:rPr>
        <w:t>对中标结果公示1工作日，同时向中标人发出中标通知书。</w:t>
      </w:r>
    </w:p>
    <w:p>
      <w:pPr>
        <w:shd w:val="clear" w:color="auto" w:fill="FFFFFF"/>
        <w:spacing w:line="440" w:lineRule="exact"/>
        <w:ind w:firstLine="484" w:firstLineChars="20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39.3 中标通知书对采购人和中标人具有法律约束力。中标通知书发出后，采购人不得违法改变中标结果，中标人无正当理由不得放弃中标。 </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40. 合同的签订</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40.1采购人应当自中标通知书发出之日起30日内，按照招标文件和中标人投标文件的规定，与中标人签订政府采购合同。所签订的合同不得对招标文件确定的事项和中标人投标文件作实质性修改。</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40.2 招标文件要求中标人提交履约保证金或者其他形式履约担保的，中标人应当提交；拒绝提交的，视为放弃中标项目，且投标保证金将被没收。</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40.3 招标文件和中标人的投标文件均是该书面合同的附件。</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40.4 中标人因不可抗力或自身原因不能履行采购合同的，采购人可以与排位在中标人之后第一位的中标候选人签订采购合同，以此类推，或采购人重新组织招标。</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40.5 政府采购合同自签订之日起2个工作日内，采购人应当在网上发布合同公告。</w:t>
      </w:r>
    </w:p>
    <w:p>
      <w:pPr>
        <w:shd w:val="clear" w:color="auto" w:fill="FFFFFF"/>
        <w:spacing w:line="440" w:lineRule="exact"/>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41.质疑与投诉</w:t>
      </w:r>
    </w:p>
    <w:p>
      <w:pPr>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13项规定。供应商须在法定质疑期内一次性提出针对同一采购程序环节的质疑。</w:t>
      </w:r>
    </w:p>
    <w:p>
      <w:pPr>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41.2、质疑函内容</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（1）供应商的姓名或者名称、地址、邮编、联系人及联系电话；</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（2）质疑项目的名称、编号；</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（3）具体、明确的质疑事项和与质疑事项相关的请求；</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（4）事实依据；</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（5）必要的法律依据；</w:t>
      </w:r>
    </w:p>
    <w:p>
      <w:pPr>
        <w:shd w:val="clear" w:color="auto" w:fill="FFFFFF"/>
        <w:spacing w:line="440" w:lineRule="exact"/>
        <w:ind w:firstLine="480" w:firstLineChars="200"/>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（6）提出质疑的日期。</w:t>
      </w:r>
    </w:p>
    <w:p>
      <w:pPr>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供应商为自然人的，应当由本人签字；供应商为法人或者其他组织的，应当由法定代表人、主要负责人，或者其授权代表签字或者盖章，并加盖投标单位公章。</w:t>
      </w:r>
    </w:p>
    <w:p>
      <w:pPr>
        <w:shd w:val="clear" w:color="auto" w:fill="FFFFFF"/>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41.3、采购人在收到供应商的书面质疑函后七个工作日内作出答复，并以书面形式通知质疑供应商和其他有关供应商，但答复的内容不涉及商业秘密。</w:t>
      </w:r>
    </w:p>
    <w:p>
      <w:pPr>
        <w:shd w:val="clear" w:color="auto" w:fill="FFFFFF"/>
        <w:adjustRightInd w:val="0"/>
        <w:snapToGrid w:val="0"/>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pPr>
        <w:shd w:val="clear" w:color="auto" w:fill="FFFFFF"/>
        <w:spacing w:line="440" w:lineRule="exact"/>
        <w:ind w:firstLine="487" w:firstLineChars="202"/>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42. 履约担保（本项目不适用）</w:t>
      </w:r>
    </w:p>
    <w:p>
      <w:pPr>
        <w:shd w:val="clear" w:color="auto" w:fill="FFFFFF"/>
        <w:autoSpaceDE w:val="0"/>
        <w:autoSpaceDN w:val="0"/>
        <w:adjustRightInd w:val="0"/>
        <w:spacing w:line="440" w:lineRule="exact"/>
        <w:ind w:firstLine="438" w:firstLineChars="189"/>
        <w:rPr>
          <w:rFonts w:ascii="仿宋" w:hAnsi="仿宋" w:eastAsia="仿宋" w:cs="仿宋"/>
          <w:color w:val="000000" w:themeColor="text1"/>
          <w:spacing w:val="-4"/>
          <w:kern w:val="0"/>
          <w:sz w:val="24"/>
          <w14:textFill>
            <w14:solidFill>
              <w14:schemeClr w14:val="tx1"/>
            </w14:solidFill>
          </w14:textFill>
        </w:rPr>
      </w:pPr>
      <w:r>
        <w:rPr>
          <w:rFonts w:hint="eastAsia" w:ascii="仿宋" w:hAnsi="仿宋" w:eastAsia="仿宋" w:cs="仿宋"/>
          <w:color w:val="000000" w:themeColor="text1"/>
          <w:spacing w:val="-4"/>
          <w:kern w:val="0"/>
          <w:sz w:val="24"/>
          <w14:textFill>
            <w14:solidFill>
              <w14:schemeClr w14:val="tx1"/>
            </w14:solidFill>
          </w14:textFill>
        </w:rPr>
        <w:t>42.1 中标人须在与采购人签署合同前按招标文件有关要求提交履约担保。中标人应按照下列规定的方式和金额向采购人提交履约担保。</w:t>
      </w:r>
    </w:p>
    <w:p>
      <w:pPr>
        <w:shd w:val="clear" w:color="auto" w:fill="FFFFFF"/>
        <w:autoSpaceDE w:val="0"/>
        <w:autoSpaceDN w:val="0"/>
        <w:adjustRightInd w:val="0"/>
        <w:spacing w:line="440" w:lineRule="exact"/>
        <w:ind w:firstLine="453" w:firstLineChars="189"/>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42.1.1 履约担保采用下列</w:t>
      </w:r>
      <w:r>
        <w:rPr>
          <w:rFonts w:hint="eastAsia" w:ascii="仿宋" w:hAnsi="仿宋" w:eastAsia="仿宋" w:cs="仿宋"/>
          <w:color w:val="000000" w:themeColor="text1"/>
          <w:kern w:val="0"/>
          <w:sz w:val="24"/>
          <w:u w:val="single"/>
          <w14:textFill>
            <w14:solidFill>
              <w14:schemeClr w14:val="tx1"/>
            </w14:solidFill>
          </w14:textFill>
        </w:rPr>
        <w:t xml:space="preserve">  /  </w:t>
      </w:r>
      <w:r>
        <w:rPr>
          <w:rFonts w:hint="eastAsia" w:ascii="仿宋" w:hAnsi="仿宋" w:eastAsia="仿宋" w:cs="仿宋"/>
          <w:color w:val="000000" w:themeColor="text1"/>
          <w:kern w:val="0"/>
          <w:sz w:val="24"/>
          <w14:textFill>
            <w14:solidFill>
              <w14:schemeClr w14:val="tx1"/>
            </w14:solidFill>
          </w14:textFill>
        </w:rPr>
        <w:t>方式</w:t>
      </w:r>
    </w:p>
    <w:p>
      <w:pPr>
        <w:shd w:val="clear" w:color="auto" w:fill="FFFFFF"/>
        <w:autoSpaceDE w:val="0"/>
        <w:autoSpaceDN w:val="0"/>
        <w:adjustRightInd w:val="0"/>
        <w:spacing w:line="440" w:lineRule="exact"/>
        <w:ind w:firstLine="480" w:firstLineChars="200"/>
        <w:rPr>
          <w:rFonts w:ascii="仿宋" w:hAnsi="仿宋" w:eastAsia="仿宋" w:cs="仿宋"/>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（1）履约保证金担保方式：</w:t>
      </w:r>
      <w:r>
        <w:rPr>
          <w:rFonts w:hint="eastAsia" w:ascii="仿宋" w:hAnsi="仿宋" w:eastAsia="仿宋" w:cs="仿宋"/>
          <w:color w:val="000000" w:themeColor="text1"/>
          <w:kern w:val="0"/>
          <w:sz w:val="24"/>
          <w:u w:val="single"/>
          <w14:textFill>
            <w14:solidFill>
              <w14:schemeClr w14:val="tx1"/>
            </w14:solidFill>
          </w14:textFill>
        </w:rPr>
        <w:t xml:space="preserve"> / </w:t>
      </w:r>
    </w:p>
    <w:p>
      <w:pPr>
        <w:shd w:val="clear" w:color="auto" w:fill="FFFFFF"/>
        <w:spacing w:line="44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银行汇票；2） 支票；</w:t>
      </w:r>
      <w:r>
        <w:rPr>
          <w:rFonts w:hint="eastAsia" w:ascii="仿宋" w:hAnsi="仿宋" w:eastAsia="仿宋" w:cs="仿宋"/>
          <w:color w:val="000000" w:themeColor="text1"/>
          <w:kern w:val="0"/>
          <w:sz w:val="24"/>
          <w14:textFill>
            <w14:solidFill>
              <w14:schemeClr w14:val="tx1"/>
            </w14:solidFill>
          </w14:textFill>
        </w:rPr>
        <w:t>3）银行转账；4）担保公司担保；</w:t>
      </w:r>
      <w:r>
        <w:rPr>
          <w:rFonts w:hint="eastAsia" w:ascii="仿宋" w:hAnsi="仿宋" w:eastAsia="仿宋" w:cs="仿宋"/>
          <w:color w:val="000000" w:themeColor="text1"/>
          <w:sz w:val="24"/>
          <w14:textFill>
            <w14:solidFill>
              <w14:schemeClr w14:val="tx1"/>
            </w14:solidFill>
          </w14:textFill>
        </w:rPr>
        <w:t>5）采购人与供应商协商确定的其他担保方式。</w:t>
      </w:r>
    </w:p>
    <w:p>
      <w:pPr>
        <w:shd w:val="clear" w:color="auto" w:fill="FFFFFF"/>
        <w:spacing w:line="440" w:lineRule="exact"/>
        <w:ind w:firstLine="484" w:firstLineChars="202"/>
        <w:rPr>
          <w:rFonts w:ascii="仿宋" w:hAnsi="仿宋" w:eastAsia="仿宋" w:cs="仿宋"/>
          <w:b/>
          <w:color w:val="000000" w:themeColor="text1"/>
          <w:kern w:val="0"/>
          <w:sz w:val="24"/>
          <w:u w:val="single"/>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 履约保证金：见投标须知前附表第14条。</w:t>
      </w:r>
    </w:p>
    <w:p>
      <w:pPr>
        <w:shd w:val="clear" w:color="auto" w:fill="FFFFFF"/>
        <w:spacing w:line="440" w:lineRule="exact"/>
        <w:ind w:firstLine="484" w:firstLineChars="202"/>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 如中标人不能按照投标须知第40条的规定执行，采购人将视为中标人放弃中标项目；已经订立合同的，采购人有充分理由解除合同，给采购人造成损失的，放弃中标项目的中标人应当赔偿。</w:t>
      </w:r>
    </w:p>
    <w:p>
      <w:pPr>
        <w:shd w:val="clear" w:color="auto" w:fill="FFFFFF"/>
        <w:spacing w:line="440" w:lineRule="exact"/>
        <w:ind w:firstLine="487" w:firstLineChars="202"/>
        <w:rPr>
          <w:rFonts w:ascii="仿宋" w:hAnsi="仿宋" w:eastAsia="仿宋" w:cs="仿宋"/>
          <w:b/>
          <w:bCs/>
          <w:color w:val="000000" w:themeColor="text1"/>
          <w:kern w:val="0"/>
          <w:sz w:val="24"/>
          <w14:textFill>
            <w14:solidFill>
              <w14:schemeClr w14:val="tx1"/>
            </w14:solidFill>
          </w14:textFill>
        </w:rPr>
      </w:pPr>
      <w:bookmarkStart w:id="6" w:name="_Toc228180139"/>
      <w:r>
        <w:rPr>
          <w:rFonts w:hint="eastAsia" w:ascii="仿宋" w:hAnsi="仿宋" w:eastAsia="仿宋" w:cs="仿宋"/>
          <w:b/>
          <w:color w:val="000000" w:themeColor="text1"/>
          <w:kern w:val="0"/>
          <w:sz w:val="24"/>
          <w14:textFill>
            <w14:solidFill>
              <w14:schemeClr w14:val="tx1"/>
            </w14:solidFill>
          </w14:textFill>
        </w:rPr>
        <w:t>43.</w:t>
      </w:r>
      <w:bookmarkEnd w:id="6"/>
      <w:r>
        <w:rPr>
          <w:rFonts w:hint="eastAsia" w:ascii="仿宋" w:hAnsi="仿宋" w:eastAsia="仿宋" w:cs="仿宋"/>
          <w:b/>
          <w:bCs/>
          <w:color w:val="000000" w:themeColor="text1"/>
          <w:kern w:val="0"/>
          <w:sz w:val="24"/>
          <w14:textFill>
            <w14:solidFill>
              <w14:schemeClr w14:val="tx1"/>
            </w14:solidFill>
          </w14:textFill>
        </w:rPr>
        <w:t>招标代理服务费</w:t>
      </w:r>
    </w:p>
    <w:p>
      <w:pPr>
        <w:shd w:val="clear" w:color="auto" w:fill="FFFFFF"/>
        <w:spacing w:line="440" w:lineRule="exact"/>
        <w:ind w:firstLine="484" w:firstLineChars="202"/>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43.1 中标人应按本招标文件的规定，在领取中标通知书时向采购代理机构一次性支付中标服务费。采购代理机构也可直接从中标人的投标保证金内扣除。</w:t>
      </w:r>
    </w:p>
    <w:p>
      <w:pPr>
        <w:shd w:val="clear" w:color="auto" w:fill="FFFFFF"/>
        <w:spacing w:line="440" w:lineRule="exact"/>
        <w:ind w:firstLine="484" w:firstLineChars="202"/>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43.2 中标服务费的计算基数是中标人投标报价的总金额（即中标通知书中载明的中标金额）。</w:t>
      </w:r>
    </w:p>
    <w:p>
      <w:pPr>
        <w:shd w:val="clear" w:color="auto" w:fill="FFFFFF"/>
        <w:spacing w:line="440" w:lineRule="exact"/>
        <w:ind w:firstLine="484" w:firstLineChars="202"/>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43.3具体收取比例详见《前附表》。</w:t>
      </w:r>
    </w:p>
    <w:p>
      <w:pPr>
        <w:shd w:val="clear" w:color="auto" w:fill="FFFFFF"/>
        <w:spacing w:line="440" w:lineRule="exact"/>
        <w:ind w:firstLine="487" w:firstLineChars="202"/>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44. 其他</w:t>
      </w:r>
    </w:p>
    <w:p>
      <w:pPr>
        <w:shd w:val="clear" w:color="auto" w:fill="FFFFFF"/>
        <w:spacing w:line="440" w:lineRule="exact"/>
        <w:ind w:firstLine="484" w:firstLineChars="202"/>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本招标文件是根据《中华人民共和国政府采购法》及其实施条例（658号令）及《政府采购货物和服务招标投标管理办法》（87号令）规定编制。</w:t>
      </w:r>
    </w:p>
    <w:p>
      <w:pPr>
        <w:pStyle w:val="331"/>
        <w:spacing w:beforeLines="50" w:afterLines="50"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br w:type="page"/>
      </w:r>
      <w:bookmarkStart w:id="7" w:name="_Hlk519787567"/>
      <w:bookmarkStart w:id="8" w:name="_Toc102060560"/>
      <w:bookmarkStart w:id="9" w:name="_Toc48469746"/>
      <w:bookmarkStart w:id="10" w:name="_Hlk519793124"/>
      <w:r>
        <w:rPr>
          <w:rFonts w:hint="eastAsia" w:ascii="仿宋" w:hAnsi="仿宋" w:eastAsia="仿宋" w:cs="仿宋"/>
          <w:b/>
          <w:color w:val="000000" w:themeColor="text1"/>
          <w:sz w:val="32"/>
          <w:szCs w:val="32"/>
          <w14:textFill>
            <w14:solidFill>
              <w14:schemeClr w14:val="tx1"/>
            </w14:solidFill>
          </w14:textFill>
        </w:rPr>
        <w:t>第三章  合同</w:t>
      </w:r>
      <w:bookmarkEnd w:id="7"/>
      <w:r>
        <w:rPr>
          <w:rFonts w:hint="eastAsia" w:ascii="仿宋" w:hAnsi="仿宋" w:eastAsia="仿宋" w:cs="仿宋"/>
          <w:b/>
          <w:color w:val="000000" w:themeColor="text1"/>
          <w:sz w:val="32"/>
          <w:szCs w:val="32"/>
          <w14:textFill>
            <w14:solidFill>
              <w14:schemeClr w14:val="tx1"/>
            </w14:solidFill>
          </w14:textFill>
        </w:rPr>
        <w:t>条款</w:t>
      </w:r>
      <w:bookmarkEnd w:id="8"/>
      <w:bookmarkEnd w:id="9"/>
    </w:p>
    <w:p>
      <w:pPr>
        <w:spacing w:line="500" w:lineRule="exact"/>
        <w:jc w:val="center"/>
        <w:rPr>
          <w:rFonts w:ascii="仿宋" w:hAnsi="仿宋" w:eastAsia="仿宋" w:cs="宋体"/>
          <w:b/>
          <w:bCs/>
          <w:color w:val="000000" w:themeColor="text1"/>
          <w:sz w:val="48"/>
          <w:szCs w:val="48"/>
          <w14:textFill>
            <w14:solidFill>
              <w14:schemeClr w14:val="tx1"/>
            </w14:solidFill>
          </w14:textFill>
        </w:rPr>
      </w:pPr>
      <w:r>
        <w:rPr>
          <w:rFonts w:hint="eastAsia" w:ascii="仿宋" w:hAnsi="仿宋" w:eastAsia="仿宋" w:cs="宋体"/>
          <w:b/>
          <w:bCs/>
          <w:color w:val="000000" w:themeColor="text1"/>
          <w:sz w:val="48"/>
          <w:szCs w:val="48"/>
          <w14:textFill>
            <w14:solidFill>
              <w14:schemeClr w14:val="tx1"/>
            </w14:solidFill>
          </w14:textFill>
        </w:rPr>
        <w:t>政府采购合同</w:t>
      </w:r>
    </w:p>
    <w:p>
      <w:pPr>
        <w:pStyle w:val="331"/>
        <w:spacing w:beforeLines="50" w:afterLines="50" w:line="360" w:lineRule="auto"/>
        <w:rPr>
          <w:rFonts w:ascii="仿宋" w:hAnsi="仿宋" w:eastAsia="仿宋"/>
          <w:b/>
          <w:color w:val="000000" w:themeColor="text1"/>
          <w:sz w:val="32"/>
          <w:szCs w:val="32"/>
          <w14:textFill>
            <w14:solidFill>
              <w14:schemeClr w14:val="tx1"/>
            </w14:solidFill>
          </w14:textFill>
        </w:rPr>
      </w:pPr>
    </w:p>
    <w:p>
      <w:pPr>
        <w:shd w:val="clear" w:color="auto" w:fill="FFFFFF"/>
        <w:spacing w:line="680" w:lineRule="exact"/>
        <w:ind w:firstLine="640" w:firstLineChars="200"/>
        <w:jc w:val="left"/>
        <w:rPr>
          <w:rFonts w:ascii="仿宋" w:hAnsi="仿宋" w:eastAsia="仿宋"/>
          <w:bCs/>
          <w:color w:val="000000" w:themeColor="text1"/>
          <w:kern w:val="0"/>
          <w:sz w:val="32"/>
          <w:szCs w:val="32"/>
          <w14:textFill>
            <w14:solidFill>
              <w14:schemeClr w14:val="tx1"/>
            </w14:solidFill>
          </w14:textFill>
        </w:rPr>
      </w:pPr>
    </w:p>
    <w:p>
      <w:pPr>
        <w:shd w:val="clear" w:color="auto" w:fill="FFFFFF"/>
        <w:spacing w:line="920" w:lineRule="exact"/>
        <w:ind w:firstLine="640" w:firstLineChars="200"/>
        <w:jc w:val="left"/>
        <w:rPr>
          <w:rFonts w:ascii="仿宋" w:hAnsi="仿宋" w:eastAsia="仿宋"/>
          <w:bCs/>
          <w:color w:val="000000" w:themeColor="text1"/>
          <w:kern w:val="0"/>
          <w:sz w:val="32"/>
          <w:szCs w:val="32"/>
          <w:u w:val="single"/>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项目名称：</w:t>
      </w:r>
      <w:r>
        <w:rPr>
          <w:rFonts w:hint="eastAsia" w:ascii="仿宋" w:hAnsi="仿宋" w:eastAsia="仿宋"/>
          <w:bCs/>
          <w:color w:val="000000" w:themeColor="text1"/>
          <w:kern w:val="0"/>
          <w:sz w:val="32"/>
          <w:szCs w:val="32"/>
          <w:u w:val="single"/>
          <w14:textFill>
            <w14:solidFill>
              <w14:schemeClr w14:val="tx1"/>
            </w14:solidFill>
          </w14:textFill>
        </w:rPr>
        <w:t>吉木萨尔县人民医院        采购</w:t>
      </w:r>
    </w:p>
    <w:p>
      <w:pPr>
        <w:shd w:val="clear" w:color="auto" w:fill="FFFFFF"/>
        <w:spacing w:line="920" w:lineRule="exact"/>
        <w:ind w:firstLine="640" w:firstLineChars="200"/>
        <w:jc w:val="left"/>
        <w:rPr>
          <w:rFonts w:ascii="仿宋" w:hAnsi="仿宋" w:eastAsia="仿宋"/>
          <w:bCs/>
          <w:color w:val="000000" w:themeColor="text1"/>
          <w:kern w:val="0"/>
          <w:sz w:val="32"/>
          <w:szCs w:val="32"/>
          <w:u w:val="single"/>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项目编号：</w:t>
      </w:r>
    </w:p>
    <w:p>
      <w:pPr>
        <w:shd w:val="clear" w:color="auto" w:fill="FFFFFF"/>
        <w:spacing w:line="680" w:lineRule="exact"/>
        <w:jc w:val="center"/>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u w:val="single"/>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甲方：</w:t>
      </w:r>
      <w:r>
        <w:rPr>
          <w:rFonts w:hint="eastAsia" w:ascii="仿宋" w:hAnsi="仿宋" w:eastAsia="仿宋"/>
          <w:bCs/>
          <w:color w:val="000000" w:themeColor="text1"/>
          <w:kern w:val="0"/>
          <w:sz w:val="32"/>
          <w:szCs w:val="32"/>
          <w:u w:val="single"/>
          <w14:textFill>
            <w14:solidFill>
              <w14:schemeClr w14:val="tx1"/>
            </w14:solidFill>
          </w14:textFill>
        </w:rPr>
        <w:t>吉木萨尔县人民医院</w:t>
      </w: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乙方：</w:t>
      </w:r>
    </w:p>
    <w:p>
      <w:pPr>
        <w:pStyle w:val="46"/>
        <w:rPr>
          <w:rFonts w:ascii="仿宋" w:hAnsi="仿宋" w:eastAsia="仿宋"/>
          <w:bCs/>
          <w:color w:val="000000" w:themeColor="text1"/>
          <w:sz w:val="32"/>
          <w:szCs w:val="32"/>
          <w14:textFill>
            <w14:solidFill>
              <w14:schemeClr w14:val="tx1"/>
            </w14:solidFill>
          </w14:textFill>
        </w:rPr>
      </w:pPr>
    </w:p>
    <w:p>
      <w:pPr>
        <w:pStyle w:val="46"/>
        <w:rPr>
          <w:rFonts w:ascii="仿宋" w:hAnsi="仿宋" w:eastAsia="仿宋"/>
          <w:bCs/>
          <w:color w:val="000000" w:themeColor="text1"/>
          <w:sz w:val="32"/>
          <w:szCs w:val="32"/>
          <w14:textFill>
            <w14:solidFill>
              <w14:schemeClr w14:val="tx1"/>
            </w14:solidFill>
          </w14:textFill>
        </w:rPr>
      </w:pPr>
    </w:p>
    <w:p>
      <w:pPr>
        <w:shd w:val="clear" w:color="auto" w:fill="FFFFFF"/>
        <w:spacing w:line="440" w:lineRule="exact"/>
        <w:ind w:firstLine="646" w:firstLineChars="202"/>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Cs/>
          <w:color w:val="000000" w:themeColor="text1"/>
          <w:kern w:val="0"/>
          <w:sz w:val="32"/>
          <w:szCs w:val="32"/>
          <w14:textFill>
            <w14:solidFill>
              <w14:schemeClr w14:val="tx1"/>
            </w14:solidFill>
          </w14:textFill>
        </w:rPr>
        <w:t>签订日期：</w:t>
      </w:r>
      <w:r>
        <w:rPr>
          <w:rFonts w:hint="eastAsia" w:ascii="仿宋" w:hAnsi="仿宋" w:eastAsia="仿宋"/>
          <w:bCs/>
          <w:color w:val="000000" w:themeColor="text1"/>
          <w:kern w:val="0"/>
          <w:sz w:val="32"/>
          <w:szCs w:val="32"/>
          <w:u w:val="single"/>
          <w14:textFill>
            <w14:solidFill>
              <w14:schemeClr w14:val="tx1"/>
            </w14:solidFill>
          </w14:textFill>
        </w:rPr>
        <w:t xml:space="preserve">20   </w:t>
      </w:r>
      <w:r>
        <w:rPr>
          <w:rFonts w:hint="eastAsia" w:ascii="仿宋" w:hAnsi="仿宋" w:eastAsia="仿宋"/>
          <w:bCs/>
          <w:color w:val="000000" w:themeColor="text1"/>
          <w:kern w:val="0"/>
          <w:sz w:val="32"/>
          <w:szCs w:val="32"/>
          <w14:textFill>
            <w14:solidFill>
              <w14:schemeClr w14:val="tx1"/>
            </w14:solidFill>
          </w14:textFill>
        </w:rPr>
        <w:t xml:space="preserve"> 年月日</w:t>
      </w:r>
    </w:p>
    <w:p>
      <w:pPr>
        <w:shd w:val="clear" w:color="auto" w:fill="FFFFFF"/>
        <w:spacing w:line="440" w:lineRule="exact"/>
        <w:ind w:firstLine="484" w:firstLineChars="202"/>
        <w:rPr>
          <w:rFonts w:ascii="仿宋" w:hAnsi="仿宋" w:eastAsia="仿宋"/>
          <w:bCs/>
          <w:color w:val="000000" w:themeColor="text1"/>
          <w:kern w:val="0"/>
          <w:sz w:val="24"/>
          <w14:textFill>
            <w14:solidFill>
              <w14:schemeClr w14:val="tx1"/>
            </w14:solidFill>
          </w14:textFill>
        </w:rPr>
      </w:pPr>
    </w:p>
    <w:p>
      <w:pPr>
        <w:pStyle w:val="46"/>
        <w:rPr>
          <w:rFonts w:ascii="仿宋_GB2312" w:hAnsi="仿宋" w:eastAsia="仿宋_GB2312"/>
          <w:bCs/>
          <w:color w:val="000000" w:themeColor="text1"/>
          <w:sz w:val="24"/>
          <w14:textFill>
            <w14:solidFill>
              <w14:schemeClr w14:val="tx1"/>
            </w14:solidFill>
          </w14:textFill>
        </w:rPr>
      </w:pPr>
    </w:p>
    <w:p>
      <w:pPr>
        <w:pStyle w:val="46"/>
        <w:rPr>
          <w:color w:val="000000" w:themeColor="text1"/>
          <w14:textFill>
            <w14:solidFill>
              <w14:schemeClr w14:val="tx1"/>
            </w14:solidFill>
          </w14:textFill>
        </w:rPr>
      </w:pPr>
    </w:p>
    <w:p>
      <w:pPr>
        <w:spacing w:line="400" w:lineRule="exact"/>
        <w:jc w:val="center"/>
        <w:rPr>
          <w:rFonts w:ascii="宋体" w:hAnsi="宋体"/>
          <w:b/>
          <w:color w:val="000000" w:themeColor="text1"/>
          <w:sz w:val="30"/>
          <w:szCs w:val="30"/>
          <w14:textFill>
            <w14:solidFill>
              <w14:schemeClr w14:val="tx1"/>
            </w14:solidFill>
          </w14:textFill>
        </w:rPr>
      </w:pPr>
    </w:p>
    <w:p>
      <w:pPr>
        <w:spacing w:line="400" w:lineRule="exact"/>
        <w:jc w:val="center"/>
        <w:rPr>
          <w:rFonts w:ascii="仿宋" w:hAnsi="仿宋" w:eastAsia="仿宋"/>
          <w:b/>
          <w:color w:val="000000" w:themeColor="text1"/>
          <w:sz w:val="30"/>
          <w:szCs w:val="30"/>
          <w14:textFill>
            <w14:solidFill>
              <w14:schemeClr w14:val="tx1"/>
            </w14:solidFill>
          </w14:textFill>
        </w:rPr>
      </w:pPr>
    </w:p>
    <w:p>
      <w:pPr>
        <w:spacing w:line="400" w:lineRule="exact"/>
        <w:jc w:val="center"/>
        <w:rPr>
          <w:rFonts w:ascii="仿宋" w:hAnsi="仿宋" w:eastAsia="仿宋"/>
          <w:b/>
          <w:color w:val="000000" w:themeColor="text1"/>
          <w:sz w:val="30"/>
          <w:szCs w:val="30"/>
          <w14:textFill>
            <w14:solidFill>
              <w14:schemeClr w14:val="tx1"/>
            </w14:solidFill>
          </w14:textFill>
        </w:rPr>
      </w:pPr>
    </w:p>
    <w:p>
      <w:pPr>
        <w:spacing w:line="40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吉木萨尔县人民医院采购合同</w:t>
      </w:r>
    </w:p>
    <w:p>
      <w:pPr>
        <w:pStyle w:val="27"/>
        <w:rPr>
          <w:rFonts w:eastAsia="仿宋"/>
          <w:color w:val="000000" w:themeColor="text1"/>
          <w14:textFill>
            <w14:solidFill>
              <w14:schemeClr w14:val="tx1"/>
            </w14:solidFill>
          </w14:textFill>
        </w:rPr>
      </w:pPr>
    </w:p>
    <w:p>
      <w:pPr>
        <w:spacing w:line="400" w:lineRule="exact"/>
        <w:rPr>
          <w:rFonts w:ascii="仿宋" w:hAnsi="仿宋" w:eastAsia="仿宋"/>
          <w:color w:val="000000" w:themeColor="text1"/>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吉木萨尔县人民医院        </w:t>
      </w:r>
      <w:r>
        <w:rPr>
          <w:rFonts w:hint="eastAsia" w:ascii="仿宋" w:hAnsi="仿宋" w:eastAsia="仿宋"/>
          <w:color w:val="000000" w:themeColor="text1"/>
          <w:sz w:val="24"/>
          <w14:textFill>
            <w14:solidFill>
              <w14:schemeClr w14:val="tx1"/>
            </w14:solidFill>
          </w14:textFill>
        </w:rPr>
        <w:t xml:space="preserve">       乙方：</w:t>
      </w:r>
    </w:p>
    <w:p>
      <w:pPr>
        <w:spacing w:line="44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w:t>
      </w:r>
      <w:r>
        <w:rPr>
          <w:rFonts w:hint="eastAsia" w:ascii="仿宋" w:hAnsi="仿宋" w:eastAsia="仿宋"/>
          <w:color w:val="000000" w:themeColor="text1"/>
          <w:sz w:val="24"/>
          <w:u w:val="single"/>
          <w14:textFill>
            <w14:solidFill>
              <w14:schemeClr w14:val="tx1"/>
            </w14:solidFill>
          </w14:textFill>
        </w:rPr>
        <w:t xml:space="preserve">吉木萨尔县文明西路9号    </w:t>
      </w:r>
      <w:r>
        <w:rPr>
          <w:rFonts w:hint="eastAsia" w:ascii="仿宋" w:hAnsi="仿宋" w:eastAsia="仿宋"/>
          <w:color w:val="000000" w:themeColor="text1"/>
          <w:sz w:val="24"/>
          <w14:textFill>
            <w14:solidFill>
              <w14:schemeClr w14:val="tx1"/>
            </w14:solidFill>
          </w14:textFill>
        </w:rPr>
        <w:t xml:space="preserve">       地址：</w:t>
      </w:r>
    </w:p>
    <w:p>
      <w:pPr>
        <w:spacing w:line="44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hint="eastAsia" w:ascii="仿宋" w:hAnsi="仿宋" w:eastAsia="仿宋"/>
          <w:color w:val="000000" w:themeColor="text1"/>
          <w:sz w:val="24"/>
          <w:u w:val="single"/>
          <w14:textFill>
            <w14:solidFill>
              <w14:schemeClr w14:val="tx1"/>
            </w14:solidFill>
          </w14:textFill>
        </w:rPr>
        <w:t xml:space="preserve"> 0994-6912221             </w:t>
      </w:r>
      <w:r>
        <w:rPr>
          <w:rFonts w:hint="eastAsia" w:ascii="仿宋" w:hAnsi="仿宋" w:eastAsia="仿宋"/>
          <w:color w:val="000000" w:themeColor="text1"/>
          <w:sz w:val="24"/>
          <w14:textFill>
            <w14:solidFill>
              <w14:schemeClr w14:val="tx1"/>
            </w14:solidFill>
          </w14:textFill>
        </w:rPr>
        <w:t xml:space="preserve">       电话：</w:t>
      </w:r>
    </w:p>
    <w:p>
      <w:pPr>
        <w:spacing w:line="440" w:lineRule="exact"/>
        <w:ind w:firstLine="480" w:firstLineChars="200"/>
        <w:rPr>
          <w:rFonts w:ascii="仿宋" w:hAnsi="仿宋" w:eastAsia="仿宋"/>
          <w:color w:val="000000" w:themeColor="text1"/>
          <w:sz w:val="24"/>
          <w:u w:val="single"/>
          <w14:textFill>
            <w14:solidFill>
              <w14:schemeClr w14:val="tx1"/>
            </w14:solidFill>
          </w14:textFill>
        </w:rPr>
      </w:pP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 xml:space="preserve">吉木萨尔县人民医院 </w:t>
      </w:r>
      <w:r>
        <w:rPr>
          <w:rFonts w:hint="eastAsia" w:ascii="仿宋" w:hAnsi="仿宋" w:eastAsia="仿宋"/>
          <w:color w:val="000000" w:themeColor="text1"/>
          <w:sz w:val="24"/>
          <w14:textFill>
            <w14:solidFill>
              <w14:schemeClr w14:val="tx1"/>
            </w14:solidFill>
          </w14:textFill>
        </w:rPr>
        <w:t>委托新疆品创项目管理咨询有限公司就</w:t>
      </w:r>
      <w:r>
        <w:rPr>
          <w:rFonts w:hint="eastAsia" w:ascii="仿宋" w:hAnsi="仿宋" w:eastAsia="仿宋" w:cs="仿宋"/>
          <w:color w:val="000000" w:themeColor="text1"/>
          <w:sz w:val="24"/>
          <w:u w:val="single"/>
          <w14:textFill>
            <w14:solidFill>
              <w14:schemeClr w14:val="tx1"/>
            </w14:solidFill>
          </w14:textFill>
        </w:rPr>
        <w:t>（项目名称）吉木萨尔县总医院（县人民医院）手术室行为管理及毒麻药品管理系统能力提升采购项目，</w:t>
      </w:r>
      <w:r>
        <w:rPr>
          <w:rFonts w:hint="eastAsia" w:ascii="仿宋" w:hAnsi="仿宋" w:eastAsia="仿宋"/>
          <w:color w:val="000000" w:themeColor="text1"/>
          <w:sz w:val="24"/>
          <w:u w:val="single"/>
          <w14:textFill>
            <w14:solidFill>
              <w14:schemeClr w14:val="tx1"/>
            </w14:solidFill>
          </w14:textFill>
        </w:rPr>
        <w:t xml:space="preserve">项目编号2024PCGK027 </w:t>
      </w:r>
      <w:r>
        <w:rPr>
          <w:rFonts w:hint="eastAsia" w:ascii="仿宋" w:hAnsi="仿宋" w:eastAsia="仿宋"/>
          <w:color w:val="000000" w:themeColor="text1"/>
          <w:sz w:val="24"/>
          <w14:textFill>
            <w14:solidFill>
              <w14:schemeClr w14:val="tx1"/>
            </w14:solidFill>
          </w14:textFill>
        </w:rPr>
        <w:t>项目，以</w:t>
      </w:r>
      <w:r>
        <w:rPr>
          <w:rFonts w:hint="eastAsia" w:ascii="仿宋" w:hAnsi="仿宋" w:eastAsia="仿宋"/>
          <w:color w:val="000000" w:themeColor="text1"/>
          <w:sz w:val="24"/>
          <w:u w:val="single"/>
          <w14:textFill>
            <w14:solidFill>
              <w14:schemeClr w14:val="tx1"/>
            </w14:solidFill>
          </w14:textFill>
        </w:rPr>
        <w:t>公开招标</w:t>
      </w:r>
      <w:r>
        <w:rPr>
          <w:rFonts w:hint="eastAsia" w:ascii="仿宋" w:hAnsi="仿宋" w:eastAsia="仿宋"/>
          <w:color w:val="000000" w:themeColor="text1"/>
          <w:sz w:val="24"/>
          <w14:textFill>
            <w14:solidFill>
              <w14:schemeClr w14:val="tx1"/>
            </w14:solidFill>
          </w14:textFill>
        </w:rPr>
        <w:t>方式，于年月日组织开标。经评标委员会评定，经甲、乙双方协商确认，达成以下采购协议：</w:t>
      </w: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一、货物名称、型号、生产厂家、数量、价格等</w:t>
      </w:r>
    </w:p>
    <w:tbl>
      <w:tblPr>
        <w:tblStyle w:val="60"/>
        <w:tblW w:w="9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1751"/>
        <w:gridCol w:w="1645"/>
        <w:gridCol w:w="1374"/>
        <w:gridCol w:w="890"/>
        <w:gridCol w:w="1070"/>
        <w:gridCol w:w="1120"/>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49" w:type="dxa"/>
            <w:vMerge w:val="restart"/>
            <w:noWrap/>
            <w:vAlign w:val="center"/>
          </w:tcPr>
          <w:p>
            <w:pPr>
              <w:pStyle w:val="729"/>
              <w:spacing w:before="87"/>
              <w:ind w:left="65"/>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w w:val="99"/>
                <w:sz w:val="24"/>
                <w:szCs w:val="24"/>
                <w14:textFill>
                  <w14:solidFill>
                    <w14:schemeClr w14:val="tx1"/>
                  </w14:solidFill>
                </w14:textFill>
              </w:rPr>
              <w:t>序</w:t>
            </w:r>
          </w:p>
          <w:p>
            <w:pPr>
              <w:pStyle w:val="729"/>
              <w:spacing w:before="160"/>
              <w:ind w:left="65"/>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w w:val="99"/>
                <w:sz w:val="24"/>
                <w:szCs w:val="24"/>
                <w14:textFill>
                  <w14:solidFill>
                    <w14:schemeClr w14:val="tx1"/>
                  </w14:solidFill>
                </w14:textFill>
              </w:rPr>
              <w:t>号</w:t>
            </w:r>
          </w:p>
        </w:tc>
        <w:tc>
          <w:tcPr>
            <w:tcW w:w="1751" w:type="dxa"/>
            <w:vMerge w:val="restart"/>
            <w:noWrap/>
            <w:vAlign w:val="center"/>
          </w:tcPr>
          <w:p>
            <w:pPr>
              <w:pStyle w:val="729"/>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14:textFill>
                  <w14:solidFill>
                    <w14:schemeClr w14:val="tx1"/>
                  </w14:solidFill>
                </w14:textFill>
              </w:rPr>
              <w:t>货物</w:t>
            </w:r>
            <w:r>
              <w:rPr>
                <w:rFonts w:hint="eastAsia" w:ascii="仿宋" w:hAnsi="仿宋" w:eastAsia="仿宋" w:cs="仿宋"/>
                <w:bCs/>
                <w:color w:val="000000" w:themeColor="text1"/>
                <w:sz w:val="24"/>
                <w:szCs w:val="24"/>
                <w14:textFill>
                  <w14:solidFill>
                    <w14:schemeClr w14:val="tx1"/>
                  </w14:solidFill>
                </w14:textFill>
              </w:rPr>
              <w:t>名称</w:t>
            </w:r>
          </w:p>
        </w:tc>
        <w:tc>
          <w:tcPr>
            <w:tcW w:w="1645" w:type="dxa"/>
            <w:vMerge w:val="restart"/>
            <w:noWrap/>
            <w:vAlign w:val="center"/>
          </w:tcPr>
          <w:p>
            <w:pPr>
              <w:pStyle w:val="729"/>
              <w:jc w:val="center"/>
              <w:rPr>
                <w:rFonts w:ascii="仿宋" w:hAnsi="仿宋" w:eastAsia="仿宋" w:cs="仿宋"/>
                <w:bCs/>
                <w:color w:val="000000" w:themeColor="text1"/>
                <w:sz w:val="24"/>
                <w:szCs w:val="24"/>
                <w:lang w:val="en-US"/>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品牌、</w:t>
            </w:r>
            <w:r>
              <w:rPr>
                <w:rFonts w:hint="eastAsia" w:ascii="仿宋" w:hAnsi="仿宋" w:eastAsia="仿宋" w:cs="仿宋"/>
                <w:bCs/>
                <w:color w:val="000000" w:themeColor="text1"/>
                <w:sz w:val="24"/>
                <w:szCs w:val="24"/>
                <w:lang w:val="en-US"/>
                <w14:textFill>
                  <w14:solidFill>
                    <w14:schemeClr w14:val="tx1"/>
                  </w14:solidFill>
                </w14:textFill>
              </w:rPr>
              <w:t>生产厂家</w:t>
            </w:r>
          </w:p>
        </w:tc>
        <w:tc>
          <w:tcPr>
            <w:tcW w:w="1374" w:type="dxa"/>
            <w:vMerge w:val="restart"/>
            <w:noWrap/>
            <w:vAlign w:val="center"/>
          </w:tcPr>
          <w:p>
            <w:pPr>
              <w:pStyle w:val="729"/>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规格、型号</w:t>
            </w:r>
          </w:p>
        </w:tc>
        <w:tc>
          <w:tcPr>
            <w:tcW w:w="890" w:type="dxa"/>
            <w:vMerge w:val="restart"/>
            <w:noWrap/>
            <w:vAlign w:val="center"/>
          </w:tcPr>
          <w:p>
            <w:pPr>
              <w:pStyle w:val="729"/>
              <w:spacing w:before="160"/>
              <w:ind w:left="64"/>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产地</w:t>
            </w:r>
          </w:p>
        </w:tc>
        <w:tc>
          <w:tcPr>
            <w:tcW w:w="3641" w:type="dxa"/>
            <w:gridSpan w:val="3"/>
            <w:noWrap/>
            <w:vAlign w:val="center"/>
          </w:tcPr>
          <w:p>
            <w:pPr>
              <w:pStyle w:val="729"/>
              <w:spacing w:before="80"/>
              <w:ind w:left="107"/>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49" w:type="dxa"/>
            <w:vMerge w:val="continue"/>
            <w:tcBorders>
              <w:top w:val="nil"/>
            </w:tcBorders>
            <w:noWrap/>
            <w:vAlign w:val="center"/>
          </w:tcPr>
          <w:p>
            <w:pPr>
              <w:jc w:val="center"/>
              <w:rPr>
                <w:rFonts w:ascii="仿宋" w:hAnsi="仿宋" w:eastAsia="仿宋" w:cs="仿宋"/>
                <w:bCs/>
                <w:color w:val="000000" w:themeColor="text1"/>
                <w:sz w:val="24"/>
                <w14:textFill>
                  <w14:solidFill>
                    <w14:schemeClr w14:val="tx1"/>
                  </w14:solidFill>
                </w14:textFill>
              </w:rPr>
            </w:pPr>
          </w:p>
        </w:tc>
        <w:tc>
          <w:tcPr>
            <w:tcW w:w="1751" w:type="dxa"/>
            <w:vMerge w:val="continue"/>
            <w:tcBorders>
              <w:top w:val="nil"/>
            </w:tcBorders>
            <w:noWrap/>
            <w:vAlign w:val="center"/>
          </w:tcPr>
          <w:p>
            <w:pPr>
              <w:jc w:val="center"/>
              <w:rPr>
                <w:rFonts w:ascii="仿宋" w:hAnsi="仿宋" w:eastAsia="仿宋" w:cs="仿宋"/>
                <w:bCs/>
                <w:color w:val="000000" w:themeColor="text1"/>
                <w:sz w:val="24"/>
                <w14:textFill>
                  <w14:solidFill>
                    <w14:schemeClr w14:val="tx1"/>
                  </w14:solidFill>
                </w14:textFill>
              </w:rPr>
            </w:pPr>
          </w:p>
        </w:tc>
        <w:tc>
          <w:tcPr>
            <w:tcW w:w="1645" w:type="dxa"/>
            <w:vMerge w:val="continue"/>
            <w:tcBorders>
              <w:top w:val="nil"/>
            </w:tcBorders>
            <w:noWrap/>
            <w:vAlign w:val="center"/>
          </w:tcPr>
          <w:p>
            <w:pPr>
              <w:jc w:val="center"/>
              <w:rPr>
                <w:rFonts w:ascii="仿宋" w:hAnsi="仿宋" w:eastAsia="仿宋" w:cs="仿宋"/>
                <w:bCs/>
                <w:color w:val="000000" w:themeColor="text1"/>
                <w:sz w:val="24"/>
                <w14:textFill>
                  <w14:solidFill>
                    <w14:schemeClr w14:val="tx1"/>
                  </w14:solidFill>
                </w14:textFill>
              </w:rPr>
            </w:pPr>
          </w:p>
        </w:tc>
        <w:tc>
          <w:tcPr>
            <w:tcW w:w="1374" w:type="dxa"/>
            <w:vMerge w:val="continue"/>
            <w:tcBorders>
              <w:top w:val="nil"/>
            </w:tcBorders>
            <w:noWrap/>
            <w:vAlign w:val="center"/>
          </w:tcPr>
          <w:p>
            <w:pPr>
              <w:jc w:val="center"/>
              <w:rPr>
                <w:rFonts w:ascii="仿宋" w:hAnsi="仿宋" w:eastAsia="仿宋" w:cs="仿宋"/>
                <w:bCs/>
                <w:color w:val="000000" w:themeColor="text1"/>
                <w:sz w:val="24"/>
                <w14:textFill>
                  <w14:solidFill>
                    <w14:schemeClr w14:val="tx1"/>
                  </w14:solidFill>
                </w14:textFill>
              </w:rPr>
            </w:pPr>
          </w:p>
        </w:tc>
        <w:tc>
          <w:tcPr>
            <w:tcW w:w="890" w:type="dxa"/>
            <w:vMerge w:val="continue"/>
            <w:tcBorders>
              <w:top w:val="nil"/>
            </w:tcBorders>
            <w:noWrap/>
            <w:vAlign w:val="center"/>
          </w:tcPr>
          <w:p>
            <w:pPr>
              <w:jc w:val="center"/>
              <w:rPr>
                <w:rFonts w:ascii="仿宋" w:hAnsi="仿宋" w:eastAsia="仿宋" w:cs="仿宋"/>
                <w:bCs/>
                <w:color w:val="000000" w:themeColor="text1"/>
                <w:sz w:val="24"/>
                <w14:textFill>
                  <w14:solidFill>
                    <w14:schemeClr w14:val="tx1"/>
                  </w14:solidFill>
                </w14:textFill>
              </w:rPr>
            </w:pPr>
          </w:p>
        </w:tc>
        <w:tc>
          <w:tcPr>
            <w:tcW w:w="1070" w:type="dxa"/>
            <w:noWrap/>
            <w:vAlign w:val="center"/>
          </w:tcPr>
          <w:p>
            <w:pPr>
              <w:pStyle w:val="729"/>
              <w:spacing w:before="82"/>
              <w:ind w:left="107"/>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单价（</w:t>
            </w:r>
            <w:r>
              <w:rPr>
                <w:rFonts w:hint="eastAsia" w:ascii="仿宋" w:hAnsi="仿宋" w:eastAsia="仿宋" w:cs="仿宋"/>
                <w:bCs/>
                <w:color w:val="000000" w:themeColor="text1"/>
                <w:sz w:val="24"/>
                <w:szCs w:val="24"/>
                <w:lang w:val="en-US"/>
                <w14:textFill>
                  <w14:solidFill>
                    <w14:schemeClr w14:val="tx1"/>
                  </w14:solidFill>
                </w14:textFill>
              </w:rPr>
              <w:t>元</w:t>
            </w:r>
            <w:r>
              <w:rPr>
                <w:rFonts w:hint="eastAsia" w:ascii="仿宋" w:hAnsi="仿宋" w:eastAsia="仿宋" w:cs="仿宋"/>
                <w:bCs/>
                <w:color w:val="000000" w:themeColor="text1"/>
                <w:sz w:val="24"/>
                <w:szCs w:val="24"/>
                <w14:textFill>
                  <w14:solidFill>
                    <w14:schemeClr w14:val="tx1"/>
                  </w14:solidFill>
                </w14:textFill>
              </w:rPr>
              <w:t>）</w:t>
            </w:r>
          </w:p>
        </w:tc>
        <w:tc>
          <w:tcPr>
            <w:tcW w:w="1120" w:type="dxa"/>
            <w:noWrap/>
            <w:vAlign w:val="center"/>
          </w:tcPr>
          <w:p>
            <w:pPr>
              <w:pStyle w:val="729"/>
              <w:spacing w:before="82"/>
              <w:ind w:left="106"/>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数量（</w:t>
            </w:r>
            <w:r>
              <w:rPr>
                <w:rFonts w:hint="eastAsia" w:ascii="仿宋" w:hAnsi="仿宋" w:eastAsia="仿宋" w:cs="仿宋"/>
                <w:bCs/>
                <w:color w:val="000000" w:themeColor="text1"/>
                <w:sz w:val="24"/>
                <w:szCs w:val="24"/>
                <w:lang w:val="en-US"/>
                <w14:textFill>
                  <w14:solidFill>
                    <w14:schemeClr w14:val="tx1"/>
                  </w14:solidFill>
                </w14:textFill>
              </w:rPr>
              <w:t>台</w:t>
            </w:r>
            <w:r>
              <w:rPr>
                <w:rFonts w:hint="eastAsia" w:ascii="仿宋" w:hAnsi="仿宋" w:eastAsia="仿宋" w:cs="仿宋"/>
                <w:bCs/>
                <w:color w:val="000000" w:themeColor="text1"/>
                <w:sz w:val="24"/>
                <w:szCs w:val="24"/>
                <w14:textFill>
                  <w14:solidFill>
                    <w14:schemeClr w14:val="tx1"/>
                  </w14:solidFill>
                </w14:textFill>
              </w:rPr>
              <w:t>）</w:t>
            </w:r>
          </w:p>
        </w:tc>
        <w:tc>
          <w:tcPr>
            <w:tcW w:w="1451" w:type="dxa"/>
            <w:noWrap/>
            <w:vAlign w:val="center"/>
          </w:tcPr>
          <w:p>
            <w:pPr>
              <w:pStyle w:val="729"/>
              <w:spacing w:before="82"/>
              <w:ind w:left="108"/>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14:textFill>
                  <w14:solidFill>
                    <w14:schemeClr w14:val="tx1"/>
                  </w14:solidFill>
                </w14:textFill>
              </w:rPr>
              <w:t>小计</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14:textFill>
                  <w14:solidFill>
                    <w14:schemeClr w14:val="tx1"/>
                  </w14:solidFill>
                </w14:textFill>
              </w:rPr>
              <w:t>元</w:t>
            </w:r>
            <w:r>
              <w:rPr>
                <w:rFonts w:hint="eastAsia" w:ascii="仿宋" w:hAnsi="仿宋" w:eastAsia="仿宋" w:cs="仿宋"/>
                <w:bCs/>
                <w:color w:val="000000" w:themeColor="text1"/>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noWrap/>
          </w:tcPr>
          <w:p>
            <w:pPr>
              <w:pStyle w:val="729"/>
              <w:spacing w:before="129"/>
              <w:ind w:left="106"/>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1751" w:type="dxa"/>
            <w:noWrap/>
          </w:tcPr>
          <w:p>
            <w:pPr>
              <w:pStyle w:val="729"/>
              <w:spacing w:before="129"/>
              <w:ind w:left="108"/>
              <w:rPr>
                <w:rFonts w:ascii="仿宋" w:hAnsi="仿宋" w:eastAsia="仿宋" w:cs="仿宋"/>
                <w:bCs/>
                <w:color w:val="000000" w:themeColor="text1"/>
                <w:sz w:val="24"/>
                <w:szCs w:val="24"/>
                <w14:textFill>
                  <w14:solidFill>
                    <w14:schemeClr w14:val="tx1"/>
                  </w14:solidFill>
                </w14:textFill>
              </w:rPr>
            </w:pPr>
          </w:p>
        </w:tc>
        <w:tc>
          <w:tcPr>
            <w:tcW w:w="1645" w:type="dxa"/>
            <w:noWrap/>
          </w:tcPr>
          <w:p>
            <w:pPr>
              <w:pStyle w:val="729"/>
              <w:spacing w:before="129"/>
              <w:ind w:left="107"/>
              <w:rPr>
                <w:rFonts w:ascii="仿宋" w:hAnsi="仿宋" w:eastAsia="仿宋" w:cs="仿宋"/>
                <w:bCs/>
                <w:color w:val="000000" w:themeColor="text1"/>
                <w:sz w:val="24"/>
                <w:szCs w:val="24"/>
                <w14:textFill>
                  <w14:solidFill>
                    <w14:schemeClr w14:val="tx1"/>
                  </w14:solidFill>
                </w14:textFill>
              </w:rPr>
            </w:pPr>
          </w:p>
        </w:tc>
        <w:tc>
          <w:tcPr>
            <w:tcW w:w="1374" w:type="dxa"/>
            <w:noWrap/>
          </w:tcPr>
          <w:p>
            <w:pPr>
              <w:pStyle w:val="729"/>
              <w:spacing w:before="129"/>
              <w:ind w:left="108"/>
              <w:rPr>
                <w:rFonts w:ascii="仿宋" w:hAnsi="仿宋" w:eastAsia="仿宋" w:cs="仿宋"/>
                <w:bCs/>
                <w:color w:val="000000" w:themeColor="text1"/>
                <w:sz w:val="24"/>
                <w:szCs w:val="24"/>
                <w14:textFill>
                  <w14:solidFill>
                    <w14:schemeClr w14:val="tx1"/>
                  </w14:solidFill>
                </w14:textFill>
              </w:rPr>
            </w:pPr>
          </w:p>
        </w:tc>
        <w:tc>
          <w:tcPr>
            <w:tcW w:w="890" w:type="dxa"/>
            <w:noWrap/>
          </w:tcPr>
          <w:p>
            <w:pPr>
              <w:pStyle w:val="729"/>
              <w:spacing w:before="103"/>
              <w:ind w:left="203"/>
              <w:rPr>
                <w:rFonts w:ascii="仿宋" w:hAnsi="仿宋" w:eastAsia="仿宋" w:cs="仿宋"/>
                <w:bCs/>
                <w:color w:val="000000" w:themeColor="text1"/>
                <w:sz w:val="24"/>
                <w:szCs w:val="24"/>
                <w14:textFill>
                  <w14:solidFill>
                    <w14:schemeClr w14:val="tx1"/>
                  </w14:solidFill>
                </w14:textFill>
              </w:rPr>
            </w:pPr>
          </w:p>
        </w:tc>
        <w:tc>
          <w:tcPr>
            <w:tcW w:w="1070" w:type="dxa"/>
            <w:noWrap/>
          </w:tcPr>
          <w:p>
            <w:pPr>
              <w:pStyle w:val="729"/>
              <w:spacing w:before="129"/>
              <w:ind w:left="107"/>
              <w:rPr>
                <w:rFonts w:ascii="仿宋" w:hAnsi="仿宋" w:eastAsia="仿宋" w:cs="仿宋"/>
                <w:bCs/>
                <w:color w:val="000000" w:themeColor="text1"/>
                <w:sz w:val="24"/>
                <w:szCs w:val="24"/>
                <w14:textFill>
                  <w14:solidFill>
                    <w14:schemeClr w14:val="tx1"/>
                  </w14:solidFill>
                </w14:textFill>
              </w:rPr>
            </w:pPr>
          </w:p>
        </w:tc>
        <w:tc>
          <w:tcPr>
            <w:tcW w:w="1120" w:type="dxa"/>
            <w:noWrap/>
          </w:tcPr>
          <w:p>
            <w:pPr>
              <w:pStyle w:val="729"/>
              <w:spacing w:before="129"/>
              <w:ind w:left="106"/>
              <w:rPr>
                <w:rFonts w:ascii="仿宋" w:hAnsi="仿宋" w:eastAsia="仿宋" w:cs="仿宋"/>
                <w:bCs/>
                <w:color w:val="000000" w:themeColor="text1"/>
                <w:sz w:val="24"/>
                <w:szCs w:val="24"/>
                <w14:textFill>
                  <w14:solidFill>
                    <w14:schemeClr w14:val="tx1"/>
                  </w14:solidFill>
                </w14:textFill>
              </w:rPr>
            </w:pPr>
          </w:p>
        </w:tc>
        <w:tc>
          <w:tcPr>
            <w:tcW w:w="1451" w:type="dxa"/>
            <w:noWrap/>
          </w:tcPr>
          <w:p>
            <w:pPr>
              <w:pStyle w:val="729"/>
              <w:spacing w:before="129"/>
              <w:ind w:left="108"/>
              <w:rPr>
                <w:rFonts w:ascii="仿宋" w:hAnsi="仿宋" w:eastAsia="仿宋" w:cs="仿宋"/>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noWrap/>
          </w:tcPr>
          <w:p>
            <w:pPr>
              <w:pStyle w:val="729"/>
              <w:spacing w:before="131"/>
              <w:ind w:left="106"/>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1751" w:type="dxa"/>
            <w:noWrap/>
          </w:tcPr>
          <w:p>
            <w:pPr>
              <w:pStyle w:val="729"/>
              <w:spacing w:before="131"/>
              <w:ind w:left="108"/>
              <w:rPr>
                <w:rFonts w:ascii="仿宋" w:hAnsi="仿宋" w:eastAsia="仿宋" w:cs="仿宋"/>
                <w:bCs/>
                <w:color w:val="000000" w:themeColor="text1"/>
                <w:sz w:val="24"/>
                <w:szCs w:val="24"/>
                <w14:textFill>
                  <w14:solidFill>
                    <w14:schemeClr w14:val="tx1"/>
                  </w14:solidFill>
                </w14:textFill>
              </w:rPr>
            </w:pPr>
          </w:p>
        </w:tc>
        <w:tc>
          <w:tcPr>
            <w:tcW w:w="1645" w:type="dxa"/>
            <w:noWrap/>
          </w:tcPr>
          <w:p>
            <w:pPr>
              <w:pStyle w:val="729"/>
              <w:spacing w:before="80"/>
              <w:ind w:left="107"/>
              <w:rPr>
                <w:rFonts w:ascii="仿宋" w:hAnsi="仿宋" w:eastAsia="仿宋" w:cs="仿宋"/>
                <w:bCs/>
                <w:color w:val="000000" w:themeColor="text1"/>
                <w:sz w:val="24"/>
                <w:szCs w:val="24"/>
                <w14:textFill>
                  <w14:solidFill>
                    <w14:schemeClr w14:val="tx1"/>
                  </w14:solidFill>
                </w14:textFill>
              </w:rPr>
            </w:pPr>
          </w:p>
        </w:tc>
        <w:tc>
          <w:tcPr>
            <w:tcW w:w="1374" w:type="dxa"/>
            <w:noWrap/>
          </w:tcPr>
          <w:p>
            <w:pPr>
              <w:pStyle w:val="729"/>
              <w:rPr>
                <w:rFonts w:ascii="仿宋" w:hAnsi="仿宋" w:eastAsia="仿宋" w:cs="仿宋"/>
                <w:bCs/>
                <w:color w:val="000000" w:themeColor="text1"/>
                <w:sz w:val="24"/>
                <w:szCs w:val="24"/>
                <w14:textFill>
                  <w14:solidFill>
                    <w14:schemeClr w14:val="tx1"/>
                  </w14:solidFill>
                </w14:textFill>
              </w:rPr>
            </w:pPr>
          </w:p>
        </w:tc>
        <w:tc>
          <w:tcPr>
            <w:tcW w:w="890" w:type="dxa"/>
            <w:noWrap/>
          </w:tcPr>
          <w:p>
            <w:pPr>
              <w:pStyle w:val="729"/>
              <w:spacing w:before="165"/>
              <w:ind w:left="245"/>
              <w:rPr>
                <w:rFonts w:ascii="仿宋" w:hAnsi="仿宋" w:eastAsia="仿宋" w:cs="仿宋"/>
                <w:bCs/>
                <w:color w:val="000000" w:themeColor="text1"/>
                <w:sz w:val="24"/>
                <w:szCs w:val="24"/>
                <w14:textFill>
                  <w14:solidFill>
                    <w14:schemeClr w14:val="tx1"/>
                  </w14:solidFill>
                </w14:textFill>
              </w:rPr>
            </w:pPr>
          </w:p>
        </w:tc>
        <w:tc>
          <w:tcPr>
            <w:tcW w:w="1070" w:type="dxa"/>
            <w:noWrap/>
          </w:tcPr>
          <w:p>
            <w:pPr>
              <w:pStyle w:val="729"/>
              <w:spacing w:before="80"/>
              <w:ind w:left="107"/>
              <w:rPr>
                <w:rFonts w:ascii="仿宋" w:hAnsi="仿宋" w:eastAsia="仿宋" w:cs="仿宋"/>
                <w:bCs/>
                <w:color w:val="000000" w:themeColor="text1"/>
                <w:sz w:val="24"/>
                <w:szCs w:val="24"/>
                <w14:textFill>
                  <w14:solidFill>
                    <w14:schemeClr w14:val="tx1"/>
                  </w14:solidFill>
                </w14:textFill>
              </w:rPr>
            </w:pPr>
          </w:p>
        </w:tc>
        <w:tc>
          <w:tcPr>
            <w:tcW w:w="1120" w:type="dxa"/>
            <w:noWrap/>
          </w:tcPr>
          <w:p>
            <w:pPr>
              <w:pStyle w:val="729"/>
              <w:spacing w:before="80"/>
              <w:ind w:left="106"/>
              <w:rPr>
                <w:rFonts w:ascii="仿宋" w:hAnsi="仿宋" w:eastAsia="仿宋" w:cs="仿宋"/>
                <w:bCs/>
                <w:color w:val="000000" w:themeColor="text1"/>
                <w:sz w:val="24"/>
                <w:szCs w:val="24"/>
                <w14:textFill>
                  <w14:solidFill>
                    <w14:schemeClr w14:val="tx1"/>
                  </w14:solidFill>
                </w14:textFill>
              </w:rPr>
            </w:pPr>
          </w:p>
        </w:tc>
        <w:tc>
          <w:tcPr>
            <w:tcW w:w="1451" w:type="dxa"/>
            <w:noWrap/>
          </w:tcPr>
          <w:p>
            <w:pPr>
              <w:pStyle w:val="729"/>
              <w:spacing w:before="131"/>
              <w:ind w:left="108"/>
              <w:rPr>
                <w:rFonts w:ascii="仿宋" w:hAnsi="仿宋" w:eastAsia="仿宋" w:cs="仿宋"/>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noWrap/>
          </w:tcPr>
          <w:p>
            <w:pPr>
              <w:pStyle w:val="729"/>
              <w:spacing w:before="131"/>
              <w:ind w:left="106"/>
              <w:jc w:val="center"/>
              <w:rPr>
                <w:rFonts w:ascii="仿宋" w:hAnsi="仿宋" w:eastAsia="仿宋" w:cs="仿宋"/>
                <w:bCs/>
                <w:color w:val="000000" w:themeColor="text1"/>
                <w:sz w:val="24"/>
                <w:szCs w:val="24"/>
                <w14:textFill>
                  <w14:solidFill>
                    <w14:schemeClr w14:val="tx1"/>
                  </w14:solidFill>
                </w14:textFill>
              </w:rPr>
            </w:pPr>
          </w:p>
        </w:tc>
        <w:tc>
          <w:tcPr>
            <w:tcW w:w="1751" w:type="dxa"/>
            <w:noWrap/>
          </w:tcPr>
          <w:p>
            <w:pPr>
              <w:pStyle w:val="729"/>
              <w:spacing w:before="131"/>
              <w:ind w:left="108"/>
              <w:rPr>
                <w:rFonts w:ascii="仿宋" w:hAnsi="仿宋" w:eastAsia="仿宋" w:cs="仿宋"/>
                <w:bCs/>
                <w:color w:val="000000" w:themeColor="text1"/>
                <w:sz w:val="24"/>
                <w:szCs w:val="24"/>
                <w14:textFill>
                  <w14:solidFill>
                    <w14:schemeClr w14:val="tx1"/>
                  </w14:solidFill>
                </w14:textFill>
              </w:rPr>
            </w:pPr>
          </w:p>
        </w:tc>
        <w:tc>
          <w:tcPr>
            <w:tcW w:w="1645" w:type="dxa"/>
            <w:noWrap/>
          </w:tcPr>
          <w:p>
            <w:pPr>
              <w:pStyle w:val="729"/>
              <w:spacing w:before="80"/>
              <w:ind w:left="107"/>
              <w:rPr>
                <w:rFonts w:ascii="仿宋" w:hAnsi="仿宋" w:eastAsia="仿宋" w:cs="仿宋"/>
                <w:bCs/>
                <w:color w:val="000000" w:themeColor="text1"/>
                <w:sz w:val="24"/>
                <w:szCs w:val="24"/>
                <w14:textFill>
                  <w14:solidFill>
                    <w14:schemeClr w14:val="tx1"/>
                  </w14:solidFill>
                </w14:textFill>
              </w:rPr>
            </w:pPr>
          </w:p>
        </w:tc>
        <w:tc>
          <w:tcPr>
            <w:tcW w:w="1374" w:type="dxa"/>
            <w:noWrap/>
          </w:tcPr>
          <w:p>
            <w:pPr>
              <w:pStyle w:val="729"/>
              <w:rPr>
                <w:rFonts w:ascii="仿宋" w:hAnsi="仿宋" w:eastAsia="仿宋" w:cs="仿宋"/>
                <w:bCs/>
                <w:color w:val="000000" w:themeColor="text1"/>
                <w:sz w:val="24"/>
                <w:szCs w:val="24"/>
                <w14:textFill>
                  <w14:solidFill>
                    <w14:schemeClr w14:val="tx1"/>
                  </w14:solidFill>
                </w14:textFill>
              </w:rPr>
            </w:pPr>
          </w:p>
        </w:tc>
        <w:tc>
          <w:tcPr>
            <w:tcW w:w="890" w:type="dxa"/>
            <w:noWrap/>
          </w:tcPr>
          <w:p>
            <w:pPr>
              <w:pStyle w:val="729"/>
              <w:spacing w:before="165"/>
              <w:ind w:left="245"/>
              <w:rPr>
                <w:rFonts w:ascii="仿宋" w:hAnsi="仿宋" w:eastAsia="仿宋" w:cs="仿宋"/>
                <w:bCs/>
                <w:color w:val="000000" w:themeColor="text1"/>
                <w:sz w:val="24"/>
                <w:szCs w:val="24"/>
                <w14:textFill>
                  <w14:solidFill>
                    <w14:schemeClr w14:val="tx1"/>
                  </w14:solidFill>
                </w14:textFill>
              </w:rPr>
            </w:pPr>
          </w:p>
        </w:tc>
        <w:tc>
          <w:tcPr>
            <w:tcW w:w="1070" w:type="dxa"/>
            <w:noWrap/>
          </w:tcPr>
          <w:p>
            <w:pPr>
              <w:pStyle w:val="729"/>
              <w:spacing w:before="80"/>
              <w:ind w:left="107"/>
              <w:rPr>
                <w:rFonts w:ascii="仿宋" w:hAnsi="仿宋" w:eastAsia="仿宋" w:cs="仿宋"/>
                <w:bCs/>
                <w:color w:val="000000" w:themeColor="text1"/>
                <w:sz w:val="24"/>
                <w:szCs w:val="24"/>
                <w14:textFill>
                  <w14:solidFill>
                    <w14:schemeClr w14:val="tx1"/>
                  </w14:solidFill>
                </w14:textFill>
              </w:rPr>
            </w:pPr>
          </w:p>
        </w:tc>
        <w:tc>
          <w:tcPr>
            <w:tcW w:w="1120" w:type="dxa"/>
            <w:noWrap/>
          </w:tcPr>
          <w:p>
            <w:pPr>
              <w:pStyle w:val="729"/>
              <w:spacing w:before="80"/>
              <w:ind w:left="106"/>
              <w:rPr>
                <w:rFonts w:ascii="仿宋" w:hAnsi="仿宋" w:eastAsia="仿宋" w:cs="仿宋"/>
                <w:bCs/>
                <w:color w:val="000000" w:themeColor="text1"/>
                <w:sz w:val="24"/>
                <w:szCs w:val="24"/>
                <w14:textFill>
                  <w14:solidFill>
                    <w14:schemeClr w14:val="tx1"/>
                  </w14:solidFill>
                </w14:textFill>
              </w:rPr>
            </w:pPr>
          </w:p>
        </w:tc>
        <w:tc>
          <w:tcPr>
            <w:tcW w:w="1451" w:type="dxa"/>
            <w:noWrap/>
          </w:tcPr>
          <w:p>
            <w:pPr>
              <w:pStyle w:val="729"/>
              <w:spacing w:before="131"/>
              <w:ind w:left="108"/>
              <w:rPr>
                <w:rFonts w:ascii="仿宋" w:hAnsi="仿宋" w:eastAsia="仿宋" w:cs="仿宋"/>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noWrap/>
          </w:tcPr>
          <w:p>
            <w:pPr>
              <w:pStyle w:val="729"/>
              <w:rPr>
                <w:rFonts w:ascii="仿宋" w:hAnsi="仿宋" w:eastAsia="仿宋" w:cs="仿宋"/>
                <w:bCs/>
                <w:color w:val="000000" w:themeColor="text1"/>
                <w:sz w:val="24"/>
                <w:szCs w:val="24"/>
                <w14:textFill>
                  <w14:solidFill>
                    <w14:schemeClr w14:val="tx1"/>
                  </w14:solidFill>
                </w14:textFill>
              </w:rPr>
            </w:pPr>
          </w:p>
        </w:tc>
        <w:tc>
          <w:tcPr>
            <w:tcW w:w="7850" w:type="dxa"/>
            <w:gridSpan w:val="6"/>
            <w:noWrap/>
            <w:vAlign w:val="center"/>
          </w:tcPr>
          <w:p>
            <w:pPr>
              <w:pStyle w:val="729"/>
              <w:jc w:val="righ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14:textFill>
                  <w14:solidFill>
                    <w14:schemeClr w14:val="tx1"/>
                  </w14:solidFill>
                </w14:textFill>
              </w:rPr>
              <w:t>合计金额</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14:textFill>
                  <w14:solidFill>
                    <w14:schemeClr w14:val="tx1"/>
                  </w14:solidFill>
                </w14:textFill>
              </w:rPr>
              <w:t>元</w:t>
            </w:r>
            <w:r>
              <w:rPr>
                <w:rFonts w:hint="eastAsia" w:ascii="仿宋" w:hAnsi="仿宋" w:eastAsia="仿宋" w:cs="仿宋"/>
                <w:bCs/>
                <w:color w:val="000000" w:themeColor="text1"/>
                <w:sz w:val="24"/>
                <w:szCs w:val="24"/>
                <w14:textFill>
                  <w14:solidFill>
                    <w14:schemeClr w14:val="tx1"/>
                  </w14:solidFill>
                </w14:textFill>
              </w:rPr>
              <w:t>）（即合同价格）：</w:t>
            </w:r>
          </w:p>
        </w:tc>
        <w:tc>
          <w:tcPr>
            <w:tcW w:w="1451" w:type="dxa"/>
            <w:noWrap/>
          </w:tcPr>
          <w:p>
            <w:pPr>
              <w:pStyle w:val="729"/>
              <w:spacing w:before="129"/>
              <w:ind w:left="108"/>
              <w:rPr>
                <w:rFonts w:ascii="仿宋" w:hAnsi="仿宋" w:eastAsia="仿宋" w:cs="仿宋"/>
                <w:bCs/>
                <w:color w:val="000000" w:themeColor="text1"/>
                <w:sz w:val="24"/>
                <w:szCs w:val="24"/>
                <w14:textFill>
                  <w14:solidFill>
                    <w14:schemeClr w14:val="tx1"/>
                  </w14:solidFill>
                </w14:textFill>
              </w:rPr>
            </w:pPr>
          </w:p>
        </w:tc>
      </w:tr>
    </w:tbl>
    <w:p>
      <w:pPr>
        <w:pStyle w:val="46"/>
        <w:rPr>
          <w:color w:val="000000" w:themeColor="text1"/>
          <w14:textFill>
            <w14:solidFill>
              <w14:schemeClr w14:val="tx1"/>
            </w14:solidFill>
          </w14:textFill>
        </w:rPr>
      </w:pP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二、合同价格：</w:t>
      </w:r>
      <w:r>
        <w:rPr>
          <w:rFonts w:hint="eastAsia" w:ascii="仿宋" w:hAnsi="仿宋" w:eastAsia="仿宋" w:cs="仿宋"/>
          <w:bCs/>
          <w:color w:val="000000" w:themeColor="text1"/>
          <w:sz w:val="24"/>
          <w:u w:val="single"/>
          <w14:textFill>
            <w14:solidFill>
              <w14:schemeClr w14:val="tx1"/>
            </w14:solidFill>
          </w14:textFill>
        </w:rPr>
        <w:t>￥  元;人民币:     元整。</w:t>
      </w:r>
      <w:r>
        <w:rPr>
          <w:rFonts w:hint="eastAsia" w:ascii="仿宋" w:hAnsi="仿宋" w:eastAsia="仿宋" w:cs="仿宋"/>
          <w:bCs/>
          <w:color w:val="000000" w:themeColor="text1"/>
          <w:sz w:val="24"/>
          <w14:textFill>
            <w14:solidFill>
              <w14:schemeClr w14:val="tx1"/>
            </w14:solidFill>
          </w14:textFill>
        </w:rPr>
        <w:t>本合同价格包括设备价、包装费、税费、安装调试费、运杂费、保险费、第三方检测费、知识产权及技术服务费等所有交付至甲方指定地点的一切费用。</w:t>
      </w: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三、合同履行期限：自签订合同起至质保服务期结束为止。</w:t>
      </w: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四、交货期：合同签订生效后</w:t>
      </w:r>
      <w:r>
        <w:rPr>
          <w:rFonts w:hint="eastAsia" w:ascii="仿宋" w:hAnsi="仿宋" w:eastAsia="仿宋" w:cs="仿宋"/>
          <w:bCs/>
          <w:color w:val="000000" w:themeColor="text1"/>
          <w:sz w:val="24"/>
          <w:u w:val="single"/>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个日历日内全部货到买方指定地点并安装调试完毕。如乙方未能按时履行到货时间要求，则每超出一天（日历日），甲方有权扣除合同价格的</w:t>
      </w:r>
      <w:r>
        <w:rPr>
          <w:rFonts w:hint="eastAsia" w:ascii="仿宋" w:hAnsi="仿宋" w:eastAsia="仿宋" w:cs="仿宋"/>
          <w:bCs/>
          <w:color w:val="000000" w:themeColor="text1"/>
          <w:sz w:val="24"/>
          <w:u w:val="single"/>
          <w14:textFill>
            <w14:solidFill>
              <w14:schemeClr w14:val="tx1"/>
            </w14:solidFill>
          </w14:textFill>
        </w:rPr>
        <w:t xml:space="preserve"> 5% </w:t>
      </w:r>
      <w:r>
        <w:rPr>
          <w:rFonts w:hint="eastAsia" w:ascii="仿宋" w:hAnsi="仿宋" w:eastAsia="仿宋" w:cs="仿宋"/>
          <w:bCs/>
          <w:color w:val="000000" w:themeColor="text1"/>
          <w:sz w:val="24"/>
          <w14:textFill>
            <w14:solidFill>
              <w14:schemeClr w14:val="tx1"/>
            </w14:solidFill>
          </w14:textFill>
        </w:rPr>
        <w:t>作为违约金；如超出时间达到</w:t>
      </w:r>
      <w:r>
        <w:rPr>
          <w:rFonts w:hint="eastAsia" w:ascii="仿宋" w:hAnsi="仿宋" w:eastAsia="仿宋" w:cs="仿宋"/>
          <w:bCs/>
          <w:color w:val="000000" w:themeColor="text1"/>
          <w:sz w:val="24"/>
          <w:u w:val="single"/>
          <w14:textFill>
            <w14:solidFill>
              <w14:schemeClr w14:val="tx1"/>
            </w14:solidFill>
          </w14:textFill>
        </w:rPr>
        <w:t xml:space="preserve"> 5 </w:t>
      </w:r>
      <w:r>
        <w:rPr>
          <w:rFonts w:hint="eastAsia" w:ascii="仿宋" w:hAnsi="仿宋" w:eastAsia="仿宋" w:cs="仿宋"/>
          <w:bCs/>
          <w:color w:val="000000" w:themeColor="text1"/>
          <w:sz w:val="24"/>
          <w14:textFill>
            <w14:solidFill>
              <w14:schemeClr w14:val="tx1"/>
            </w14:solidFill>
          </w14:textFill>
        </w:rPr>
        <w:t>天（日历日），甲方有权解除合同，并由乙方承担违约责任。</w:t>
      </w:r>
    </w:p>
    <w:p>
      <w:pPr>
        <w:spacing w:line="44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五、交货地点：吉木萨尔县人民医院（具体为院内买方指定地点）</w:t>
      </w:r>
    </w:p>
    <w:p>
      <w:pPr>
        <w:spacing w:line="420" w:lineRule="exact"/>
        <w:ind w:firstLine="488" w:firstLineChars="200"/>
        <w:rPr>
          <w:rFonts w:ascii="仿宋" w:hAnsi="仿宋" w:eastAsia="仿宋" w:cs="仿宋"/>
          <w:bCs/>
          <w:color w:val="000000" w:themeColor="text1"/>
          <w:spacing w:val="2"/>
          <w:sz w:val="24"/>
          <w14:textFill>
            <w14:solidFill>
              <w14:schemeClr w14:val="tx1"/>
            </w14:solidFill>
          </w14:textFill>
        </w:rPr>
      </w:pPr>
      <w:r>
        <w:rPr>
          <w:rFonts w:hint="eastAsia" w:ascii="仿宋" w:hAnsi="仿宋" w:eastAsia="仿宋" w:cs="仿宋"/>
          <w:bCs/>
          <w:color w:val="000000" w:themeColor="text1"/>
          <w:spacing w:val="2"/>
          <w:sz w:val="24"/>
          <w14:textFill>
            <w14:solidFill>
              <w14:schemeClr w14:val="tx1"/>
            </w14:solidFill>
          </w14:textFill>
        </w:rPr>
        <w:t>六、付款方式：</w:t>
      </w:r>
    </w:p>
    <w:p>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1、甲、乙双方通过银行结算，不得以现金方式结算。</w:t>
      </w:r>
    </w:p>
    <w:p>
      <w:pPr>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2、乙方凭采购合同、乙方销售发票、甲方出具的验收报告与甲方进行结算。</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付款方式：</w:t>
      </w:r>
      <w:r>
        <w:rPr>
          <w:rFonts w:hint="eastAsia" w:ascii="仿宋" w:hAnsi="仿宋" w:eastAsia="仿宋" w:cs="仿宋"/>
          <w:color w:val="000000" w:themeColor="text1"/>
          <w:sz w:val="24"/>
          <w14:textFill>
            <w14:solidFill>
              <w14:schemeClr w14:val="tx1"/>
            </w14:solidFill>
          </w14:textFill>
        </w:rPr>
        <w:t>（分期付款）合同签订生效后全部货到甲方指定地点，最终验收合格后支付合同总价的70%,正常使用1年后支付剩余30%（无息）</w:t>
      </w:r>
    </w:p>
    <w:p>
      <w:pPr>
        <w:pStyle w:val="713"/>
        <w:tabs>
          <w:tab w:val="left" w:pos="955"/>
        </w:tabs>
        <w:spacing w:line="440" w:lineRule="exact"/>
        <w:ind w:firstLine="480" w:firstLineChars="200"/>
        <w:rPr>
          <w:rFonts w:ascii="宋体" w:hAnsi="宋体" w:cs="宋体"/>
          <w:color w:val="000000" w:themeColor="text1"/>
          <w:spacing w:val="2"/>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七、售后服务响应：2小时电话响应，4小时到达现场，24小时内解决故障，如乙方未能按时履行，甲方则按每延误一次扣除合同价格的</w:t>
      </w:r>
      <w:r>
        <w:rPr>
          <w:rFonts w:hint="eastAsia" w:ascii="仿宋" w:hAnsi="仿宋" w:eastAsia="仿宋" w:cs="仿宋"/>
          <w:bCs/>
          <w:color w:val="000000" w:themeColor="text1"/>
          <w:sz w:val="24"/>
          <w14:textFill>
            <w14:solidFill>
              <w14:schemeClr w14:val="tx1"/>
            </w14:solidFill>
          </w14:textFill>
        </w:rPr>
        <w:t>的</w:t>
      </w:r>
      <w:r>
        <w:rPr>
          <w:rFonts w:hint="eastAsia" w:ascii="仿宋" w:hAnsi="仿宋" w:eastAsia="仿宋" w:cs="仿宋"/>
          <w:bCs/>
          <w:color w:val="000000" w:themeColor="text1"/>
          <w:sz w:val="24"/>
          <w:u w:val="single"/>
          <w14:textFill>
            <w14:solidFill>
              <w14:schemeClr w14:val="tx1"/>
            </w14:solidFill>
          </w14:textFill>
        </w:rPr>
        <w:t xml:space="preserve"> 1% </w:t>
      </w:r>
      <w:r>
        <w:rPr>
          <w:rFonts w:hint="eastAsia" w:ascii="仿宋" w:hAnsi="仿宋" w:eastAsia="仿宋" w:cs="仿宋"/>
          <w:bCs/>
          <w:color w:val="000000" w:themeColor="text1"/>
          <w:sz w:val="24"/>
          <w14:textFill>
            <w14:solidFill>
              <w14:schemeClr w14:val="tx1"/>
            </w14:solidFill>
          </w14:textFill>
        </w:rPr>
        <w:t>作为违约金。</w:t>
      </w:r>
    </w:p>
    <w:p>
      <w:pPr>
        <w:pStyle w:val="713"/>
        <w:tabs>
          <w:tab w:val="left" w:pos="955"/>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八、质保期：</w:t>
      </w:r>
      <w:r>
        <w:rPr>
          <w:rFonts w:hint="eastAsia" w:ascii="仿宋" w:hAnsi="仿宋" w:eastAsia="仿宋"/>
          <w:color w:val="000000" w:themeColor="text1"/>
          <w:sz w:val="24"/>
          <w:u w:val="single"/>
          <w14:textFill>
            <w14:solidFill>
              <w14:schemeClr w14:val="tx1"/>
            </w14:solidFill>
          </w14:textFill>
        </w:rPr>
        <w:t xml:space="preserve">    年（自终验合格开始计算）</w:t>
      </w:r>
      <w:r>
        <w:rPr>
          <w:rFonts w:hint="eastAsia" w:ascii="仿宋" w:hAnsi="仿宋" w:eastAsia="仿宋"/>
          <w:color w:val="000000" w:themeColor="text1"/>
          <w:sz w:val="24"/>
          <w14:textFill>
            <w14:solidFill>
              <w14:schemeClr w14:val="tx1"/>
            </w14:solidFill>
          </w14:textFill>
        </w:rPr>
        <w:t>。质保期内产品因自身质量原因造成的问题由乙方按甲方要求免费调换（如出现严重质量问题，视为乙方违约），如果由于甲方使用不当造成的原因，乙方协助甲方解决。质保期内，设备在非人为因素造成的故障由乙方无偿提供人工维修及配件的供给。</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九、设备的包装</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在本次采购项目中乙方提供产品涉及商品包装和快递包装的须满足《财政部等三部门联合印发商品包装和快递包装政府采购需求标准》（试行）(财办库〔2020〕123号文)。乙方交付的所有合同货物应具有适于运输的坚固包装，并且乙方应根据合同货物的不同特性和要求采取防潮、防雨、防锈、防震、防腐等保护措施，以确保合同货物安全无损地送达甲方指定的交货地点。</w:t>
      </w:r>
    </w:p>
    <w:p>
      <w:pPr>
        <w:pStyle w:val="713"/>
        <w:tabs>
          <w:tab w:val="left" w:pos="955"/>
        </w:tabs>
        <w:spacing w:line="440" w:lineRule="exact"/>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2、凡由于乙方对合同货物包装不善、标记不明、防护措施不当或在合同货物装箱前保管不良，致使合同货物遭到损坏或丢失，乙方应负责免费修理或更换，并承担由此产生的一切费用和给甲方造成的一切损失。</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十、设备的安装、质量标准、初验、相关培训及其他</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乙方应承诺提供给甲方的合同货物是货物制造商原厂生产的，全新、未使用过的，通过货物制造厂商的出厂检验合格的，符合中华人民共和国相关标准及相应的技术规范（详细明确质量遵循标准，并详细注明文件号及文件名称），完全符合本项目招标文件规定的质量、性能和规格的要求，并承诺严格按照乙方《投标文件》所附《开标一览表》及《技术服务条款偏离表》响应内容如实提供货物，同时提供质量合格证书、使用说明书等书面文件。如乙方所供货物不满足此项要求或出现虚假应标（包括提供虚假资料），则属乙方根本违约，根据本文件合同条款第十六条第1.1项，甲方有权解除合同。</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2、乙方保证提供的货物、服务符合中华人民共和国国家及行业的安全质量标准、环保标准。</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3、乙方应保证所提供的货物经正确安装、合理操作和维护保养在其使用寿命期内具有令甲方满意的性能，并对由于合同货物的设计、工艺或材料的缺陷而发生的任何故障负责。</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书面验收单，以此作为乙方履约进度的依据。</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5、甲方对合同货物的数量、规格和质量的检验，应依据本项目招标文件及中标人《投标文件》中的有关规定进行。</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6、若检验时发现货物数量不足、规格与合同要求不符或开箱时虽然货物外包装完好无损，但箱内货物短缺或损伤，双方应签署书面形式证明，乙方应根据该证明及时免费补足或更换。</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8、培训：乙方应满足甲方要求提供必要的指导培训，并执行投标文件承诺的培训方案。</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十一、验收标准</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负责全部货品供应至甲方指定地点，甲乙双方按照国家、行业及地方的相关标准、根据招标文件中每项技术、服务、安全标准的情况及投标文件的响应情况进行共同验收，验收合格后进入质保期（如需要技术监督局进行检测，相关检测费用由乙方承担）。</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十二、乙方的违约责任：</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1、乙方不能交货的，甲方不向乙方付款。乙方应向甲方偿付总货款的</w:t>
      </w:r>
      <w:r>
        <w:rPr>
          <w:rFonts w:hint="eastAsia" w:ascii="仿宋" w:hAnsi="仿宋" w:eastAsia="仿宋"/>
          <w:color w:val="000000" w:themeColor="text1"/>
          <w:sz w:val="24"/>
          <w:u w:val="single"/>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的违约金。</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2、乙方所交设备品种、数量、规格、质量，不符合国家法律、法规规定及甲方要求的，由乙方负责退换、补足、维修，产生的全部费用由乙方自行承担，同时乙方向甲方支付合同价格</w:t>
      </w:r>
      <w:r>
        <w:rPr>
          <w:rFonts w:hint="eastAsia" w:ascii="仿宋" w:hAnsi="仿宋" w:eastAsia="仿宋"/>
          <w:color w:val="000000" w:themeColor="text1"/>
          <w:sz w:val="24"/>
          <w:u w:val="single"/>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的违约金；并且甲方有权解除合同。</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3、乙方逾期交货的，按成套设备货款计算，向甲方支付每日</w:t>
      </w:r>
      <w:r>
        <w:rPr>
          <w:rFonts w:hint="eastAsia" w:ascii="仿宋" w:hAnsi="仿宋" w:eastAsia="仿宋" w:cs="仿宋"/>
          <w:bCs/>
          <w:color w:val="000000" w:themeColor="text1"/>
          <w:sz w:val="24"/>
          <w:u w:val="single"/>
          <w14:textFill>
            <w14:solidFill>
              <w14:schemeClr w14:val="tx1"/>
            </w14:solidFill>
          </w14:textFill>
        </w:rPr>
        <w:t xml:space="preserve"> 5% </w:t>
      </w:r>
      <w:r>
        <w:rPr>
          <w:rFonts w:hint="eastAsia" w:ascii="仿宋" w:hAnsi="仿宋" w:eastAsia="仿宋"/>
          <w:color w:val="000000" w:themeColor="text1"/>
          <w:sz w:val="24"/>
          <w14:textFill>
            <w14:solidFill>
              <w14:schemeClr w14:val="tx1"/>
            </w14:solidFill>
          </w14:textFill>
        </w:rPr>
        <w:t>的违约金，并承担由此给甲方造成的经济损失，逾期超过5日，甲方有权解除合同，并要求乙方支付合同价格</w:t>
      </w:r>
      <w:r>
        <w:rPr>
          <w:rFonts w:hint="eastAsia" w:ascii="仿宋" w:hAnsi="仿宋" w:eastAsia="仿宋"/>
          <w:color w:val="000000" w:themeColor="text1"/>
          <w:sz w:val="24"/>
          <w:u w:val="single"/>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的违约金。</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4、乙方出现三次以上没有按照合同约定的售后服务进行响应及未履行售后维修义务的，乙方应向甲方支付合同价格</w:t>
      </w:r>
      <w:r>
        <w:rPr>
          <w:rFonts w:hint="eastAsia" w:ascii="仿宋" w:hAnsi="仿宋" w:eastAsia="仿宋"/>
          <w:color w:val="000000" w:themeColor="text1"/>
          <w:sz w:val="24"/>
          <w:u w:val="single"/>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的违约金。</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5、本合同约定的其他违约责任。</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十三、甲方的违约责任： </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甲方逾期付款的，每日按当期应付款的</w:t>
      </w:r>
      <w:r>
        <w:rPr>
          <w:rFonts w:hint="eastAsia" w:ascii="仿宋" w:hAnsi="仿宋" w:eastAsia="仿宋"/>
          <w:color w:val="000000" w:themeColor="text1"/>
          <w:sz w:val="24"/>
          <w:u w:val="single"/>
          <w14:textFill>
            <w14:solidFill>
              <w14:schemeClr w14:val="tx1"/>
            </w14:solidFill>
          </w14:textFill>
        </w:rPr>
        <w:t>千分之五</w:t>
      </w:r>
      <w:r>
        <w:rPr>
          <w:rFonts w:hint="eastAsia" w:ascii="仿宋" w:hAnsi="仿宋" w:eastAsia="仿宋"/>
          <w:color w:val="000000" w:themeColor="text1"/>
          <w:sz w:val="24"/>
          <w14:textFill>
            <w14:solidFill>
              <w14:schemeClr w14:val="tx1"/>
            </w14:solidFill>
          </w14:textFill>
        </w:rPr>
        <w:t xml:space="preserve">向乙方支付逾期付款违约金。 </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十四、争议的解决</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执行本合同发生纠纷，当事人双方应当及时协商解决，协商不成时，任何一方均可向合同签订地人民法院提起诉讼。本合同签订地为吉木萨尔县。</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十五、监督和管理</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甲乙双方均应自觉配合有关监督管理部门对合同履行情况的监督检查，如实反映情况，提供有关资料。</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十六、 附则</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1、本合同一式四份，甲方三份、乙方一份，具有同等法律效力。</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2、本合同自双方法定代表人或委托代理人签字并加盖公章之日生效。</w:t>
      </w:r>
    </w:p>
    <w:p>
      <w:pPr>
        <w:spacing w:line="42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3、本合同附件是本合同不可分割部分，具有同等法律效力。</w:t>
      </w:r>
    </w:p>
    <w:p>
      <w:pPr>
        <w:spacing w:line="420" w:lineRule="exact"/>
        <w:rPr>
          <w:rFonts w:ascii="仿宋" w:hAnsi="仿宋" w:eastAsia="仿宋"/>
          <w:color w:val="000000" w:themeColor="text1"/>
          <w:sz w:val="24"/>
          <w14:textFill>
            <w14:solidFill>
              <w14:schemeClr w14:val="tx1"/>
            </w14:solidFill>
          </w14:textFill>
        </w:rPr>
      </w:pP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附设备配置清单</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                                        乙方：</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社会统一信用号：                              社会统一信用号：</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法定代表或授权人：                            法定代表或授权人：</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                                      联系人：</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                                        电话(手机号)：</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单位地址：                                    单位地址：</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开户行：                                      开户行：              </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开户行账号：                                  开户行账号：</w:t>
      </w:r>
    </w:p>
    <w:p>
      <w:pPr>
        <w:pStyle w:val="713"/>
        <w:tabs>
          <w:tab w:val="left" w:pos="955"/>
        </w:tabs>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    年    月   日                   签订日期：    年   月   日</w:t>
      </w:r>
    </w:p>
    <w:p>
      <w:pPr>
        <w:pStyle w:val="331"/>
        <w:spacing w:afterLines="50" w:line="0" w:lineRule="atLeast"/>
        <w:jc w:val="center"/>
        <w:outlineLvl w:val="0"/>
        <w:rPr>
          <w:rFonts w:ascii="仿宋" w:hAnsi="仿宋" w:eastAsia="仿宋" w:cs="仿宋"/>
          <w:b/>
          <w:color w:val="000000" w:themeColor="text1"/>
          <w:sz w:val="32"/>
          <w:szCs w:val="32"/>
          <w14:textFill>
            <w14:solidFill>
              <w14:schemeClr w14:val="tx1"/>
            </w14:solidFill>
          </w14:textFill>
        </w:rPr>
      </w:pPr>
    </w:p>
    <w:p>
      <w:pPr>
        <w:pStyle w:val="331"/>
        <w:spacing w:afterLines="50" w:line="0" w:lineRule="atLeast"/>
        <w:jc w:val="center"/>
        <w:outlineLvl w:val="0"/>
        <w:rPr>
          <w:rFonts w:ascii="仿宋" w:hAnsi="仿宋" w:eastAsia="仿宋" w:cs="仿宋"/>
          <w:b/>
          <w:color w:val="000000" w:themeColor="text1"/>
          <w:sz w:val="32"/>
          <w:szCs w:val="32"/>
          <w14:textFill>
            <w14:solidFill>
              <w14:schemeClr w14:val="tx1"/>
            </w14:solidFill>
          </w14:textFill>
        </w:rPr>
      </w:pPr>
    </w:p>
    <w:p>
      <w:pPr>
        <w:pStyle w:val="331"/>
        <w:spacing w:afterLines="50" w:line="0" w:lineRule="atLeast"/>
        <w:jc w:val="center"/>
        <w:outlineLvl w:val="0"/>
        <w:rPr>
          <w:rFonts w:ascii="仿宋" w:hAnsi="仿宋" w:eastAsia="仿宋" w:cs="仿宋"/>
          <w:b/>
          <w:color w:val="000000" w:themeColor="text1"/>
          <w:sz w:val="32"/>
          <w:szCs w:val="32"/>
          <w14:textFill>
            <w14:solidFill>
              <w14:schemeClr w14:val="tx1"/>
            </w14:solidFill>
          </w14:textFill>
        </w:rPr>
      </w:pPr>
    </w:p>
    <w:p>
      <w:pPr>
        <w:pStyle w:val="331"/>
        <w:spacing w:afterLines="50" w:line="0" w:lineRule="atLeast"/>
        <w:jc w:val="center"/>
        <w:outlineLvl w:val="0"/>
        <w:rPr>
          <w:rFonts w:ascii="仿宋" w:hAnsi="仿宋" w:eastAsia="仿宋" w:cs="仿宋"/>
          <w:b/>
          <w:color w:val="000000" w:themeColor="text1"/>
          <w:sz w:val="32"/>
          <w:szCs w:val="32"/>
          <w14:textFill>
            <w14:solidFill>
              <w14:schemeClr w14:val="tx1"/>
            </w14:solidFill>
          </w14:textFill>
        </w:rPr>
      </w:pPr>
    </w:p>
    <w:p>
      <w:pPr>
        <w:pStyle w:val="331"/>
        <w:spacing w:afterLines="50" w:line="0" w:lineRule="atLeast"/>
        <w:jc w:val="center"/>
        <w:outlineLvl w:val="0"/>
        <w:rPr>
          <w:rFonts w:ascii="仿宋" w:hAnsi="仿宋" w:eastAsia="仿宋" w:cs="仿宋"/>
          <w:b/>
          <w:color w:val="000000" w:themeColor="text1"/>
          <w:sz w:val="32"/>
          <w:szCs w:val="32"/>
          <w14:textFill>
            <w14:solidFill>
              <w14:schemeClr w14:val="tx1"/>
            </w14:solidFill>
          </w14:textFill>
        </w:rPr>
      </w:pPr>
    </w:p>
    <w:p>
      <w:pPr>
        <w:spacing w:line="400" w:lineRule="exact"/>
        <w:rPr>
          <w:rFonts w:ascii="仿宋" w:hAnsi="仿宋" w:eastAsia="仿宋" w:cs="仿宋"/>
          <w:color w:val="000000" w:themeColor="text1"/>
          <w:sz w:val="24"/>
          <w14:textFill>
            <w14:solidFill>
              <w14:schemeClr w14:val="tx1"/>
            </w14:solidFill>
          </w14:textFill>
        </w:rPr>
      </w:pPr>
    </w:p>
    <w:p>
      <w:pPr>
        <w:widowControl/>
        <w:jc w:val="center"/>
        <w:rPr>
          <w:rFonts w:ascii="仿宋" w:hAnsi="仿宋" w:eastAsia="仿宋"/>
          <w:b/>
          <w:color w:val="000000" w:themeColor="text1"/>
          <w:sz w:val="32"/>
          <w:szCs w:val="32"/>
          <w14:textFill>
            <w14:solidFill>
              <w14:schemeClr w14:val="tx1"/>
            </w14:solidFill>
          </w14:textFill>
        </w:rPr>
      </w:pPr>
      <w:bookmarkStart w:id="11" w:name="_Toc139284162"/>
      <w:r>
        <w:rPr>
          <w:rFonts w:ascii="仿宋" w:hAnsi="仿宋" w:eastAsia="仿宋"/>
          <w:b/>
          <w:color w:val="000000" w:themeColor="text1"/>
          <w:sz w:val="24"/>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第四章 采购需求</w:t>
      </w:r>
      <w:bookmarkEnd w:id="10"/>
      <w:bookmarkEnd w:id="11"/>
    </w:p>
    <w:p>
      <w:pPr>
        <w:keepNext/>
        <w:keepLines/>
        <w:spacing w:before="340" w:after="330"/>
        <w:ind w:left="420"/>
        <w:outlineLvl w:val="0"/>
        <w:rPr>
          <w:rFonts w:ascii="仿宋" w:hAnsi="仿宋" w:eastAsia="仿宋"/>
          <w:b/>
          <w:color w:val="000000" w:themeColor="text1"/>
          <w:kern w:val="44"/>
          <w:sz w:val="30"/>
          <w:szCs w:val="30"/>
          <w14:textFill>
            <w14:solidFill>
              <w14:schemeClr w14:val="tx1"/>
            </w14:solidFill>
          </w14:textFill>
        </w:rPr>
      </w:pPr>
      <w:r>
        <w:rPr>
          <w:rFonts w:hint="eastAsia" w:ascii="仿宋" w:hAnsi="仿宋" w:eastAsia="仿宋"/>
          <w:b/>
          <w:color w:val="000000" w:themeColor="text1"/>
          <w:kern w:val="44"/>
          <w:sz w:val="30"/>
          <w:szCs w:val="30"/>
          <w14:textFill>
            <w14:solidFill>
              <w14:schemeClr w14:val="tx1"/>
            </w14:solidFill>
          </w14:textFill>
        </w:rPr>
        <w:t>一、需求一览表</w:t>
      </w:r>
    </w:p>
    <w:tbl>
      <w:tblPr>
        <w:tblStyle w:val="60"/>
        <w:tblW w:w="9003" w:type="dxa"/>
        <w:jc w:val="center"/>
        <w:tblLayout w:type="fixed"/>
        <w:tblCellMar>
          <w:top w:w="0" w:type="dxa"/>
          <w:left w:w="108" w:type="dxa"/>
          <w:bottom w:w="0" w:type="dxa"/>
          <w:right w:w="108" w:type="dxa"/>
        </w:tblCellMar>
      </w:tblPr>
      <w:tblGrid>
        <w:gridCol w:w="867"/>
        <w:gridCol w:w="4152"/>
        <w:gridCol w:w="1236"/>
        <w:gridCol w:w="1322"/>
        <w:gridCol w:w="1426"/>
      </w:tblGrid>
      <w:tr>
        <w:tblPrEx>
          <w:tblCellMar>
            <w:top w:w="0" w:type="dxa"/>
            <w:left w:w="108" w:type="dxa"/>
            <w:bottom w:w="0" w:type="dxa"/>
            <w:right w:w="108" w:type="dxa"/>
          </w:tblCellMar>
        </w:tblPrEx>
        <w:trPr>
          <w:trHeight w:val="639" w:hRule="atLeast"/>
          <w:tblHeader/>
          <w:jc w:val="center"/>
        </w:trPr>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序号</w:t>
            </w:r>
          </w:p>
        </w:tc>
        <w:tc>
          <w:tcPr>
            <w:tcW w:w="4152" w:type="dxa"/>
            <w:tcBorders>
              <w:top w:val="single" w:color="auto" w:sz="4" w:space="0"/>
              <w:left w:val="nil"/>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系统名称</w:t>
            </w:r>
          </w:p>
        </w:tc>
        <w:tc>
          <w:tcPr>
            <w:tcW w:w="1236" w:type="dxa"/>
            <w:tcBorders>
              <w:top w:val="single" w:color="auto" w:sz="4" w:space="0"/>
              <w:left w:val="nil"/>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单位</w:t>
            </w:r>
          </w:p>
        </w:tc>
        <w:tc>
          <w:tcPr>
            <w:tcW w:w="1322" w:type="dxa"/>
            <w:tcBorders>
              <w:top w:val="single" w:color="auto" w:sz="4" w:space="0"/>
              <w:left w:val="nil"/>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数量</w:t>
            </w:r>
          </w:p>
        </w:tc>
        <w:tc>
          <w:tcPr>
            <w:tcW w:w="1426" w:type="dxa"/>
            <w:tcBorders>
              <w:top w:val="single" w:color="auto" w:sz="4" w:space="0"/>
              <w:left w:val="nil"/>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备注</w:t>
            </w:r>
          </w:p>
        </w:tc>
      </w:tr>
      <w:tr>
        <w:tblPrEx>
          <w:tblCellMar>
            <w:top w:w="0" w:type="dxa"/>
            <w:left w:w="108" w:type="dxa"/>
            <w:bottom w:w="0" w:type="dxa"/>
            <w:right w:w="108" w:type="dxa"/>
          </w:tblCellMar>
        </w:tblPrEx>
        <w:trPr>
          <w:trHeight w:val="1055" w:hRule="atLeast"/>
          <w:jc w:val="center"/>
        </w:trPr>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415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医院手术室行为管理系统</w:t>
            </w:r>
          </w:p>
        </w:tc>
        <w:tc>
          <w:tcPr>
            <w:tcW w:w="1236"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1322"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批</w:t>
            </w:r>
          </w:p>
        </w:tc>
        <w:tc>
          <w:tcPr>
            <w:tcW w:w="1426"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1285" w:hRule="atLeast"/>
          <w:jc w:val="center"/>
        </w:trPr>
        <w:tc>
          <w:tcPr>
            <w:tcW w:w="867"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4152"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医院毒麻药品管理系统</w:t>
            </w:r>
          </w:p>
        </w:tc>
        <w:tc>
          <w:tcPr>
            <w:tcW w:w="1236"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1322"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批</w:t>
            </w:r>
          </w:p>
        </w:tc>
        <w:tc>
          <w:tcPr>
            <w:tcW w:w="1426" w:type="dxa"/>
            <w:tcBorders>
              <w:left w:val="single" w:color="auto" w:sz="4" w:space="0"/>
              <w:bottom w:val="single" w:color="auto" w:sz="4" w:space="0"/>
              <w:right w:val="single" w:color="auto" w:sz="4" w:space="0"/>
            </w:tcBorders>
            <w:noWrap/>
            <w:vAlign w:val="center"/>
          </w:tcPr>
          <w:p>
            <w:pPr>
              <w:widowControl/>
              <w:jc w:val="center"/>
              <w:textAlignment w:val="baseline"/>
              <w:rPr>
                <w:rFonts w:ascii="仿宋" w:hAnsi="仿宋" w:eastAsia="仿宋" w:cs="宋体"/>
                <w:color w:val="000000" w:themeColor="text1"/>
                <w:kern w:val="0"/>
                <w:sz w:val="28"/>
                <w:szCs w:val="28"/>
                <w14:textFill>
                  <w14:solidFill>
                    <w14:schemeClr w14:val="tx1"/>
                  </w14:solidFill>
                </w14:textFill>
              </w:rPr>
            </w:pPr>
          </w:p>
        </w:tc>
      </w:tr>
    </w:tbl>
    <w:p>
      <w:pPr>
        <w:pStyle w:val="28"/>
        <w:rPr>
          <w:rFonts w:ascii="仿宋" w:hAnsi="仿宋" w:eastAsia="仿宋"/>
          <w:color w:val="000000" w:themeColor="text1"/>
          <w:szCs w:val="24"/>
          <w14:textFill>
            <w14:solidFill>
              <w14:schemeClr w14:val="tx1"/>
            </w14:solidFill>
          </w14:textFill>
        </w:rPr>
      </w:pPr>
    </w:p>
    <w:p>
      <w:pPr>
        <w:pStyle w:val="28"/>
        <w:ind w:firstLine="240" w:firstLineChars="1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（注：吉木萨尔县人民医院医技楼平面图见招标公告附件）</w:t>
      </w: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pStyle w:val="28"/>
        <w:rPr>
          <w:rFonts w:ascii="仿宋" w:hAnsi="仿宋" w:eastAsia="仿宋"/>
          <w:color w:val="000000" w:themeColor="text1"/>
          <w:szCs w:val="24"/>
          <w14:textFill>
            <w14:solidFill>
              <w14:schemeClr w14:val="tx1"/>
            </w14:solidFill>
          </w14:textFill>
        </w:rPr>
      </w:pPr>
    </w:p>
    <w:p>
      <w:pPr>
        <w:keepNext/>
        <w:keepLines/>
        <w:spacing w:before="340" w:after="330"/>
        <w:ind w:left="420"/>
        <w:outlineLvl w:val="0"/>
        <w:rPr>
          <w:rFonts w:ascii="仿宋" w:hAnsi="仿宋" w:eastAsia="仿宋"/>
          <w:b/>
          <w:color w:val="000000" w:themeColor="text1"/>
          <w:kern w:val="44"/>
          <w:sz w:val="30"/>
          <w:szCs w:val="30"/>
          <w14:textFill>
            <w14:solidFill>
              <w14:schemeClr w14:val="tx1"/>
            </w14:solidFill>
          </w14:textFill>
        </w:rPr>
      </w:pPr>
      <w:r>
        <w:rPr>
          <w:rFonts w:hint="eastAsia" w:ascii="仿宋" w:hAnsi="仿宋" w:eastAsia="仿宋"/>
          <w:b/>
          <w:color w:val="000000" w:themeColor="text1"/>
          <w:kern w:val="44"/>
          <w:sz w:val="30"/>
          <w:szCs w:val="30"/>
          <w14:textFill>
            <w14:solidFill>
              <w14:schemeClr w14:val="tx1"/>
            </w14:solidFill>
          </w14:textFill>
        </w:rPr>
        <w:t>二、需求商务技术要求</w:t>
      </w:r>
    </w:p>
    <w:p>
      <w:pPr>
        <w:pStyle w:val="28"/>
        <w:jc w:val="center"/>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（一）医院手术室行为管理系统</w:t>
      </w:r>
    </w:p>
    <w:p>
      <w:pPr>
        <w:pStyle w:val="28"/>
        <w:jc w:val="center"/>
        <w:rPr>
          <w:rFonts w:ascii="仿宋" w:hAnsi="仿宋" w:eastAsia="仿宋"/>
          <w:color w:val="000000" w:themeColor="text1"/>
          <w:szCs w:val="24"/>
          <w14:textFill>
            <w14:solidFill>
              <w14:schemeClr w14:val="tx1"/>
            </w14:solidFill>
          </w14:textFill>
        </w:rPr>
      </w:pPr>
    </w:p>
    <w:p>
      <w:pPr>
        <w:pStyle w:val="739"/>
        <w:numPr>
          <w:ilvl w:val="0"/>
          <w:numId w:val="16"/>
        </w:numPr>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背景：吉木萨尔县总医院（人民医院）新院区建设手术室即将投入使用，为进一步最大程度确保手术安全、手术室的高效运营，现申请购置手术室手术医疗行为管理一套，实现医护人员手术安全准入管理，手术衣及手术鞋智能发放、回收及追溯，建立手术资源和人员行为的智能化管理体系。</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2.主要指标及参数：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2.1.手术行为智能管理包括：准入管理、出入口管理、手术鞋管理、室外鞋管理、洗手衣管理、外出衣管理、更衣管理、衣鞋回收管理、手术织物管理、手术行为管理驾驶舱等。</w:t>
      </w:r>
      <w:bookmarkStart w:id="12" w:name="_Toc30216"/>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2.2.准入管理</w:t>
      </w:r>
      <w:bookmarkEnd w:id="12"/>
      <w:r>
        <w:rPr>
          <w:rFonts w:hint="eastAsia" w:ascii="仿宋" w:hAnsi="仿宋" w:eastAsia="仿宋"/>
          <w:color w:val="000000" w:themeColor="text1"/>
          <w:sz w:val="24"/>
          <w:szCs w:val="24"/>
          <w14:textFill>
            <w14:solidFill>
              <w14:schemeClr w14:val="tx1"/>
            </w14:solidFill>
          </w14:textFill>
        </w:rPr>
        <w:t>包括采用智能门禁与医疗HIS对接，通过工牌/指纹/人脸识别技术确认人员身份信息，可实现对不同类型人员在手术室医护出入口、患者出入口进行人员的身份识别与核对，实现人员的准入管理，严格杜绝非权限人员进入手术室。手术室智能门禁包括：1.门禁组成含门禁控制器、识别器、电控锁等设备2.识别方式支持工牌、密码、人脸识别等方式3.支持功能消防联动功能4.网络支持出入口管理，整体管理行为采用行为监控仪安装在手术室大门、更衣室出入口、患者出入口，通过感应医护人员洗手衣、手术鞋内置的RFID水洗标签，记录每一位人员的身份与时间信息。</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手术鞋管理：采用手术鞋智能发放站/消毒柜，通过工牌/指纹/人脸识别技术确认医护人员身份信息并判断人员领用权限，自动发放对应手术鞋实现手术鞋智能管理。识别方式支持IC/ID卡、账号密码、指纹、微信扫码、人脸识别。手术鞋消毒柜：消毒模式紫外线灯管+臭氧消毒。</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2.4.室外鞋管理：采用智能更鞋柜，通过工牌/指纹/人脸识别技术确认医护人员身份信息，自动进行更鞋柜的固定柜、流动柜分配，开启对应柜门实现室外鞋智能管理。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2.5.洗手衣管理：采用智能发衣站/柜，通过工牌/指纹/人脸识别技术确认医护人员身份信息并判断领用权限，自动发放对应洗手衣实现洗手衣智能管理。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2.6.外出衣管理：采用外出衣智能存储柜，通过工牌/指纹/人脸识别技术确认医护人员身份信息，自动判断存取权限并开启对应柜门，实现外出衣智能管理。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更衣管理：采用智能更衣柜，通过工牌/指纹/人脸识别技术确认医护人员身份信息，自动进行更衣柜的固定柜、流动柜分配，开启对应柜门实现更衣柜智能管理。智能更衣柜辅柜：柜体款式单层柜、双层柜、三层柜,存衣模式支持固定柜、流动柜两种模式,面容镜单层柜、双层柜内嵌1面不锈钢抛光面容镜,隔板每一个柜门内置1-3片隔板,应急功能支持特殊情况下通过应急装置打开柜门。</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2.8.衣鞋回收管理：采用智能回收柜感应识别待回收的洗手衣或手术鞋，自动开启回收柜门，医护人员只需投入洗手衣或手术鞋，系统即自动确认回收成功，实现洗手衣、手术鞋智能回收管理。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2.9.手术织物管理：通过在手术织物中缝制水洗标签（RFID）并写入数据，结合智能工作台、智能清点柜等设备实现手术织物非接触式快速清点，记录每一次交接数据，实现智能化精细管理。</w:t>
      </w:r>
    </w:p>
    <w:p>
      <w:pPr>
        <w:pStyle w:val="739"/>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2.10.手术行为管理驾驶舱：采用大屏监视器对接入系统的智能化设备工作状态进行实时监控与预警，实现非正常进出行为、收发设备运行状态的动态管理，为管理员提供准确有效的维护信息。</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2.11.所需设备：</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2.11.1.医用织物水洗标签  2000枚；</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2.11.2.手术室医疗智能工作台    1台；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2.11.3.手术室医疗智能发鞋站    1台；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2.11.4.手术室医疗智能发衣站    2台；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2.11.5.手术室医疗智能更鞋主柜（33门）2台；</w:t>
      </w:r>
      <w:r>
        <w:rPr>
          <w:rFonts w:ascii="仿宋" w:hAnsi="仿宋" w:eastAsia="仿宋"/>
          <w:color w:val="000000" w:themeColor="text1"/>
          <w:sz w:val="24"/>
          <w:szCs w:val="24"/>
          <w14:textFill>
            <w14:solidFill>
              <w14:schemeClr w14:val="tx1"/>
            </w14:solidFill>
          </w14:textFill>
        </w:rPr>
        <w:t xml:space="preserve"> </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2.11.6.手术室医疗智能更鞋辅柜（36门）8台（含产房、重症、CCU）；</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2.11.7.手术室医疗智能更衣主柜10 台,手术室医疗智能更衣辅柜单层3门34台(手术室连接HIS)；(产房智能更衣主柜2台，辅柜单层 3 门2台，双层3列柜5台，不连接HIS )；（重症智能更衣主柜2台，辅柜单层 3 门2台，双层3列柜5台不连接HIS)；(CCU智能更衣主柜2台，辅柜单层 3门2台，双层3列柜4台）；</w:t>
      </w:r>
    </w:p>
    <w:p>
      <w:pPr>
        <w:pStyle w:val="739"/>
        <w:spacing w:line="400" w:lineRule="exact"/>
        <w:ind w:firstLine="480" w:firstLineChars="200"/>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2.11.8.</w:t>
      </w:r>
      <w:r>
        <w:rPr>
          <w:rFonts w:hint="eastAsia" w:ascii="仿宋" w:hAnsi="仿宋" w:eastAsia="仿宋"/>
          <w:color w:val="000000" w:themeColor="text1"/>
          <w:sz w:val="24"/>
          <w:szCs w:val="24"/>
          <w:lang w:val="en-US" w:eastAsia="zh-CN"/>
          <w14:textFill>
            <w14:solidFill>
              <w14:schemeClr w14:val="tx1"/>
            </w14:solidFill>
          </w14:textFill>
        </w:rPr>
        <w:t>/</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2.11.9.手术室医疗更衣凳    40个（含产房、重症、CCU）；</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2.11.10.手术室医疗智能手术鞋消毒柜   4台；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2.11.11.手术室医疗智能回收站（手术鞋）1台；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2.11.12.手术室医疗智能回收站（洗手衣）2台；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2.11.13.手术室医疗智能门禁系统 2套（医护人员出入口、患者出入口）；</w:t>
      </w:r>
    </w:p>
    <w:p>
      <w:pPr>
        <w:pStyle w:val="739"/>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2.11.14.手术室大屏监视器(不得小于50寸)  1台。</w:t>
      </w:r>
    </w:p>
    <w:p>
      <w:pPr>
        <w:pStyle w:val="739"/>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3.所需设备要求：</w:t>
      </w:r>
    </w:p>
    <w:p>
      <w:pPr>
        <w:pStyle w:val="739"/>
        <w:spacing w:line="400" w:lineRule="exact"/>
        <w:ind w:firstLine="480" w:firstLineChars="20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3.1./</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.发鞋机、发衣机容量大于等于50双/套；消毒柜容量大于等于30双/套；</w:t>
      </w:r>
      <w:r>
        <w:rPr>
          <w:rFonts w:ascii="仿宋" w:hAnsi="仿宋" w:eastAsia="仿宋"/>
          <w:color w:val="000000" w:themeColor="text1"/>
          <w:sz w:val="24"/>
          <w:szCs w:val="24"/>
          <w14:textFill>
            <w14:solidFill>
              <w14:schemeClr w14:val="tx1"/>
            </w14:solidFill>
          </w14:textFill>
        </w:rPr>
        <w:t xml:space="preserve"> </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.整套系统符合国家三级等保安全要求。</w:t>
      </w:r>
      <w:r>
        <w:rPr>
          <w:rFonts w:ascii="仿宋" w:hAnsi="仿宋" w:eastAsia="仿宋"/>
          <w:color w:val="000000" w:themeColor="text1"/>
          <w:sz w:val="24"/>
          <w:szCs w:val="24"/>
          <w14:textFill>
            <w14:solidFill>
              <w14:schemeClr w14:val="tx1"/>
            </w14:solidFill>
          </w14:textFill>
        </w:rPr>
        <w:br w:type="page"/>
      </w:r>
    </w:p>
    <w:p>
      <w:pPr>
        <w:pStyle w:val="28"/>
        <w:jc w:val="center"/>
        <w:rPr>
          <w:rFonts w:ascii="仿宋" w:hAnsi="仿宋" w:eastAsia="仿宋"/>
          <w:b/>
          <w:bCs/>
          <w:color w:val="000000" w:themeColor="text1"/>
          <w:szCs w:val="24"/>
          <w14:textFill>
            <w14:solidFill>
              <w14:schemeClr w14:val="tx1"/>
            </w14:solidFill>
          </w14:textFill>
        </w:rPr>
      </w:pPr>
      <w:r>
        <w:rPr>
          <w:rFonts w:hint="eastAsia" w:ascii="仿宋" w:hAnsi="仿宋" w:eastAsia="仿宋"/>
          <w:b/>
          <w:bCs/>
          <w:color w:val="000000" w:themeColor="text1"/>
          <w:szCs w:val="24"/>
          <w14:textFill>
            <w14:solidFill>
              <w14:schemeClr w14:val="tx1"/>
            </w14:solidFill>
          </w14:textFill>
        </w:rPr>
        <w:t>（二）医院毒麻药品管理系统</w:t>
      </w:r>
    </w:p>
    <w:p>
      <w:pPr>
        <w:pStyle w:val="739"/>
        <w:spacing w:line="400" w:lineRule="exact"/>
        <w:ind w:firstLine="482" w:firstLineChars="200"/>
        <w:jc w:val="center"/>
        <w:rPr>
          <w:rFonts w:ascii="仿宋" w:hAnsi="仿宋" w:eastAsia="仿宋"/>
          <w:b/>
          <w:bCs/>
          <w:color w:val="000000" w:themeColor="text1"/>
          <w:sz w:val="24"/>
          <w:szCs w:val="24"/>
          <w14:textFill>
            <w14:solidFill>
              <w14:schemeClr w14:val="tx1"/>
            </w14:solidFill>
          </w14:textFill>
        </w:rPr>
      </w:pPr>
    </w:p>
    <w:p>
      <w:pPr>
        <w:pStyle w:val="739"/>
        <w:numPr>
          <w:ilvl w:val="0"/>
          <w:numId w:val="17"/>
        </w:numPr>
        <w:spacing w:line="40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背景:吉木萨尔县总医院（人民医院）新院区建设手术室即将投入使用,为进一步提高医院运营效率，从现实情况看，医院的的运营效率直接挂钩硬件设备的智能化程度。麻醉药房全闭环管理系统的建设会让医院内运营秩序得到了理顺，起到提升医院社会形象的作用，实现药品在麻醉药房的信息化流转，可以规范医护人员的用药流程，避免乱用药、多用药的情况，也有利于对用药的合理性、安全性进行监控，申请购置麻醉药房智能管理。</w:t>
      </w:r>
    </w:p>
    <w:p>
      <w:pPr>
        <w:pStyle w:val="739"/>
        <w:numPr>
          <w:ilvl w:val="0"/>
          <w:numId w:val="17"/>
        </w:numPr>
        <w:spacing w:line="400" w:lineRule="exact"/>
        <w:ind w:firstLine="48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主要指标及参数：</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2.1.本设备主要用途：增强麻醉药房信息化的程度，减少药品使用的手工环节，建设一套麻醉药房的智能毒麻药品管理体系，实现麻醉药房和手术间的药品规范化、智能化管理。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通过进一步对于手术间药品进行信息化管理，实现对每天麻醉医生用药的取用、退还及空瓶空包装的实时监测，保证我院麻醉药房用药监管从自动化库存监测及精细化数据追溯两个方面，完善并优化手术药品管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2.3.充分考虑本科室对每个术间及手术类型用药需求的不同，合理适配智能硬件存储模块，通过分品规、分效期、分权限管理，采用智慧化手段实现实物库存的严格管控；</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充分考虑我院麻醉药品手术区域现有管理方式，解决现有痛点的同时，加强临床业务流程的管理，通过贴合临床使用的上层软件交互设计，以及监管和效率并重的功能优化，实现来源可查、去向可追、责任可纠的管理目标。</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麻醉药品智能管理将对接层面通过与医院HIS、手麻程序对接，实现对麻醉药房毒麻精一类管控药品的安全管理与智能化调剂；从权限管控层面根据操作者设置不同的权限通过指纹等多种登录方式，进行取药/加药操作，毒麻精一类管控药品根据双人双锁核定后发药，操作人员无相关权限则不可接触到全部的此类药品，保障其存储使用的安全性。</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从数据完整性层面，通过自动记录取药/加药动作，完全排除人为因素对药品相关信息的影响，实现数据真实完整记录；从管理效率层面，通过自动计数技术对各类数据进行真实统计和分析，确保手术室常用药品的规范使用，提升我院麻醉药房药品的使用和管理效率。</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2.7.本设备功能配置：</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2.7.1.入库：支持自动生成补药单，支持系统引导药品补充至正确的位置；</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2.7.2.出库：支持直接出库和请领出库；</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2.7.3.退库管理：支持按出库单的批号退回商品；</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2.7.4.效期管理：支持药库药品的效期预警，且效期预警需支持两级预警；</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2.7.5.库存管理：支持库存查询功能，支持库存报损功能；</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2.7.6.盘点：支持自动盘点功能，支持盘点数据记录及查询。</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2.8.麻醉药房智能管理系统</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2.8.1.自动计数算法，实现药品称重零漂移；</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2.8.2.通过药品大数据AI分析，推动合理用药，减少乱开药现象，实现国家控费要求；</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2.8.3.智能存储麻精药品、高危药品、毒性药品、冷藏药品、盒装药品，全部药盒自动计数，温湿度智能监控系统，确保药品安全，及操作的可追溯性；</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2.8.4.全部药盒配置彩色电子显示屏，有效指示药品名称、规格和取药数量，防止取药差错，同时支持显示测色药品标识；</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2.8.5.配置空瓶回收单元，全部自动计数，真正做到所有操作动作全自动记录；</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2.8.6.可与医院HIS对接，数据互联互通(免费对接)；</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2.8.7.软硬件结合，实现药品使用全闭环，达到药品批号效期的监控和溯源，提升药品管理效率；</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2.8.8.全部材质钢结构，除电子双人双锁外配置机械双锁，紧急情况下仍然实现双锁管控，保障麻精药品存取符合国家药事管理要求；</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2.8.9.支持多种取药方式和多种补药方式，药品存取、盘点操作效率高，可大大节约操作时间。</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3.所需设备：</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3.1.住院药房专用毒麻药品1台柜子，1套与医疗HIS连接；</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3.2.手术室2台毒麻药品柜子（1台发放柜、1台存储柜），1个核对台，1套医疗HIS连接；</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3.3.套数据看板，1套 医疗HIS连接，对药品管理数据实现可视化。</w:t>
      </w:r>
    </w:p>
    <w:p>
      <w:pPr>
        <w:pStyle w:val="739"/>
        <w:spacing w:line="40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3.4.提供整套软件的部署硬件（服务器）</w:t>
      </w:r>
    </w:p>
    <w:p>
      <w:pPr>
        <w:pStyle w:val="739"/>
        <w:spacing w:line="400" w:lineRule="exact"/>
        <w:ind w:firstLine="480" w:firstLineChars="20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3.5.毒麻系统所含摄像头像素不低于400万像素，支持录像储存不少于180天。</w:t>
      </w:r>
    </w:p>
    <w:p>
      <w:pPr>
        <w:pStyle w:val="739"/>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4.所需设备要求：</w:t>
      </w:r>
    </w:p>
    <w:p>
      <w:pPr>
        <w:pStyle w:val="739"/>
        <w:tabs>
          <w:tab w:val="left" w:pos="312"/>
        </w:tabs>
        <w:spacing w:line="400" w:lineRule="exact"/>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4.1整套系统符合国家三级等保安全要求。</w:t>
      </w:r>
    </w:p>
    <w:p>
      <w:pPr>
        <w:pStyle w:val="331"/>
        <w:spacing w:line="360" w:lineRule="auto"/>
        <w:jc w:val="center"/>
        <w:rPr>
          <w:rFonts w:ascii="仿宋" w:hAnsi="仿宋" w:eastAsia="仿宋"/>
          <w:b/>
          <w:color w:val="000000" w:themeColor="text1"/>
          <w:szCs w:val="24"/>
          <w14:textFill>
            <w14:solidFill>
              <w14:schemeClr w14:val="tx1"/>
            </w14:solidFill>
          </w14:textFill>
        </w:rPr>
      </w:pPr>
    </w:p>
    <w:p>
      <w:pPr>
        <w:widowControl/>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24"/>
          <w14:textFill>
            <w14:solidFill>
              <w14:schemeClr w14:val="tx1"/>
            </w14:solidFill>
          </w14:textFill>
        </w:rPr>
        <w:br w:type="page"/>
      </w:r>
      <w:bookmarkStart w:id="13" w:name="_Toc139284258"/>
      <w:r>
        <w:rPr>
          <w:rFonts w:hint="eastAsia" w:ascii="仿宋" w:hAnsi="仿宋" w:eastAsia="仿宋"/>
          <w:b/>
          <w:color w:val="000000" w:themeColor="text1"/>
          <w:sz w:val="32"/>
          <w:szCs w:val="32"/>
          <w14:textFill>
            <w14:solidFill>
              <w14:schemeClr w14:val="tx1"/>
            </w14:solidFill>
          </w14:textFill>
        </w:rPr>
        <w:t>第五章  投标文件格式</w:t>
      </w:r>
      <w:bookmarkEnd w:id="13"/>
    </w:p>
    <w:p>
      <w:pPr>
        <w:pStyle w:val="331"/>
        <w:spacing w:line="360" w:lineRule="auto"/>
        <w:jc w:val="center"/>
        <w:rPr>
          <w:rFonts w:ascii="仿宋" w:hAnsi="仿宋" w:eastAsia="仿宋"/>
          <w:b/>
          <w:color w:val="000000" w:themeColor="text1"/>
          <w:szCs w:val="24"/>
          <w14:textFill>
            <w14:solidFill>
              <w14:schemeClr w14:val="tx1"/>
            </w14:solidFill>
          </w14:textFill>
        </w:rPr>
      </w:pPr>
    </w:p>
    <w:p>
      <w:pPr>
        <w:widowControl/>
        <w:jc w:val="left"/>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封面</w:t>
      </w:r>
    </w:p>
    <w:p>
      <w:pPr>
        <w:pStyle w:val="46"/>
        <w:rPr>
          <w:rFonts w:ascii="仿宋" w:hAnsi="仿宋" w:eastAsia="仿宋" w:cs="仿宋"/>
          <w:color w:val="000000" w:themeColor="text1"/>
          <w:sz w:val="24"/>
          <w:szCs w:val="24"/>
          <w14:textFill>
            <w14:solidFill>
              <w14:schemeClr w14:val="tx1"/>
            </w14:solidFill>
          </w14:textFill>
        </w:rPr>
      </w:pPr>
    </w:p>
    <w:p>
      <w:pPr>
        <w:widowControl/>
        <w:jc w:val="left"/>
        <w:rPr>
          <w:rFonts w:ascii="仿宋" w:hAnsi="仿宋" w:eastAsia="仿宋" w:cs="仿宋"/>
          <w:color w:val="000000" w:themeColor="text1"/>
          <w:sz w:val="24"/>
          <w14:textFill>
            <w14:solidFill>
              <w14:schemeClr w14:val="tx1"/>
            </w14:solidFill>
          </w14:textFill>
        </w:rPr>
      </w:pPr>
    </w:p>
    <w:p>
      <w:pPr>
        <w:widowControl/>
        <w:jc w:val="left"/>
        <w:rPr>
          <w:rFonts w:ascii="仿宋" w:hAnsi="仿宋" w:eastAsia="仿宋" w:cs="仿宋"/>
          <w:color w:val="000000" w:themeColor="text1"/>
          <w:sz w:val="24"/>
          <w14:textFill>
            <w14:solidFill>
              <w14:schemeClr w14:val="tx1"/>
            </w14:solidFill>
          </w14:textFill>
        </w:rPr>
      </w:pPr>
    </w:p>
    <w:p>
      <w:pPr>
        <w:widowControl/>
        <w:ind w:firstLine="2520" w:firstLineChars="300"/>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color w:val="000000" w:themeColor="text1"/>
          <w:sz w:val="84"/>
          <w:szCs w:val="84"/>
          <w14:textFill>
            <w14:solidFill>
              <w14:schemeClr w14:val="tx1"/>
            </w14:solidFill>
          </w14:textFill>
        </w:rPr>
        <w:t>投 标 文 件</w:t>
      </w:r>
    </w:p>
    <w:p>
      <w:pPr>
        <w:pStyle w:val="46"/>
        <w:rPr>
          <w:rFonts w:ascii="仿宋" w:hAnsi="仿宋" w:eastAsia="仿宋" w:cs="仿宋"/>
          <w:color w:val="000000" w:themeColor="text1"/>
          <w:sz w:val="24"/>
          <w:szCs w:val="24"/>
          <w14:textFill>
            <w14:solidFill>
              <w14:schemeClr w14:val="tx1"/>
            </w14:solidFill>
          </w14:textFill>
        </w:rPr>
      </w:pPr>
    </w:p>
    <w:p>
      <w:pPr>
        <w:widowControl/>
        <w:jc w:val="left"/>
        <w:rPr>
          <w:rFonts w:ascii="仿宋" w:hAnsi="仿宋" w:eastAsia="仿宋" w:cs="仿宋"/>
          <w:color w:val="000000" w:themeColor="text1"/>
          <w:sz w:val="24"/>
          <w14:textFill>
            <w14:solidFill>
              <w14:schemeClr w14:val="tx1"/>
            </w14:solidFill>
          </w14:textFill>
        </w:rPr>
      </w:pPr>
    </w:p>
    <w:p>
      <w:pPr>
        <w:widowControl/>
        <w:jc w:val="left"/>
        <w:rPr>
          <w:rFonts w:ascii="仿宋" w:hAnsi="仿宋" w:eastAsia="仿宋" w:cs="仿宋"/>
          <w:color w:val="000000" w:themeColor="text1"/>
          <w:sz w:val="24"/>
          <w14:textFill>
            <w14:solidFill>
              <w14:schemeClr w14:val="tx1"/>
            </w14:solidFill>
          </w14:textFill>
        </w:rPr>
      </w:pPr>
    </w:p>
    <w:p>
      <w:pPr>
        <w:widowControl/>
        <w:spacing w:line="360" w:lineRule="auto"/>
        <w:ind w:firstLine="720" w:firstLineChars="300"/>
        <w:jc w:val="left"/>
        <w:rPr>
          <w:rFonts w:ascii="仿宋" w:hAnsi="仿宋" w:eastAsia="仿宋" w:cs="仿宋"/>
          <w:color w:val="000000" w:themeColor="text1"/>
          <w:sz w:val="24"/>
          <w14:textFill>
            <w14:solidFill>
              <w14:schemeClr w14:val="tx1"/>
            </w14:solidFill>
          </w14:textFill>
        </w:rPr>
      </w:pP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采购人名称：</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标项名称：  </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采购代理机构名称：</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投标单位名称：</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投标单位地址：</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法定代表人或授权代表姓名：</w:t>
      </w:r>
    </w:p>
    <w:p>
      <w:pPr>
        <w:widowControl/>
        <w:spacing w:line="360" w:lineRule="auto"/>
        <w:ind w:firstLine="840" w:firstLineChars="3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w:t>
      </w:r>
    </w:p>
    <w:p>
      <w:pPr>
        <w:pStyle w:val="331"/>
        <w:spacing w:line="360" w:lineRule="auto"/>
        <w:jc w:val="center"/>
        <w:rPr>
          <w:rFonts w:ascii="仿宋" w:hAnsi="仿宋" w:eastAsia="仿宋"/>
          <w:b/>
          <w:color w:val="000000" w:themeColor="text1"/>
          <w:szCs w:val="24"/>
          <w14:textFill>
            <w14:solidFill>
              <w14:schemeClr w14:val="tx1"/>
            </w14:solidFill>
          </w14:textFill>
        </w:rPr>
      </w:pPr>
    </w:p>
    <w:p>
      <w:pPr>
        <w:ind w:firstLine="560"/>
        <w:rPr>
          <w:rFonts w:ascii="仿宋" w:hAnsi="仿宋" w:eastAsia="仿宋"/>
          <w:color w:val="000000" w:themeColor="text1"/>
          <w:sz w:val="24"/>
          <w14:textFill>
            <w14:solidFill>
              <w14:schemeClr w14:val="tx1"/>
            </w14:solidFill>
          </w14:textFill>
        </w:rPr>
      </w:pP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br w:type="page"/>
      </w:r>
      <w:r>
        <w:rPr>
          <w:rFonts w:hint="eastAsia" w:ascii="仿宋" w:hAnsi="仿宋" w:eastAsia="仿宋"/>
          <w:b/>
          <w:bCs/>
          <w:color w:val="000000" w:themeColor="text1"/>
          <w:kern w:val="0"/>
          <w:sz w:val="24"/>
          <w14:textFill>
            <w14:solidFill>
              <w14:schemeClr w14:val="tx1"/>
            </w14:solidFill>
          </w14:textFill>
        </w:rPr>
        <w:t>附件一 供应商营业执照或其他组织资格证书（扫描件）</w:t>
      </w:r>
    </w:p>
    <w:p>
      <w:pPr>
        <w:widowControl/>
        <w:spacing w:line="440" w:lineRule="exact"/>
        <w:jc w:val="left"/>
        <w:rPr>
          <w:rFonts w:ascii="仿宋" w:hAnsi="仿宋" w:eastAsia="仿宋"/>
          <w:bCs/>
          <w:color w:val="000000" w:themeColor="text1"/>
          <w:sz w:val="24"/>
          <w14:textFill>
            <w14:solidFill>
              <w14:schemeClr w14:val="tx1"/>
            </w14:solidFill>
          </w14:textFill>
        </w:rPr>
      </w:pPr>
    </w:p>
    <w:p>
      <w:pPr>
        <w:widowControl/>
        <w:spacing w:line="440" w:lineRule="exact"/>
        <w:jc w:val="left"/>
        <w:rPr>
          <w:rFonts w:ascii="仿宋" w:hAnsi="仿宋" w:eastAsia="仿宋"/>
          <w:bCs/>
          <w:color w:val="000000" w:themeColor="text1"/>
          <w:sz w:val="24"/>
          <w14:textFill>
            <w14:solidFill>
              <w14:schemeClr w14:val="tx1"/>
            </w14:solidFill>
          </w14:textFill>
        </w:rPr>
      </w:pPr>
    </w:p>
    <w:p>
      <w:pPr>
        <w:widowControl/>
        <w:spacing w:line="440" w:lineRule="exact"/>
        <w:jc w:val="left"/>
        <w:rPr>
          <w:rFonts w:ascii="仿宋" w:hAnsi="仿宋" w:eastAsia="仿宋"/>
          <w:bCs/>
          <w:color w:val="000000" w:themeColor="text1"/>
          <w:sz w:val="24"/>
          <w14:textFill>
            <w14:solidFill>
              <w14:schemeClr w14:val="tx1"/>
            </w14:solidFill>
          </w14:textFill>
        </w:rPr>
      </w:pPr>
    </w:p>
    <w:p>
      <w:pPr>
        <w:widowControl/>
        <w:spacing w:line="440" w:lineRule="exact"/>
        <w:jc w:val="lef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r>
        <w:rPr>
          <w:rFonts w:hint="eastAsia" w:ascii="仿宋" w:hAnsi="仿宋" w:eastAsia="仿宋"/>
          <w:b/>
          <w:bCs/>
          <w:color w:val="000000" w:themeColor="text1"/>
          <w:kern w:val="0"/>
          <w:sz w:val="24"/>
          <w14:textFill>
            <w14:solidFill>
              <w14:schemeClr w14:val="tx1"/>
            </w14:solidFill>
          </w14:textFill>
        </w:rPr>
        <w:t>附件二  法定代表人（或负责人）资格证明书及法定代表人（或负责人）授权委托书</w:t>
      </w:r>
    </w:p>
    <w:p>
      <w:pPr>
        <w:shd w:val="clear" w:color="auto" w:fill="FFFFFF"/>
        <w:spacing w:beforeLines="100" w:afterLines="100"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法定代表人（或负责人）资格证明书</w:t>
      </w: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pStyle w:val="733"/>
        <w:adjustRightInd w:val="0"/>
        <w:snapToGrid w:val="0"/>
        <w:spacing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u w:val="single"/>
          <w14:textFill>
            <w14:solidFill>
              <w14:schemeClr w14:val="tx1"/>
            </w14:solidFill>
          </w14:textFill>
        </w:rPr>
        <w:t>（代理机构名称）</w:t>
      </w:r>
      <w:r>
        <w:rPr>
          <w:rFonts w:hint="eastAsia" w:ascii="仿宋" w:hAnsi="仿宋" w:eastAsia="仿宋"/>
          <w:color w:val="000000" w:themeColor="text1"/>
          <w:sz w:val="24"/>
          <w:szCs w:val="24"/>
          <w14:textFill>
            <w14:solidFill>
              <w14:schemeClr w14:val="tx1"/>
            </w14:solidFill>
          </w14:textFill>
        </w:rPr>
        <w:t>：</w:t>
      </w:r>
    </w:p>
    <w:p>
      <w:pPr>
        <w:pStyle w:val="733"/>
        <w:adjustRightInd w:val="0"/>
        <w:snapToGrid w:val="0"/>
        <w:spacing w:line="5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兹有同志为公司法定代表人（或负责人），代表我公司办理一切社会公务事宜，具有法律效力。 </w:t>
      </w:r>
    </w:p>
    <w:p>
      <w:pPr>
        <w:pStyle w:val="733"/>
        <w:adjustRightInd w:val="0"/>
        <w:snapToGrid w:val="0"/>
        <w:spacing w:line="5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附法定代表人（或负责人）基本情况： </w:t>
      </w:r>
    </w:p>
    <w:p>
      <w:pPr>
        <w:pStyle w:val="733"/>
        <w:adjustRightInd w:val="0"/>
        <w:snapToGrid w:val="0"/>
        <w:spacing w:line="500" w:lineRule="exact"/>
        <w:ind w:firstLine="480" w:firstLineChars="2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姓名：性别：年龄：职务：</w:t>
      </w:r>
    </w:p>
    <w:p>
      <w:pPr>
        <w:pStyle w:val="733"/>
        <w:adjustRightInd w:val="0"/>
        <w:snapToGrid w:val="0"/>
        <w:spacing w:line="5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身份证号码：</w:t>
      </w:r>
    </w:p>
    <w:p>
      <w:pPr>
        <w:pStyle w:val="733"/>
        <w:adjustRightInd w:val="0"/>
        <w:snapToGrid w:val="0"/>
        <w:spacing w:line="5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通讯地址：</w:t>
      </w:r>
    </w:p>
    <w:p>
      <w:pPr>
        <w:shd w:val="clear" w:color="auto" w:fill="FFFFFF"/>
        <w:spacing w:line="44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电话号码：</w:t>
      </w:r>
    </w:p>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-248920</wp:posOffset>
                </wp:positionH>
                <wp:positionV relativeFrom="paragraph">
                  <wp:posOffset>162560</wp:posOffset>
                </wp:positionV>
                <wp:extent cx="3201670" cy="1918970"/>
                <wp:effectExtent l="5080" t="5080" r="12700" b="1905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201670" cy="1918970"/>
                        </a:xfrm>
                        <a:prstGeom prst="rect">
                          <a:avLst/>
                        </a:prstGeom>
                        <a:solidFill>
                          <a:srgbClr val="FFFFFF"/>
                        </a:solidFill>
                        <a:ln w="9525">
                          <a:solidFill>
                            <a:srgbClr val="000000"/>
                          </a:solidFill>
                          <a:miter lim="200000"/>
                        </a:ln>
                        <a:effectLst/>
                      </wps:spPr>
                      <wps:txb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19.6pt;margin-top:12.8pt;height:151.1pt;width:252.1pt;z-index:251662336;mso-width-relative:page;mso-height-relative:page;" fillcolor="#FFFFFF" filled="t" stroked="t" coordsize="21600,21600" o:gfxdata="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5Jpq2wAAAAoBAAAPAAAAAAAA&#10;AAEAIAAAACIAAABkcnMvZG93bnJldi54bWxQSwECFAAUAAAACACHTuJAFgqQ+0gCAACXBAAADgAA&#10;AAAAAAABACAAAAAqAQAAZHJzL2Uyb0RvYy54bWxQSwUGAAAAAAYABgBZAQAA5AUAAAAA&#10;">
                <v:fill on="t" focussize="0,0"/>
                <v:stroke color="#000000" miterlimit="2"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mc:Fallback>
        </mc:AlternateContent>
      </w:r>
      <w:r>
        <w:rPr>
          <w:rFonts w:ascii="仿宋" w:hAnsi="仿宋" w:eastAsia="仿宋"/>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3162300</wp:posOffset>
                </wp:positionH>
                <wp:positionV relativeFrom="paragraph">
                  <wp:posOffset>162560</wp:posOffset>
                </wp:positionV>
                <wp:extent cx="3225800" cy="1918970"/>
                <wp:effectExtent l="5080" t="5080" r="7620" b="1905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225800" cy="1918970"/>
                        </a:xfrm>
                        <a:prstGeom prst="rect">
                          <a:avLst/>
                        </a:prstGeom>
                        <a:solidFill>
                          <a:srgbClr val="FFFFFF"/>
                        </a:solidFill>
                        <a:ln w="9525">
                          <a:solidFill>
                            <a:srgbClr val="000000"/>
                          </a:solidFill>
                          <a:miter lim="200000"/>
                        </a:ln>
                        <a:effectLst/>
                      </wps:spPr>
                      <wps:txb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49pt;margin-top:12.8pt;height:151.1pt;width:254pt;z-index:251663360;mso-width-relative:page;mso-height-relative:page;" fillcolor="#FFFFFF" filled="t" stroked="t" coordsize="21600,21600" o:gfxdata="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r1My2wAAAAsBAAAPAAAA&#10;AAAAAAEAIAAAACIAAABkcnMvZG93bnJldi54bWxQSwECFAAUAAAACACHTuJApdP7oUsCAACWBAAA&#10;DgAAAAAAAAABACAAAAAqAQAAZHJzL2Uyb0RvYy54bWxQSwUGAAAAAAYABgBZAQAA5wUAAAAA&#10;">
                <v:fill on="t" focussize="0,0"/>
                <v:stroke color="#000000" miterlimit="2" joinstyle="miter"/>
                <v:imagedata o:title=""/>
                <o:lock v:ext="edit" aspectratio="f"/>
                <v:textbox>
                  <w:txbxContent>
                    <w:p/>
                    <w:p/>
                    <w:p>
                      <w:pPr>
                        <w:jc w:val="center"/>
                        <w:rPr>
                          <w:rFonts w:ascii="仿宋" w:hAnsi="仿宋" w:eastAsia="仿宋"/>
                          <w:sz w:val="36"/>
                          <w:szCs w:val="36"/>
                        </w:rPr>
                      </w:pPr>
                      <w:r>
                        <w:rPr>
                          <w:rFonts w:hint="eastAsia" w:ascii="仿宋" w:hAnsi="仿宋" w:eastAsia="仿宋"/>
                          <w:sz w:val="36"/>
                          <w:szCs w:val="36"/>
                        </w:rPr>
                        <w:t>法定代表人（或负责人）身份证扫描件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mc:Fallback>
        </mc:AlternateContent>
      </w: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特此证明。</w:t>
      </w: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shd w:val="clear" w:color="auto" w:fill="FFFFFF"/>
        <w:spacing w:line="440" w:lineRule="exact"/>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法定代表人（或负责人）（签字或签章）：</w:t>
      </w:r>
    </w:p>
    <w:p>
      <w:pPr>
        <w:shd w:val="clear" w:color="auto" w:fill="FFFFFF"/>
        <w:tabs>
          <w:tab w:val="left" w:pos="3780"/>
        </w:tabs>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shd w:val="clear" w:color="auto" w:fill="FFFFFF"/>
        <w:spacing w:line="500" w:lineRule="exact"/>
        <w:rPr>
          <w:rFonts w:ascii="仿宋" w:hAnsi="仿宋" w:eastAsia="仿宋"/>
          <w:b/>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br w:type="page"/>
      </w:r>
    </w:p>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法定代表人（或负责人）授权委托书</w:t>
      </w:r>
    </w:p>
    <w:p>
      <w:pPr>
        <w:shd w:val="clear" w:color="auto" w:fill="FFFFFF"/>
        <w:spacing w:line="440" w:lineRule="exact"/>
        <w:jc w:val="center"/>
        <w:rPr>
          <w:rFonts w:ascii="仿宋" w:hAnsi="仿宋" w:eastAsia="仿宋"/>
          <w:b/>
          <w:bCs/>
          <w:color w:val="000000" w:themeColor="text1"/>
          <w:sz w:val="24"/>
          <w14:textFill>
            <w14:solidFill>
              <w14:schemeClr w14:val="tx1"/>
            </w14:solidFill>
          </w14:textFill>
        </w:rPr>
      </w:pPr>
    </w:p>
    <w:p>
      <w:pPr>
        <w:shd w:val="clear" w:color="auto" w:fill="FFFFFF"/>
        <w:spacing w:line="440" w:lineRule="exact"/>
        <w:ind w:firstLine="453" w:firstLineChars="189"/>
        <w:rPr>
          <w:rFonts w:ascii="仿宋" w:hAnsi="仿宋" w:eastAsia="仿宋"/>
          <w:bCs/>
          <w:color w:val="000000" w:themeColor="text1"/>
          <w:sz w:val="24"/>
          <w:u w:val="single"/>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本授权委托书声明：我系</w:t>
      </w:r>
      <w:r>
        <w:rPr>
          <w:rFonts w:hint="eastAsia" w:ascii="仿宋" w:hAnsi="仿宋" w:eastAsia="仿宋"/>
          <w:bCs/>
          <w:color w:val="000000" w:themeColor="text1"/>
          <w:sz w:val="24"/>
          <w:u w:val="single"/>
          <w14:textFill>
            <w14:solidFill>
              <w14:schemeClr w14:val="tx1"/>
            </w14:solidFill>
          </w14:textFill>
        </w:rPr>
        <w:t xml:space="preserve">  （供应商名称）  </w:t>
      </w:r>
      <w:r>
        <w:rPr>
          <w:rFonts w:hint="eastAsia" w:ascii="仿宋" w:hAnsi="仿宋" w:eastAsia="仿宋"/>
          <w:bCs/>
          <w:color w:val="000000" w:themeColor="text1"/>
          <w:sz w:val="24"/>
          <w14:textFill>
            <w14:solidFill>
              <w14:schemeClr w14:val="tx1"/>
            </w14:solidFill>
          </w14:textFill>
        </w:rPr>
        <w:t>的法定代表人（或负责人），现授权委托</w:t>
      </w:r>
      <w:r>
        <w:rPr>
          <w:rFonts w:hint="eastAsia" w:ascii="仿宋" w:hAnsi="仿宋" w:eastAsia="仿宋"/>
          <w:bCs/>
          <w:color w:val="000000" w:themeColor="text1"/>
          <w:sz w:val="24"/>
          <w:u w:val="single"/>
          <w14:textFill>
            <w14:solidFill>
              <w14:schemeClr w14:val="tx1"/>
            </w14:solidFill>
          </w14:textFill>
        </w:rPr>
        <w:t xml:space="preserve">   （供应商名称） </w:t>
      </w:r>
      <w:r>
        <w:rPr>
          <w:rFonts w:hint="eastAsia" w:ascii="仿宋" w:hAnsi="仿宋" w:eastAsia="仿宋"/>
          <w:bCs/>
          <w:color w:val="000000" w:themeColor="text1"/>
          <w:sz w:val="24"/>
          <w14:textFill>
            <w14:solidFill>
              <w14:schemeClr w14:val="tx1"/>
            </w14:solidFill>
          </w14:textFill>
        </w:rPr>
        <w:t>的</w:t>
      </w:r>
      <w:r>
        <w:rPr>
          <w:rFonts w:hint="eastAsia" w:ascii="仿宋" w:hAnsi="仿宋" w:eastAsia="仿宋"/>
          <w:bCs/>
          <w:color w:val="000000" w:themeColor="text1"/>
          <w:sz w:val="24"/>
          <w:u w:val="single"/>
          <w14:textFill>
            <w14:solidFill>
              <w14:schemeClr w14:val="tx1"/>
            </w14:solidFill>
          </w14:textFill>
        </w:rPr>
        <w:t xml:space="preserve"> （授权代表姓名） </w:t>
      </w:r>
      <w:r>
        <w:rPr>
          <w:rFonts w:hint="eastAsia" w:ascii="仿宋" w:hAnsi="仿宋" w:eastAsia="仿宋"/>
          <w:bCs/>
          <w:color w:val="000000" w:themeColor="text1"/>
          <w:sz w:val="24"/>
          <w14:textFill>
            <w14:solidFill>
              <w14:schemeClr w14:val="tx1"/>
            </w14:solidFill>
          </w14:textFill>
        </w:rPr>
        <w:t xml:space="preserve"> 为我的代理人，以</w:t>
      </w:r>
      <w:r>
        <w:rPr>
          <w:rFonts w:hint="eastAsia" w:ascii="仿宋" w:hAnsi="仿宋" w:eastAsia="仿宋"/>
          <w:bCs/>
          <w:color w:val="000000" w:themeColor="text1"/>
          <w:sz w:val="24"/>
          <w:u w:val="single"/>
          <w14:textFill>
            <w14:solidFill>
              <w14:schemeClr w14:val="tx1"/>
            </w14:solidFill>
          </w14:textFill>
        </w:rPr>
        <w:t>（供应商名称）</w:t>
      </w:r>
      <w:r>
        <w:rPr>
          <w:rFonts w:hint="eastAsia" w:ascii="仿宋" w:hAnsi="仿宋" w:eastAsia="仿宋"/>
          <w:bCs/>
          <w:color w:val="000000" w:themeColor="text1"/>
          <w:sz w:val="24"/>
          <w14:textFill>
            <w14:solidFill>
              <w14:schemeClr w14:val="tx1"/>
            </w14:solidFill>
          </w14:textFill>
        </w:rPr>
        <w:t>的名义参加</w:t>
      </w:r>
      <w:r>
        <w:rPr>
          <w:rFonts w:hint="eastAsia" w:ascii="仿宋" w:hAnsi="仿宋" w:eastAsia="仿宋"/>
          <w:bCs/>
          <w:color w:val="000000" w:themeColor="text1"/>
          <w:sz w:val="24"/>
          <w:u w:val="single"/>
          <w14:textFill>
            <w14:solidFill>
              <w14:schemeClr w14:val="tx1"/>
            </w14:solidFill>
          </w14:textFill>
        </w:rPr>
        <w:t>（标项名称和项目编号）</w:t>
      </w:r>
      <w:r>
        <w:rPr>
          <w:rFonts w:hint="eastAsia" w:ascii="仿宋" w:hAnsi="仿宋" w:eastAsia="仿宋"/>
          <w:bCs/>
          <w:color w:val="000000" w:themeColor="text1"/>
          <w:sz w:val="24"/>
          <w14:textFill>
            <w14:solidFill>
              <w14:schemeClr w14:val="tx1"/>
            </w14:solidFill>
          </w14:textFill>
        </w:rPr>
        <w:t>招标项目的投标活动。代理人在参加整个招标投标活动所签署的一切文件和处理与之相关的一切事务，我均予承认。</w:t>
      </w:r>
    </w:p>
    <w:p>
      <w:pPr>
        <w:shd w:val="clear" w:color="auto" w:fill="FFFFFF"/>
        <w:spacing w:line="440" w:lineRule="exact"/>
        <w:ind w:firstLine="480" w:firstLineChars="200"/>
        <w:rPr>
          <w:rFonts w:ascii="仿宋" w:hAnsi="仿宋" w:eastAsia="仿宋"/>
          <w:bCs/>
          <w:color w:val="000000" w:themeColor="text1"/>
          <w:sz w:val="24"/>
          <w:u w:val="single"/>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代理人：   性别：  年龄：</w:t>
      </w:r>
    </w:p>
    <w:p>
      <w:pPr>
        <w:shd w:val="clear" w:color="auto" w:fill="FFFFFF"/>
        <w:spacing w:line="44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部  门：   职务：  </w:t>
      </w:r>
      <w:r>
        <w:rPr>
          <w:rFonts w:hint="eastAsia" w:ascii="仿宋" w:hAnsi="仿宋" w:eastAsia="仿宋"/>
          <w:color w:val="000000" w:themeColor="text1"/>
          <w:sz w:val="24"/>
          <w14:textFill>
            <w14:solidFill>
              <w14:schemeClr w14:val="tx1"/>
            </w14:solidFill>
          </w14:textFill>
        </w:rPr>
        <w:t>电话号码：</w:t>
      </w:r>
    </w:p>
    <w:p>
      <w:pPr>
        <w:shd w:val="clear" w:color="auto" w:fill="FFFFFF"/>
        <w:spacing w:line="440" w:lineRule="exact"/>
        <w:ind w:firstLine="480" w:firstLineChars="200"/>
        <w:rPr>
          <w:rFonts w:ascii="仿宋" w:hAnsi="仿宋" w:eastAsia="仿宋"/>
          <w:bCs/>
          <w:color w:val="000000" w:themeColor="text1"/>
          <w:sz w:val="24"/>
          <w:u w:val="single"/>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代理期限：</w:t>
      </w:r>
    </w:p>
    <w:p>
      <w:pPr>
        <w:shd w:val="clear" w:color="auto" w:fill="FFFFFF"/>
        <w:spacing w:line="440" w:lineRule="exact"/>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7.3pt;margin-top:9.65pt;height:149.25pt;width:234pt;z-index:251660288;mso-width-relative:page;mso-height-relative:page;" fillcolor="#FFFFFF" filled="t" stroked="t" coordsize="21600,21600" o:gfxdata="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3Mx2wAAAAoBAAAPAAAAAAAA&#10;AAEAIAAAACIAAABkcnMvZG93bnJldi54bWxQSwECFAAUAAAACACHTuJA6ZKLvUgCAACWBAAADgAA&#10;AAAAAAABACAAAAAqAQAAZHJzL2Uyb0RvYy54bWxQSwUGAAAAAAYABgBZAQAA5AU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mc:Fallback>
        </mc:AlternateContent>
      </w:r>
      <w:r>
        <w:rPr>
          <w:rFonts w:ascii="仿宋" w:hAnsi="仿宋" w:eastAsia="仿宋"/>
          <w:bCs/>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44.7pt;margin-top:9.65pt;height:149.25pt;width:234pt;z-index:251661312;mso-width-relative:page;mso-height-relative:page;" fillcolor="#FFFFFF" filled="t" stroked="t" coordsize="21600,21600" o:gfxdata="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eo11nbAAAACgEAAA8AAAAAAAAA&#10;AQAgAAAAIgAAAGRycy9kb3ducmV2LnhtbFBLAQIUABQAAAAIAIdO4kApZ53FRwIAAJYEAAAOAAAA&#10;AAAAAAEAIAAAACoBAABkcnMvZTJvRG9jLnhtbFBLBQYAAAAABgAGAFkBAADjBQAAAAA=&#10;">
                <v:fill on="t" focussize="0,0"/>
                <v:stroke color="#000000" miterlimit="2" joinstyle="miter"/>
                <v:imagedata o:title=""/>
                <o:lock v:ext="edit" aspectratio="f"/>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mc:Fallback>
        </mc:AlternateContent>
      </w: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shd w:val="clear" w:color="auto" w:fill="FFFFFF"/>
        <w:spacing w:line="440" w:lineRule="exact"/>
        <w:rPr>
          <w:rFonts w:ascii="仿宋" w:hAnsi="仿宋" w:eastAsia="仿宋"/>
          <w:bCs/>
          <w:color w:val="000000" w:themeColor="text1"/>
          <w:sz w:val="24"/>
          <w14:textFill>
            <w14:solidFill>
              <w14:schemeClr w14:val="tx1"/>
            </w14:solidFill>
          </w14:textFill>
        </w:rPr>
      </w:pPr>
    </w:p>
    <w:p>
      <w:pPr>
        <w:pStyle w:val="308"/>
        <w:shd w:val="clear" w:color="auto" w:fill="FFFFFF"/>
        <w:snapToGrid w:val="0"/>
        <w:spacing w:line="440" w:lineRule="exact"/>
        <w:ind w:firstLine="210"/>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40" w:lineRule="exact"/>
        <w:ind w:firstLine="210"/>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40" w:lineRule="exact"/>
        <w:ind w:firstLine="210"/>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法定代表人（或负责人）（签字或签章）：</w:t>
      </w:r>
    </w:p>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授权代理人（签字或签章）：</w:t>
      </w:r>
    </w:p>
    <w:p>
      <w:pPr>
        <w:widowControl/>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widowControl/>
        <w:spacing w:line="440" w:lineRule="exact"/>
        <w:jc w:val="left"/>
        <w:rPr>
          <w:rFonts w:ascii="仿宋" w:hAnsi="仿宋" w:eastAsia="仿宋"/>
          <w:color w:val="000000" w:themeColor="text1"/>
          <w:sz w:val="24"/>
          <w14:textFill>
            <w14:solidFill>
              <w14:schemeClr w14:val="tx1"/>
            </w14:solidFill>
          </w14:textFill>
        </w:rPr>
      </w:pPr>
    </w:p>
    <w:p>
      <w:pPr>
        <w:widowControl/>
        <w:spacing w:line="440" w:lineRule="exact"/>
        <w:jc w:val="left"/>
        <w:rPr>
          <w:rFonts w:ascii="仿宋" w:hAnsi="仿宋" w:eastAsia="仿宋"/>
          <w:color w:val="000000" w:themeColor="text1"/>
          <w:sz w:val="24"/>
          <w14:textFill>
            <w14:solidFill>
              <w14:schemeClr w14:val="tx1"/>
            </w14:solidFill>
          </w14:textFill>
        </w:rPr>
      </w:pPr>
    </w:p>
    <w:p>
      <w:pPr>
        <w:widowControl/>
        <w:rPr>
          <w:rFonts w:ascii="仿宋" w:hAnsi="仿宋" w:eastAsia="仿宋"/>
          <w:color w:val="000000" w:themeColor="text1"/>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r>
        <w:rPr>
          <w:rFonts w:hint="eastAsia" w:ascii="仿宋" w:hAnsi="仿宋" w:eastAsia="仿宋"/>
          <w:b/>
          <w:bCs/>
          <w:color w:val="000000" w:themeColor="text1"/>
          <w:sz w:val="24"/>
          <w14:textFill>
            <w14:solidFill>
              <w14:schemeClr w14:val="tx1"/>
            </w14:solidFill>
          </w14:textFill>
        </w:rPr>
        <w:t>附件三</w:t>
      </w:r>
    </w:p>
    <w:p>
      <w:pPr>
        <w:widowControl/>
        <w:jc w:val="left"/>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中小企业声明函格式</w:t>
      </w:r>
    </w:p>
    <w:p>
      <w:pPr>
        <w:widowControl/>
        <w:rPr>
          <w:rFonts w:ascii="仿宋" w:hAnsi="仿宋" w:eastAsia="仿宋" w:cs="仿宋"/>
          <w:color w:val="000000" w:themeColor="text1"/>
          <w:sz w:val="24"/>
          <w14:textFill>
            <w14:solidFill>
              <w14:schemeClr w14:val="tx1"/>
            </w14:solidFill>
          </w14:textFill>
        </w:rPr>
      </w:pPr>
    </w:p>
    <w:p>
      <w:pPr>
        <w:shd w:val="clear" w:color="auto" w:fill="FFFFFF"/>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中小企业声明函(（货物)）</w:t>
      </w:r>
    </w:p>
    <w:p>
      <w:pPr>
        <w:widowControl/>
        <w:jc w:val="left"/>
        <w:rPr>
          <w:rFonts w:ascii="仿宋" w:hAnsi="仿宋" w:eastAsia="仿宋" w:cs="仿宋"/>
          <w:color w:val="000000" w:themeColor="text1"/>
          <w:sz w:val="24"/>
          <w14:textFill>
            <w14:solidFill>
              <w14:schemeClr w14:val="tx1"/>
            </w14:solidFill>
          </w14:textFill>
        </w:rPr>
      </w:pP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4"/>
          <w:u w:val="single"/>
          <w14:textFill>
            <w14:solidFill>
              <w14:schemeClr w14:val="tx1"/>
            </w14:solidFill>
          </w14:textFill>
        </w:rPr>
        <w:t>（单位名称）</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（标项名称）</w:t>
      </w:r>
      <w:r>
        <w:rPr>
          <w:rFonts w:hint="eastAsia" w:ascii="仿宋" w:hAnsi="仿宋" w:eastAsia="仿宋" w:cs="仿宋"/>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 的具体情况如下：</w:t>
      </w: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 </w:t>
      </w:r>
      <w:r>
        <w:rPr>
          <w:rFonts w:hint="eastAsia" w:ascii="仿宋" w:hAnsi="仿宋" w:eastAsia="仿宋" w:cs="仿宋"/>
          <w:color w:val="000000" w:themeColor="text1"/>
          <w:sz w:val="24"/>
          <w:u w:val="single"/>
          <w14:textFill>
            <w14:solidFill>
              <w14:schemeClr w14:val="tx1"/>
            </w14:solidFill>
          </w14:textFill>
        </w:rPr>
        <w:t xml:space="preserve">（ 标 的 名 称 ） </w:t>
      </w:r>
      <w:r>
        <w:rPr>
          <w:rFonts w:hint="eastAsia" w:ascii="仿宋" w:hAnsi="仿宋" w:eastAsia="仿宋" w:cs="仿宋"/>
          <w:color w:val="000000" w:themeColor="text1"/>
          <w:sz w:val="24"/>
          <w14:textFill>
            <w14:solidFill>
              <w14:schemeClr w14:val="tx1"/>
            </w14:solidFill>
          </w14:textFill>
        </w:rPr>
        <w:t xml:space="preserve">， 属 于 </w:t>
      </w:r>
      <w:r>
        <w:rPr>
          <w:rFonts w:hint="eastAsia" w:ascii="仿宋" w:hAnsi="仿宋" w:eastAsia="仿宋" w:cs="仿宋"/>
          <w:color w:val="000000" w:themeColor="text1"/>
          <w:sz w:val="24"/>
          <w:u w:val="single"/>
          <w14:textFill>
            <w14:solidFill>
              <w14:schemeClr w14:val="tx1"/>
            </w14:solidFill>
          </w14:textFill>
        </w:rPr>
        <w:t>（ 请按前附表 中 明 确 的 所 属 行 业 填写）</w:t>
      </w:r>
      <w:r>
        <w:rPr>
          <w:rFonts w:hint="eastAsia" w:ascii="仿宋" w:hAnsi="仿宋" w:eastAsia="仿宋" w:cs="仿宋"/>
          <w:color w:val="000000" w:themeColor="text1"/>
          <w:sz w:val="24"/>
          <w14:textFill>
            <w14:solidFill>
              <w14:schemeClr w14:val="tx1"/>
            </w14:solidFill>
          </w14:textFill>
        </w:rPr>
        <w:t xml:space="preserve"> 行业；制造商为</w:t>
      </w:r>
      <w:r>
        <w:rPr>
          <w:rFonts w:hint="eastAsia" w:ascii="仿宋" w:hAnsi="仿宋" w:eastAsia="仿宋" w:cs="仿宋"/>
          <w:color w:val="000000" w:themeColor="text1"/>
          <w:sz w:val="24"/>
          <w:u w:val="single"/>
          <w14:textFill>
            <w14:solidFill>
              <w14:schemeClr w14:val="tx1"/>
            </w14:solidFill>
          </w14:textFill>
        </w:rPr>
        <w:t xml:space="preserve">（企业名称）   </w:t>
      </w:r>
      <w:r>
        <w:rPr>
          <w:rFonts w:hint="eastAsia" w:ascii="仿宋" w:hAnsi="仿宋" w:eastAsia="仿宋" w:cs="仿宋"/>
          <w:color w:val="000000" w:themeColor="text1"/>
          <w:sz w:val="24"/>
          <w14:textFill>
            <w14:solidFill>
              <w14:schemeClr w14:val="tx1"/>
            </w14:solidFill>
          </w14:textFill>
        </w:rPr>
        <w:t>，从业人员</w:t>
      </w:r>
      <w:r>
        <w:rPr>
          <w:rFonts w:hint="eastAsia" w:ascii="仿宋" w:hAnsi="仿宋" w:eastAsia="仿宋" w:cs="仿宋"/>
          <w:color w:val="000000" w:themeColor="text1"/>
          <w:sz w:val="24"/>
          <w:u w:val="single"/>
          <w14:textFill>
            <w14:solidFill>
              <w14:schemeClr w14:val="tx1"/>
            </w14:solidFill>
          </w14:textFill>
        </w:rPr>
        <w:t xml:space="preserve">  （填写人数）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（填写金额）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（填写金额）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（中型企业、小型企业、微型企业）（请明确注明企业类型）</w:t>
      </w:r>
      <w:r>
        <w:rPr>
          <w:rFonts w:hint="eastAsia" w:ascii="仿宋" w:hAnsi="仿宋" w:eastAsia="仿宋" w:cs="仿宋"/>
          <w:color w:val="000000" w:themeColor="text1"/>
          <w:sz w:val="24"/>
          <w14:textFill>
            <w14:solidFill>
              <w14:schemeClr w14:val="tx1"/>
            </w14:solidFill>
          </w14:textFill>
        </w:rPr>
        <w:t>；</w:t>
      </w: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 </w:t>
      </w:r>
      <w:r>
        <w:rPr>
          <w:rFonts w:hint="eastAsia" w:ascii="仿宋" w:hAnsi="仿宋" w:eastAsia="仿宋" w:cs="仿宋"/>
          <w:color w:val="000000" w:themeColor="text1"/>
          <w:sz w:val="24"/>
          <w:u w:val="single"/>
          <w14:textFill>
            <w14:solidFill>
              <w14:schemeClr w14:val="tx1"/>
            </w14:solidFill>
          </w14:textFill>
        </w:rPr>
        <w:t xml:space="preserve">（ 标 的 名 称 ） </w:t>
      </w:r>
      <w:r>
        <w:rPr>
          <w:rFonts w:hint="eastAsia" w:ascii="仿宋" w:hAnsi="仿宋" w:eastAsia="仿宋" w:cs="仿宋"/>
          <w:color w:val="000000" w:themeColor="text1"/>
          <w:sz w:val="24"/>
          <w14:textFill>
            <w14:solidFill>
              <w14:schemeClr w14:val="tx1"/>
            </w14:solidFill>
          </w14:textFill>
        </w:rPr>
        <w:t xml:space="preserve">， 属 于 </w:t>
      </w:r>
      <w:r>
        <w:rPr>
          <w:rFonts w:hint="eastAsia" w:ascii="仿宋" w:hAnsi="仿宋" w:eastAsia="仿宋" w:cs="仿宋"/>
          <w:color w:val="000000" w:themeColor="text1"/>
          <w:sz w:val="24"/>
          <w:u w:val="single"/>
          <w14:textFill>
            <w14:solidFill>
              <w14:schemeClr w14:val="tx1"/>
            </w14:solidFill>
          </w14:textFill>
        </w:rPr>
        <w:t>（ 请按前附表 中 明 确 的 所 属 行 业 填写）</w:t>
      </w:r>
      <w:r>
        <w:rPr>
          <w:rFonts w:hint="eastAsia" w:ascii="仿宋" w:hAnsi="仿宋" w:eastAsia="仿宋" w:cs="仿宋"/>
          <w:color w:val="000000" w:themeColor="text1"/>
          <w:sz w:val="24"/>
          <w14:textFill>
            <w14:solidFill>
              <w14:schemeClr w14:val="tx1"/>
            </w14:solidFill>
          </w14:textFill>
        </w:rPr>
        <w:t xml:space="preserve"> 行业；制造商为</w:t>
      </w:r>
      <w:r>
        <w:rPr>
          <w:rFonts w:hint="eastAsia" w:ascii="仿宋" w:hAnsi="仿宋" w:eastAsia="仿宋" w:cs="仿宋"/>
          <w:color w:val="000000" w:themeColor="text1"/>
          <w:sz w:val="24"/>
          <w:u w:val="single"/>
          <w14:textFill>
            <w14:solidFill>
              <w14:schemeClr w14:val="tx1"/>
            </w14:solidFill>
          </w14:textFill>
        </w:rPr>
        <w:t xml:space="preserve">（企业名称）   </w:t>
      </w:r>
      <w:r>
        <w:rPr>
          <w:rFonts w:hint="eastAsia" w:ascii="仿宋" w:hAnsi="仿宋" w:eastAsia="仿宋" w:cs="仿宋"/>
          <w:color w:val="000000" w:themeColor="text1"/>
          <w:sz w:val="24"/>
          <w14:textFill>
            <w14:solidFill>
              <w14:schemeClr w14:val="tx1"/>
            </w14:solidFill>
          </w14:textFill>
        </w:rPr>
        <w:t>，从业人员</w:t>
      </w:r>
      <w:r>
        <w:rPr>
          <w:rFonts w:hint="eastAsia" w:ascii="仿宋" w:hAnsi="仿宋" w:eastAsia="仿宋" w:cs="仿宋"/>
          <w:color w:val="000000" w:themeColor="text1"/>
          <w:sz w:val="24"/>
          <w:u w:val="single"/>
          <w14:textFill>
            <w14:solidFill>
              <w14:schemeClr w14:val="tx1"/>
            </w14:solidFill>
          </w14:textFill>
        </w:rPr>
        <w:t xml:space="preserve">  （填写人数）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（填写金额）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（填写金额）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（中型企业、小型企业、微型企业）（请明确注明企业类型）</w:t>
      </w:r>
      <w:r>
        <w:rPr>
          <w:rFonts w:hint="eastAsia" w:ascii="仿宋" w:hAnsi="仿宋" w:eastAsia="仿宋" w:cs="仿宋"/>
          <w:color w:val="000000" w:themeColor="text1"/>
          <w:sz w:val="24"/>
          <w14:textFill>
            <w14:solidFill>
              <w14:schemeClr w14:val="tx1"/>
            </w14:solidFill>
          </w14:textFill>
        </w:rPr>
        <w:t>；</w:t>
      </w: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widowControl/>
        <w:spacing w:line="360" w:lineRule="exact"/>
        <w:jc w:val="left"/>
        <w:rPr>
          <w:rFonts w:ascii="仿宋" w:hAnsi="仿宋" w:eastAsia="仿宋" w:cs="仿宋"/>
          <w:color w:val="000000" w:themeColor="text1"/>
          <w:sz w:val="24"/>
          <w14:textFill>
            <w14:solidFill>
              <w14:schemeClr w14:val="tx1"/>
            </w14:solidFill>
          </w14:textFill>
        </w:rPr>
      </w:pPr>
    </w:p>
    <w:p>
      <w:pPr>
        <w:widowControl/>
        <w:spacing w:line="360" w:lineRule="exact"/>
        <w:jc w:val="left"/>
        <w:rPr>
          <w:rFonts w:ascii="仿宋" w:hAnsi="仿宋" w:eastAsia="仿宋" w:cs="仿宋"/>
          <w:color w:val="000000" w:themeColor="text1"/>
          <w:sz w:val="24"/>
          <w14:textFill>
            <w14:solidFill>
              <w14:schemeClr w14:val="tx1"/>
            </w14:solidFill>
          </w14:textFill>
        </w:rPr>
      </w:pPr>
    </w:p>
    <w:p>
      <w:pPr>
        <w:widowControl/>
        <w:spacing w:line="440" w:lineRule="exact"/>
        <w:ind w:right="48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1"/>
          <w:sz w:val="24"/>
          <w14:textFill>
            <w14:solidFill>
              <w14:schemeClr w14:val="tx1"/>
            </w14:solidFill>
          </w14:textFill>
        </w:rPr>
        <w:t>投标供应商</w:t>
      </w:r>
      <w:r>
        <w:rPr>
          <w:rFonts w:hint="eastAsia" w:ascii="仿宋" w:hAnsi="仿宋" w:eastAsia="仿宋" w:cs="仿宋"/>
          <w:color w:val="000000" w:themeColor="text1"/>
          <w:sz w:val="24"/>
          <w14:textFill>
            <w14:solidFill>
              <w14:schemeClr w14:val="tx1"/>
            </w14:solidFill>
          </w14:textFill>
        </w:rPr>
        <w:t xml:space="preserve">（盖公章）：  </w:t>
      </w:r>
    </w:p>
    <w:p>
      <w:pPr>
        <w:widowControl/>
        <w:spacing w:line="440" w:lineRule="exact"/>
        <w:ind w:right="36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widowControl/>
        <w:spacing w:line="360" w:lineRule="exact"/>
        <w:jc w:val="left"/>
        <w:rPr>
          <w:rFonts w:ascii="仿宋" w:hAnsi="仿宋" w:eastAsia="仿宋" w:cs="仿宋"/>
          <w:color w:val="000000" w:themeColor="text1"/>
          <w:sz w:val="24"/>
          <w14:textFill>
            <w14:solidFill>
              <w14:schemeClr w14:val="tx1"/>
            </w14:solidFill>
          </w14:textFill>
        </w:rPr>
      </w:pPr>
    </w:p>
    <w:p>
      <w:pPr>
        <w:widowControl/>
        <w:spacing w:line="360" w:lineRule="exact"/>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注：1.上述“标的名称”严格按照前附表第1项“采购内容”完整填写，不接受缺漏项。</w:t>
      </w:r>
    </w:p>
    <w:p>
      <w:pPr>
        <w:widowControl/>
        <w:spacing w:line="36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2.从业人员、营业收入、资产总额填报上一年度数据，无上一年度数据的新成立企业可不填报。</w:t>
      </w:r>
    </w:p>
    <w:p>
      <w:pPr>
        <w:widowControl/>
        <w:spacing w:line="36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3.供应商提供由省级以上监狱管理局、戒毒管理局（含新疆生产建设兵团）出具的属于监狱企业证明文件的，视同为小型和微型企业。</w:t>
      </w:r>
    </w:p>
    <w:p>
      <w:pPr>
        <w:widowControl/>
        <w:spacing w:line="36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4.中小企业声明函务必按照招标文件给定格式提供，供应商须如实填报相关信息，根据中小企业划型标准规定（工信部联企业【2011】300号），自行勾选企业类型。</w:t>
      </w:r>
    </w:p>
    <w:p>
      <w:pPr>
        <w:jc w:val="center"/>
        <w:rPr>
          <w:rFonts w:ascii="仿宋" w:hAnsi="仿宋" w:eastAsia="仿宋" w:cs="仿宋"/>
          <w:b/>
          <w:color w:val="000000" w:themeColor="text1"/>
          <w:sz w:val="24"/>
          <w14:textFill>
            <w14:solidFill>
              <w14:schemeClr w14:val="tx1"/>
            </w14:solidFill>
          </w14:textFill>
        </w:rPr>
      </w:pPr>
    </w:p>
    <w:p>
      <w:pPr>
        <w:shd w:val="clear" w:color="auto" w:fill="FFFFFF"/>
        <w:spacing w:line="440" w:lineRule="exact"/>
        <w:rPr>
          <w:rFonts w:ascii="仿宋" w:hAnsi="仿宋" w:eastAsia="仿宋" w:cs="仿宋"/>
          <w:b/>
          <w:bCs/>
          <w:color w:val="000000" w:themeColor="text1"/>
          <w:sz w:val="24"/>
          <w14:textFill>
            <w14:solidFill>
              <w14:schemeClr w14:val="tx1"/>
            </w14:solidFill>
          </w14:textFill>
        </w:rPr>
      </w:pPr>
    </w:p>
    <w:p>
      <w:pPr>
        <w:shd w:val="clear" w:color="auto" w:fill="FFFFFF"/>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残疾人福利性单位声明函</w:t>
      </w:r>
    </w:p>
    <w:p>
      <w:pPr>
        <w:widowControl/>
        <w:jc w:val="left"/>
        <w:rPr>
          <w:rFonts w:ascii="仿宋" w:hAnsi="仿宋" w:eastAsia="仿宋" w:cs="仿宋"/>
          <w:color w:val="000000" w:themeColor="text1"/>
          <w:sz w:val="24"/>
          <w14:textFill>
            <w14:solidFill>
              <w14:schemeClr w14:val="tx1"/>
            </w14:solidFill>
          </w14:textFill>
        </w:rPr>
      </w:pPr>
    </w:p>
    <w:p>
      <w:pPr>
        <w:widowControl/>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pPr>
        <w:widowControl/>
        <w:spacing w:line="400" w:lineRule="exact"/>
        <w:jc w:val="left"/>
        <w:rPr>
          <w:rFonts w:ascii="仿宋" w:hAnsi="仿宋" w:eastAsia="仿宋" w:cs="仿宋"/>
          <w:color w:val="000000" w:themeColor="text1"/>
          <w:sz w:val="24"/>
          <w14:textFill>
            <w14:solidFill>
              <w14:schemeClr w14:val="tx1"/>
            </w14:solidFill>
          </w14:textFill>
        </w:rPr>
      </w:pPr>
    </w:p>
    <w:p>
      <w:pPr>
        <w:widowControl/>
        <w:spacing w:line="400" w:lineRule="exact"/>
        <w:jc w:val="left"/>
        <w:rPr>
          <w:rFonts w:ascii="仿宋" w:hAnsi="仿宋" w:eastAsia="仿宋" w:cs="仿宋"/>
          <w:color w:val="000000" w:themeColor="text1"/>
          <w:sz w:val="24"/>
          <w14:textFill>
            <w14:solidFill>
              <w14:schemeClr w14:val="tx1"/>
            </w14:solidFill>
          </w14:textFill>
        </w:rPr>
      </w:pPr>
    </w:p>
    <w:p>
      <w:pPr>
        <w:widowControl/>
        <w:spacing w:line="400" w:lineRule="exact"/>
        <w:jc w:val="left"/>
        <w:rPr>
          <w:rFonts w:ascii="仿宋" w:hAnsi="仿宋" w:eastAsia="仿宋" w:cs="仿宋"/>
          <w:color w:val="000000" w:themeColor="text1"/>
          <w:sz w:val="24"/>
          <w14:textFill>
            <w14:solidFill>
              <w14:schemeClr w14:val="tx1"/>
            </w14:solidFill>
          </w14:textFill>
        </w:rPr>
      </w:pPr>
    </w:p>
    <w:p>
      <w:pPr>
        <w:widowControl/>
        <w:spacing w:line="400" w:lineRule="exact"/>
        <w:jc w:val="left"/>
        <w:rPr>
          <w:rFonts w:ascii="仿宋" w:hAnsi="仿宋" w:eastAsia="仿宋" w:cs="仿宋"/>
          <w:color w:val="000000" w:themeColor="text1"/>
          <w:sz w:val="24"/>
          <w14:textFill>
            <w14:solidFill>
              <w14:schemeClr w14:val="tx1"/>
            </w14:solidFill>
          </w14:textFill>
        </w:rPr>
      </w:pPr>
    </w:p>
    <w:p>
      <w:pPr>
        <w:widowControl/>
        <w:spacing w:line="400" w:lineRule="exact"/>
        <w:jc w:val="left"/>
        <w:rPr>
          <w:rFonts w:ascii="仿宋" w:hAnsi="仿宋" w:eastAsia="仿宋" w:cs="仿宋"/>
          <w:color w:val="000000" w:themeColor="text1"/>
          <w:sz w:val="24"/>
          <w14:textFill>
            <w14:solidFill>
              <w14:schemeClr w14:val="tx1"/>
            </w14:solidFill>
          </w14:textFill>
        </w:rPr>
      </w:pPr>
    </w:p>
    <w:p>
      <w:pPr>
        <w:pStyle w:val="731"/>
        <w:spacing w:line="440" w:lineRule="exact"/>
        <w:ind w:firstLine="504"/>
        <w:rPr>
          <w:rFonts w:ascii="仿宋" w:hAnsi="仿宋" w:eastAsia="仿宋" w:cs="仿宋"/>
          <w:snapToGrid/>
          <w:color w:val="000000" w:themeColor="text1"/>
          <w:spacing w:val="6"/>
          <w:sz w:val="24"/>
          <w:szCs w:val="24"/>
          <w:lang w:eastAsia="zh-CN"/>
          <w14:textFill>
            <w14:solidFill>
              <w14:schemeClr w14:val="tx1"/>
            </w14:solidFill>
          </w14:textFill>
        </w:rPr>
      </w:pPr>
      <w:r>
        <w:rPr>
          <w:rFonts w:hint="eastAsia" w:ascii="仿宋" w:hAnsi="仿宋" w:eastAsia="仿宋" w:cs="仿宋"/>
          <w:snapToGrid/>
          <w:color w:val="000000" w:themeColor="text1"/>
          <w:spacing w:val="6"/>
          <w:sz w:val="24"/>
          <w:szCs w:val="24"/>
          <w:lang w:eastAsia="zh-CN"/>
          <w14:textFill>
            <w14:solidFill>
              <w14:schemeClr w14:val="tx1"/>
            </w14:solidFill>
          </w14:textFill>
        </w:rPr>
        <w:t>供应商（公章）：</w:t>
      </w:r>
    </w:p>
    <w:p>
      <w:pPr>
        <w:pStyle w:val="731"/>
        <w:spacing w:line="440" w:lineRule="exact"/>
        <w:ind w:firstLine="3528" w:firstLineChars="1400"/>
        <w:rPr>
          <w:rFonts w:ascii="仿宋" w:hAnsi="仿宋" w:eastAsia="仿宋" w:cs="仿宋"/>
          <w:snapToGrid/>
          <w:color w:val="000000" w:themeColor="text1"/>
          <w:spacing w:val="6"/>
          <w:sz w:val="24"/>
          <w:szCs w:val="24"/>
          <w:lang w:eastAsia="zh-CN"/>
          <w14:textFill>
            <w14:solidFill>
              <w14:schemeClr w14:val="tx1"/>
            </w14:solidFill>
          </w14:textFill>
        </w:rPr>
      </w:pPr>
      <w:r>
        <w:rPr>
          <w:rFonts w:hint="eastAsia" w:ascii="仿宋" w:hAnsi="仿宋" w:eastAsia="仿宋" w:cs="仿宋"/>
          <w:snapToGrid/>
          <w:color w:val="000000" w:themeColor="text1"/>
          <w:spacing w:val="6"/>
          <w:sz w:val="24"/>
          <w:szCs w:val="24"/>
          <w:lang w:eastAsia="zh-CN"/>
          <w14:textFill>
            <w14:solidFill>
              <w14:schemeClr w14:val="tx1"/>
            </w14:solidFill>
          </w14:textFill>
        </w:rPr>
        <w:t xml:space="preserve">              授权代理人（签字或签章）：</w:t>
      </w:r>
    </w:p>
    <w:p>
      <w:pPr>
        <w:widowControl/>
        <w:spacing w:line="440" w:lineRule="exact"/>
        <w:jc w:val="left"/>
        <w:rPr>
          <w:rFonts w:ascii="仿宋" w:hAnsi="仿宋" w:eastAsia="仿宋" w:cs="仿宋"/>
          <w:color w:val="000000" w:themeColor="text1"/>
          <w:spacing w:val="6"/>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 xml:space="preserve">                                         日期：   年  月   日</w:t>
      </w:r>
    </w:p>
    <w:p>
      <w:pPr>
        <w:widowControl/>
        <w:jc w:val="left"/>
        <w:rPr>
          <w:rFonts w:ascii="仿宋" w:hAnsi="仿宋" w:eastAsia="仿宋"/>
          <w:b/>
          <w:bCs/>
          <w:color w:val="000000" w:themeColor="text1"/>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p>
    <w:p>
      <w:pPr>
        <w:widowControl/>
        <w:spacing w:line="440" w:lineRule="exact"/>
        <w:jc w:val="left"/>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附件四  供应商开标前三个月内任意一个月依法纳税、缴纳社会保险相关证明资料</w:t>
      </w:r>
    </w:p>
    <w:p>
      <w:pPr>
        <w:widowControl/>
        <w:spacing w:line="440" w:lineRule="exact"/>
        <w:ind w:firstLine="1320" w:firstLineChars="550"/>
        <w:jc w:val="left"/>
        <w:rPr>
          <w:rFonts w:ascii="仿宋" w:hAnsi="仿宋" w:eastAsia="仿宋"/>
          <w:bCs/>
          <w:color w:val="000000" w:themeColor="text1"/>
          <w:sz w:val="24"/>
          <w14:textFill>
            <w14:solidFill>
              <w14:schemeClr w14:val="tx1"/>
            </w14:solidFill>
          </w14:textFill>
        </w:rPr>
      </w:pPr>
    </w:p>
    <w:p>
      <w:pPr>
        <w:widowControl/>
        <w:spacing w:line="440" w:lineRule="exact"/>
        <w:jc w:val="left"/>
        <w:rPr>
          <w:rFonts w:ascii="仿宋" w:hAnsi="仿宋" w:eastAsia="仿宋"/>
          <w:b/>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r>
        <w:rPr>
          <w:rFonts w:hint="eastAsia" w:ascii="仿宋" w:hAnsi="仿宋" w:eastAsia="仿宋"/>
          <w:b/>
          <w:bCs/>
          <w:color w:val="000000" w:themeColor="text1"/>
          <w:kern w:val="0"/>
          <w:sz w:val="24"/>
          <w14:textFill>
            <w14:solidFill>
              <w14:schemeClr w14:val="tx1"/>
            </w14:solidFill>
          </w14:textFill>
        </w:rPr>
        <w:t xml:space="preserve">附件五 </w:t>
      </w:r>
      <w:r>
        <w:rPr>
          <w:rFonts w:hint="eastAsia" w:ascii="仿宋" w:hAnsi="仿宋" w:eastAsia="仿宋" w:cs="仿宋"/>
          <w:b/>
          <w:bCs/>
          <w:color w:val="000000" w:themeColor="text1"/>
          <w:kern w:val="0"/>
          <w:sz w:val="24"/>
          <w14:textFill>
            <w14:solidFill>
              <w14:schemeClr w14:val="tx1"/>
            </w14:solidFill>
          </w14:textFill>
        </w:rPr>
        <w:t>供应商是法人组织的应提供经第三方审计的上一年度（2023年）的财务审计报告；自成立到投标截止时间，未跨一个自然年度的须提供近一个季度的财务报表或开标前三个月内基本开户银行出具的资信证明</w:t>
      </w:r>
      <w:r>
        <w:rPr>
          <w:rFonts w:ascii="仿宋" w:hAnsi="仿宋" w:eastAsia="仿宋"/>
          <w:b/>
          <w:bCs/>
          <w:color w:val="000000" w:themeColor="text1"/>
          <w:kern w:val="0"/>
          <w:sz w:val="24"/>
          <w14:textFill>
            <w14:solidFill>
              <w14:schemeClr w14:val="tx1"/>
            </w14:solidFill>
          </w14:textFill>
        </w:rPr>
        <w:br w:type="page"/>
      </w:r>
    </w:p>
    <w:p>
      <w:pPr>
        <w:shd w:val="clear" w:color="auto" w:fill="FFFFFF"/>
        <w:spacing w:line="440" w:lineRule="exact"/>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附件六</w:t>
      </w:r>
      <w:r>
        <w:rPr>
          <w:rFonts w:hint="eastAsia" w:ascii="仿宋" w:hAnsi="仿宋" w:eastAsia="仿宋" w:cs="仿宋"/>
          <w:b/>
          <w:bCs/>
          <w:color w:val="000000" w:themeColor="text1"/>
          <w:kern w:val="0"/>
          <w:sz w:val="24"/>
          <w14:textFill>
            <w14:solidFill>
              <w14:schemeClr w14:val="tx1"/>
            </w14:solidFill>
          </w14:textFill>
        </w:rPr>
        <w:t xml:space="preserve"> 供应商参加本次政府采购活动前3年内在经营活动中没有重大违法记录的书面声明</w:t>
      </w:r>
    </w:p>
    <w:p>
      <w:pPr>
        <w:shd w:val="clear" w:color="auto" w:fill="FFFFFF"/>
        <w:spacing w:beforeLines="100" w:afterLines="100"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无重大违法记录声明书</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致：（采购人）</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p>
    <w:p>
      <w:pPr>
        <w:shd w:val="clear" w:color="auto" w:fill="FFFFFF"/>
        <w:tabs>
          <w:tab w:val="left" w:pos="996"/>
        </w:tabs>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我公司参与</w:t>
      </w:r>
      <w:r>
        <w:rPr>
          <w:rFonts w:hint="eastAsia" w:ascii="仿宋" w:hAnsi="仿宋" w:eastAsia="仿宋" w:cs="仿宋"/>
          <w:color w:val="000000" w:themeColor="text1"/>
          <w:sz w:val="24"/>
          <w:u w:val="single"/>
          <w14:textFill>
            <w14:solidFill>
              <w14:schemeClr w14:val="tx1"/>
            </w14:solidFill>
          </w14:textFill>
        </w:rPr>
        <w:t>（标项名称、项目编号）</w:t>
      </w:r>
      <w:r>
        <w:rPr>
          <w:rFonts w:hint="eastAsia" w:ascii="仿宋" w:hAnsi="仿宋" w:eastAsia="仿宋" w:cs="仿宋"/>
          <w:color w:val="000000" w:themeColor="text1"/>
          <w:sz w:val="24"/>
          <w14:textFill>
            <w14:solidFill>
              <w14:schemeClr w14:val="tx1"/>
            </w14:solidFill>
          </w14:textFill>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特此声明  </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供应商（盖公章）：</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法定代表人（签字或签章）：</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授权代理人（签字或签章）：</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日期：年月日</w:t>
      </w:r>
    </w:p>
    <w:p>
      <w:pPr>
        <w:shd w:val="clear" w:color="auto" w:fill="FFFFFF"/>
        <w:tabs>
          <w:tab w:val="left" w:pos="996"/>
        </w:tabs>
        <w:spacing w:line="440" w:lineRule="exact"/>
        <w:rPr>
          <w:rFonts w:ascii="仿宋" w:hAnsi="仿宋" w:eastAsia="仿宋" w:cs="仿宋"/>
          <w:color w:val="000000" w:themeColor="text1"/>
          <w:sz w:val="24"/>
          <w14:textFill>
            <w14:solidFill>
              <w14:schemeClr w14:val="tx1"/>
            </w14:solidFill>
          </w14:textFill>
        </w:rPr>
      </w:pPr>
    </w:p>
    <w:p>
      <w:pPr>
        <w:widowControl/>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注：[近三年：指成立三年以上的，为提交首次投标文件截止时间前三年内；成立不足三年的，为实际时间。]</w:t>
      </w:r>
    </w:p>
    <w:p>
      <w:pPr>
        <w:widowControl/>
        <w:spacing w:line="440" w:lineRule="exact"/>
        <w:jc w:val="left"/>
        <w:rPr>
          <w:rFonts w:ascii="仿宋" w:hAnsi="仿宋" w:eastAsia="仿宋" w:cs="仿宋"/>
          <w:color w:val="000000" w:themeColor="text1"/>
          <w:sz w:val="24"/>
          <w14:textFill>
            <w14:solidFill>
              <w14:schemeClr w14:val="tx1"/>
            </w14:solidFill>
          </w14:textFill>
        </w:rPr>
      </w:pPr>
    </w:p>
    <w:p>
      <w:pPr>
        <w:widowControl/>
        <w:jc w:val="left"/>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p>
    <w:p>
      <w:pPr>
        <w:shd w:val="clear" w:color="auto" w:fill="FFFFFF"/>
        <w:spacing w:line="440" w:lineRule="exact"/>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附件七  投标保证金缴纳凭证</w:t>
      </w:r>
    </w:p>
    <w:p>
      <w:pPr>
        <w:spacing w:line="46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此处请附： 投标保证金缴纳凭证</w:t>
      </w:r>
    </w:p>
    <w:p>
      <w:pPr>
        <w:spacing w:line="460" w:lineRule="exact"/>
        <w:ind w:firstLine="1320" w:firstLineChars="550"/>
        <w:rPr>
          <w:rFonts w:ascii="仿宋" w:hAnsi="仿宋" w:eastAsia="仿宋"/>
          <w:color w:val="000000" w:themeColor="text1"/>
          <w:kern w:val="0"/>
          <w:sz w:val="24"/>
          <w14:textFill>
            <w14:solidFill>
              <w14:schemeClr w14:val="tx1"/>
            </w14:solidFill>
          </w14:textFill>
        </w:rPr>
      </w:pPr>
    </w:p>
    <w:p>
      <w:pPr>
        <w:spacing w:line="460" w:lineRule="exact"/>
        <w:ind w:firstLine="1320" w:firstLineChars="550"/>
        <w:rPr>
          <w:rFonts w:ascii="仿宋" w:hAnsi="仿宋" w:eastAsia="仿宋"/>
          <w:color w:val="000000" w:themeColor="text1"/>
          <w:kern w:val="0"/>
          <w:sz w:val="24"/>
          <w14:textFill>
            <w14:solidFill>
              <w14:schemeClr w14:val="tx1"/>
            </w14:solidFill>
          </w14:textFill>
        </w:rPr>
      </w:pPr>
    </w:p>
    <w:p>
      <w:pPr>
        <w:spacing w:line="460" w:lineRule="exact"/>
        <w:ind w:firstLine="1320" w:firstLineChars="550"/>
        <w:rPr>
          <w:rFonts w:ascii="仿宋" w:hAnsi="仿宋" w:eastAsia="仿宋"/>
          <w:color w:val="000000" w:themeColor="text1"/>
          <w:kern w:val="0"/>
          <w:sz w:val="24"/>
          <w14:textFill>
            <w14:solidFill>
              <w14:schemeClr w14:val="tx1"/>
            </w14:solidFill>
          </w14:textFill>
        </w:rPr>
      </w:pPr>
    </w:p>
    <w:p>
      <w:pPr>
        <w:spacing w:line="460" w:lineRule="exact"/>
        <w:ind w:firstLine="1320" w:firstLineChars="550"/>
        <w:rPr>
          <w:rFonts w:ascii="仿宋" w:hAnsi="仿宋" w:eastAsia="仿宋"/>
          <w:color w:val="000000" w:themeColor="text1"/>
          <w:kern w:val="0"/>
          <w:sz w:val="24"/>
          <w14:textFill>
            <w14:solidFill>
              <w14:schemeClr w14:val="tx1"/>
            </w14:solidFill>
          </w14:textFill>
        </w:rPr>
      </w:pPr>
    </w:p>
    <w:p>
      <w:pPr>
        <w:spacing w:line="460" w:lineRule="exact"/>
        <w:ind w:firstLine="1320" w:firstLineChars="550"/>
        <w:rPr>
          <w:rFonts w:ascii="仿宋" w:hAnsi="仿宋" w:eastAsia="仿宋"/>
          <w:color w:val="000000" w:themeColor="text1"/>
          <w:kern w:val="0"/>
          <w:sz w:val="24"/>
          <w14:textFill>
            <w14:solidFill>
              <w14:schemeClr w14:val="tx1"/>
            </w14:solidFill>
          </w14:textFill>
        </w:rPr>
      </w:pPr>
    </w:p>
    <w:p>
      <w:pPr>
        <w:pStyle w:val="58"/>
        <w:ind w:firstLine="240"/>
        <w:rPr>
          <w:rFonts w:ascii="仿宋" w:hAnsi="仿宋" w:eastAsia="仿宋"/>
          <w:color w:val="000000" w:themeColor="text1"/>
          <w:sz w:val="24"/>
          <w:szCs w:val="24"/>
          <w14:textFill>
            <w14:solidFill>
              <w14:schemeClr w14:val="tx1"/>
            </w14:solidFill>
          </w14:textFill>
        </w:rPr>
      </w:pPr>
    </w:p>
    <w:p>
      <w:pPr>
        <w:pStyle w:val="58"/>
        <w:ind w:firstLine="0" w:firstLineChars="0"/>
        <w:rPr>
          <w:rFonts w:ascii="仿宋" w:hAnsi="仿宋" w:eastAsia="仿宋"/>
          <w:color w:val="000000" w:themeColor="text1"/>
          <w:sz w:val="24"/>
          <w:szCs w:val="24"/>
          <w14:textFill>
            <w14:solidFill>
              <w14:schemeClr w14:val="tx1"/>
            </w14:solidFill>
          </w14:textFill>
        </w:rPr>
      </w:pPr>
    </w:p>
    <w:p>
      <w:pPr>
        <w:spacing w:line="46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请随附：供应商缴纳保证金的账户信息（作退保证金使用）</w:t>
      </w:r>
    </w:p>
    <w:p>
      <w:pPr>
        <w:spacing w:line="46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开户行名称：</w:t>
      </w:r>
    </w:p>
    <w:p>
      <w:pPr>
        <w:spacing w:line="460" w:lineRule="exac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银行账号：</w:t>
      </w:r>
    </w:p>
    <w:p>
      <w:pPr>
        <w:widowControl/>
        <w:spacing w:line="44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银行行号：</w:t>
      </w:r>
    </w:p>
    <w:p>
      <w:pPr>
        <w:widowControl/>
        <w:jc w:val="left"/>
        <w:rPr>
          <w:rFonts w:ascii="仿宋" w:hAnsi="仿宋" w:eastAsia="仿宋" w:cstheme="minorBidi"/>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p>
    <w:p>
      <w:pPr>
        <w:shd w:val="clear" w:color="auto" w:fill="FFFFFF"/>
        <w:spacing w:line="44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附件八</w:t>
      </w:r>
    </w:p>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投标承诺书</w:t>
      </w:r>
    </w:p>
    <w:p>
      <w:pPr>
        <w:pStyle w:val="140"/>
        <w:widowControl/>
        <w:spacing w:line="420" w:lineRule="exact"/>
        <w:ind w:left="0" w:left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pStyle w:val="140"/>
        <w:widowControl/>
        <w:spacing w:line="420" w:lineRule="exact"/>
        <w:ind w:left="0" w:left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(投标供应商名称)</w:t>
      </w:r>
      <w:r>
        <w:rPr>
          <w:rFonts w:hint="eastAsia" w:ascii="仿宋" w:hAnsi="仿宋" w:eastAsia="仿宋" w:cs="仿宋"/>
          <w:color w:val="000000" w:themeColor="text1"/>
          <w:sz w:val="24"/>
          <w14:textFill>
            <w14:solidFill>
              <w14:schemeClr w14:val="tx1"/>
            </w14:solidFill>
          </w14:textFill>
        </w:rPr>
        <w:t>授权</w:t>
      </w:r>
      <w:r>
        <w:rPr>
          <w:rFonts w:hint="eastAsia" w:ascii="仿宋" w:hAnsi="仿宋" w:eastAsia="仿宋" w:cs="仿宋"/>
          <w:color w:val="000000" w:themeColor="text1"/>
          <w:sz w:val="24"/>
          <w:u w:val="single"/>
          <w14:textFill>
            <w14:solidFill>
              <w14:schemeClr w14:val="tx1"/>
            </w14:solidFill>
          </w14:textFill>
        </w:rPr>
        <w:t>(投标供应商授权代理人姓名)(职务、职称)</w:t>
      </w:r>
      <w:r>
        <w:rPr>
          <w:rFonts w:hint="eastAsia" w:ascii="仿宋" w:hAnsi="仿宋" w:eastAsia="仿宋" w:cs="仿宋"/>
          <w:color w:val="000000" w:themeColor="text1"/>
          <w:sz w:val="24"/>
          <w14:textFill>
            <w14:solidFill>
              <w14:schemeClr w14:val="tx1"/>
            </w14:solidFill>
          </w14:textFill>
        </w:rPr>
        <w:t xml:space="preserve">为我方代表，参加贵方组织的 </w:t>
      </w:r>
      <w:r>
        <w:rPr>
          <w:rFonts w:hint="eastAsia" w:ascii="仿宋" w:hAnsi="仿宋" w:eastAsia="仿宋" w:cs="仿宋"/>
          <w:color w:val="000000" w:themeColor="text1"/>
          <w:sz w:val="24"/>
          <w:u w:val="single"/>
          <w14:textFill>
            <w14:solidFill>
              <w14:schemeClr w14:val="tx1"/>
            </w14:solidFill>
          </w14:textFill>
        </w:rPr>
        <w:t>(项目名称、项目编号、包号)</w:t>
      </w:r>
      <w:r>
        <w:rPr>
          <w:rFonts w:hint="eastAsia" w:ascii="仿宋" w:hAnsi="仿宋" w:eastAsia="仿宋" w:cs="仿宋"/>
          <w:color w:val="000000" w:themeColor="text1"/>
          <w:sz w:val="24"/>
          <w14:textFill>
            <w14:solidFill>
              <w14:schemeClr w14:val="tx1"/>
            </w14:solidFill>
          </w14:textFill>
        </w:rPr>
        <w:t>招标的有关活动，并对此项目进行投标。为此：</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1、我方同意在本项目招标文件中规定的投标有效期天内遵守本投标文件中的承诺且在此期限期满之前均具有约束力。</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2、我方承诺已经具备《中华人民共和国政府采购法》中规定的参加政府采购活动的供应商应当具备的条件：</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2）具有良好的商业信誉和健全的财务会计制度；</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5）参加此项采购活动前三年内，在经营活动中没有重大违法记录；</w:t>
      </w:r>
    </w:p>
    <w:p>
      <w:pPr>
        <w:pStyle w:val="141"/>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6）法律、行政法规规定的其他条件。</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3、提供投标供应商须知规定的全部投标文件。</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4、按招标文件要求提供和交付的货物及相关服务的投标报价详见开标一览表。</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5、保证忠实地执行双方所签订的合同，并承担合同规定的责任和义务。</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6、我方承诺完全满足和响应招标文件中的各项技术和服务要求，若有偏差，已在投标文件偏离表中予以明确特别说明。</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7、我方承诺：完全理解投标报价若超过项目预算时，投标将被拒绝。</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8、我方承诺：与在本项目中设计编制技术规格的机构及其附属机构无任何直接隶属关系和利益关联。</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9、如果在开标后规定的投标有效期内撤回投标，我方的投标保证金可被贵方没收。</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10、我方完全理解贵方不一定接受最低价的投标或收到的任何投标。</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12、我方已详细审核全部投标文件，包括投标文件修改书（如有的话）、参考资料及有关附件，确认无误。</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13、我方承诺：采购人若需追加采购本项目招标文件所列货物及相关服务的，在不改变合同其他实质性条款的前提下，按相同或更优惠的折扣率保证供货。</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14、我方承诺：如所报货物属国家强制认证产品的，均已通过认证且在有效期内，否则，由此产生的一切法律责任由我方承担。</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15、我方承诺：接受招标文件中的全部条款且无任何异议，保证遵守招标文件的规定。</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1）提供虚假材料谋取中标、成交的；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2）采取不正当手段诋毁、排挤其他供应商的；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3）与采购人、其他供应商或者采购代理机构工作人员恶意串通的；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4）向采购人、采购代理机构工作人员行贿或者提供其他不正当利益的；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5）在采购过程中与采购人进行协商谈判的；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6）拒绝有关部门监督检查或提供虚假情况的。</w:t>
      </w:r>
    </w:p>
    <w:p>
      <w:pPr>
        <w:pStyle w:val="141"/>
        <w:spacing w:line="42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17、与本投标有关的一切往来通讯请寄：</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地址：____________________________________________________</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邮编：____________　</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电话：____________　</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传真：____________</w:t>
      </w:r>
    </w:p>
    <w:p>
      <w:pPr>
        <w:pStyle w:val="140"/>
        <w:widowControl/>
        <w:spacing w:line="420" w:lineRule="exact"/>
        <w:ind w:left="0" w:leftChars="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投标供应商法定代表人或授权代理人联系电话，e-mail：</w:t>
      </w:r>
    </w:p>
    <w:p>
      <w:pPr>
        <w:pStyle w:val="734"/>
        <w:spacing w:line="420" w:lineRule="exact"/>
        <w:ind w:firstLine="480" w:firstLineChars="200"/>
        <w:rPr>
          <w:rFonts w:ascii="仿宋" w:hAnsi="仿宋" w:eastAsia="仿宋" w:cs="仿宋"/>
          <w:color w:val="000000" w:themeColor="text1"/>
          <w:sz w:val="24"/>
          <w14:textFill>
            <w14:solidFill>
              <w14:schemeClr w14:val="tx1"/>
            </w14:solidFill>
          </w14:textFill>
        </w:rPr>
      </w:pPr>
    </w:p>
    <w:p>
      <w:pPr>
        <w:pStyle w:val="734"/>
        <w:spacing w:line="420" w:lineRule="exact"/>
        <w:ind w:firstLine="480" w:firstLineChars="200"/>
        <w:rPr>
          <w:rFonts w:ascii="仿宋" w:hAnsi="仿宋" w:eastAsia="仿宋" w:cs="仿宋"/>
          <w:color w:val="000000" w:themeColor="text1"/>
          <w:sz w:val="24"/>
          <w14:textFill>
            <w14:solidFill>
              <w14:schemeClr w14:val="tx1"/>
            </w14:solidFill>
          </w14:textFill>
        </w:rPr>
      </w:pPr>
    </w:p>
    <w:p>
      <w:pPr>
        <w:pStyle w:val="734"/>
        <w:spacing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供应商名称（公章）：</w:t>
      </w:r>
    </w:p>
    <w:p>
      <w:pPr>
        <w:pStyle w:val="743"/>
        <w:adjustRightInd w:val="0"/>
        <w:snapToGrid w:val="0"/>
        <w:spacing w:line="42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供应商法定代表人（签字，私章无效）：</w:t>
      </w:r>
    </w:p>
    <w:p>
      <w:pPr>
        <w:pStyle w:val="743"/>
        <w:adjustRightInd w:val="0"/>
        <w:snapToGrid w:val="0"/>
        <w:spacing w:line="42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日期：年 月 日</w:t>
      </w:r>
    </w:p>
    <w:p>
      <w:pPr>
        <w:widowControl/>
        <w:spacing w:line="400" w:lineRule="exact"/>
        <w:jc w:val="left"/>
        <w:rPr>
          <w:rFonts w:ascii="仿宋" w:hAnsi="仿宋" w:eastAsia="仿宋"/>
          <w:b/>
          <w:bCs/>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br w:type="page"/>
      </w:r>
    </w:p>
    <w:p>
      <w:pP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附件九 售后服务承诺书（内容格式自拟）</w:t>
      </w:r>
    </w:p>
    <w:p>
      <w:pP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br w:type="page"/>
      </w:r>
    </w:p>
    <w:p>
      <w:pPr>
        <w:widowControl/>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附件十</w:t>
      </w:r>
    </w:p>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商务及合同条款偏离表</w:t>
      </w:r>
    </w:p>
    <w:p>
      <w:pPr>
        <w:shd w:val="clear" w:color="auto" w:fill="FFFFFF"/>
        <w:spacing w:beforeLines="50"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标项名称：                                                  项目编号:</w:t>
      </w:r>
    </w:p>
    <w:tbl>
      <w:tblPr>
        <w:tblStyle w:val="60"/>
        <w:tblW w:w="8954" w:type="dxa"/>
        <w:tblInd w:w="468" w:type="dxa"/>
        <w:tblLayout w:type="fixed"/>
        <w:tblCellMar>
          <w:top w:w="0" w:type="dxa"/>
          <w:left w:w="108" w:type="dxa"/>
          <w:bottom w:w="0" w:type="dxa"/>
          <w:right w:w="108" w:type="dxa"/>
        </w:tblCellMar>
      </w:tblPr>
      <w:tblGrid>
        <w:gridCol w:w="900"/>
        <w:gridCol w:w="1725"/>
        <w:gridCol w:w="1941"/>
        <w:gridCol w:w="2050"/>
        <w:gridCol w:w="2338"/>
      </w:tblGrid>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条款序号</w:t>
            </w: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招标条款</w:t>
            </w: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投标条款</w:t>
            </w: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响应/偏离</w:t>
            </w: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28"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tc>
      </w:tr>
    </w:tbl>
    <w:p>
      <w:pPr>
        <w:shd w:val="clear" w:color="auto" w:fill="FFFFFF"/>
        <w:spacing w:line="440" w:lineRule="exact"/>
        <w:ind w:firstLine="99"/>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p>
    <w:p>
      <w:pPr>
        <w:shd w:val="clear" w:color="auto" w:fill="FFFFFF"/>
        <w:spacing w:line="420" w:lineRule="exact"/>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重要说明：供应商在上表中说明的内容，至少须包括对本文件《投标须知前附表》提出的“投标有效期”、“交付时间”、“交货地点”、“质保期”、“付款方式”五项内容逐条响应，不接受负偏离。</w:t>
      </w: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法定代表人（或负责人）（签字或签章）：</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授权代理人（签字或签章）：</w:t>
      </w:r>
    </w:p>
    <w:p>
      <w:pPr>
        <w:widowControl/>
        <w:spacing w:line="440" w:lineRule="exact"/>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shd w:val="clear" w:color="auto" w:fill="FFFFFF"/>
        <w:spacing w:line="440" w:lineRule="exact"/>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kern w:val="0"/>
          <w:sz w:val="24"/>
          <w14:textFill>
            <w14:solidFill>
              <w14:schemeClr w14:val="tx1"/>
            </w14:solidFill>
          </w14:textFill>
        </w:rPr>
      </w:pPr>
    </w:p>
    <w:p>
      <w:pPr>
        <w:widowControl/>
        <w:jc w:val="left"/>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p>
    <w:p>
      <w:pPr>
        <w:widowControl/>
        <w:spacing w:line="340" w:lineRule="exact"/>
        <w:jc w:val="left"/>
        <w:textAlignment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附件十一</w:t>
      </w:r>
    </w:p>
    <w:p>
      <w:pPr>
        <w:widowControl/>
        <w:spacing w:line="340" w:lineRule="exact"/>
        <w:ind w:firstLine="720" w:firstLineChars="300"/>
        <w:jc w:val="left"/>
        <w:textAlignment w:val="center"/>
        <w:rPr>
          <w:rFonts w:ascii="仿宋" w:hAnsi="仿宋" w:eastAsia="仿宋"/>
          <w:bCs/>
          <w:color w:val="000000" w:themeColor="text1"/>
          <w:kern w:val="0"/>
          <w:sz w:val="24"/>
          <w14:textFill>
            <w14:solidFill>
              <w14:schemeClr w14:val="tx1"/>
            </w14:solidFill>
          </w14:textFill>
        </w:rPr>
      </w:pPr>
      <w:r>
        <w:rPr>
          <w:rFonts w:hint="eastAsia" w:ascii="仿宋" w:hAnsi="仿宋" w:eastAsia="仿宋"/>
          <w:bCs/>
          <w:color w:val="000000" w:themeColor="text1"/>
          <w:kern w:val="0"/>
          <w:sz w:val="24"/>
          <w14:textFill>
            <w14:solidFill>
              <w14:schemeClr w14:val="tx1"/>
            </w14:solidFill>
          </w14:textFill>
        </w:rPr>
        <w:t>供应商近三年(2021年4月1日至今)同类产品（至少包含本次采购需求一览表任一项内容）销售业绩，提供有效业绩证明资料；</w:t>
      </w: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p>
    <w:p>
      <w:pPr>
        <w:widowControl/>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 xml:space="preserve">附件十二  技术服务条款偏离表 </w:t>
      </w:r>
    </w:p>
    <w:p>
      <w:pPr>
        <w:shd w:val="clear" w:color="auto" w:fill="FFFFFF"/>
        <w:spacing w:line="440" w:lineRule="exact"/>
        <w:jc w:val="center"/>
        <w:rPr>
          <w:rFonts w:ascii="仿宋" w:hAnsi="仿宋" w:eastAsia="仿宋"/>
          <w:b/>
          <w:bCs/>
          <w:color w:val="000000" w:themeColor="text1"/>
          <w:sz w:val="24"/>
          <w14:textFill>
            <w14:solidFill>
              <w14:schemeClr w14:val="tx1"/>
            </w14:solidFill>
          </w14:textFill>
        </w:rPr>
      </w:pPr>
    </w:p>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技术服务条款偏离表</w:t>
      </w:r>
    </w:p>
    <w:p>
      <w:pPr>
        <w:shd w:val="clear" w:color="auto" w:fill="FFFFFF"/>
        <w:spacing w:line="500" w:lineRule="exact"/>
        <w:ind w:firstLine="120" w:firstLineChars="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标项名称：                                 项目编号：</w:t>
      </w:r>
    </w:p>
    <w:p>
      <w:pPr>
        <w:shd w:val="clear" w:color="auto" w:fill="FFFFFF"/>
        <w:spacing w:line="500" w:lineRule="exact"/>
        <w:ind w:firstLine="120" w:firstLineChars="50"/>
        <w:rPr>
          <w:rFonts w:ascii="仿宋" w:hAnsi="仿宋" w:eastAsia="仿宋"/>
          <w:color w:val="000000" w:themeColor="text1"/>
          <w:sz w:val="24"/>
          <w14:textFill>
            <w14:solidFill>
              <w14:schemeClr w14:val="tx1"/>
            </w14:solidFill>
          </w14:textFill>
        </w:rPr>
      </w:pPr>
    </w:p>
    <w:tbl>
      <w:tblPr>
        <w:tblStyle w:val="60"/>
        <w:tblW w:w="9711" w:type="dxa"/>
        <w:jc w:val="center"/>
        <w:tblLayout w:type="fixed"/>
        <w:tblCellMar>
          <w:top w:w="0" w:type="dxa"/>
          <w:left w:w="108" w:type="dxa"/>
          <w:bottom w:w="0" w:type="dxa"/>
          <w:right w:w="108" w:type="dxa"/>
        </w:tblCellMar>
      </w:tblPr>
      <w:tblGrid>
        <w:gridCol w:w="1180"/>
        <w:gridCol w:w="1655"/>
        <w:gridCol w:w="2127"/>
        <w:gridCol w:w="1914"/>
        <w:gridCol w:w="1808"/>
        <w:gridCol w:w="1027"/>
      </w:tblGrid>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 号</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条款</w:t>
            </w: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招标规格</w:t>
            </w: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投标规格</w:t>
            </w: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是否偏离</w:t>
            </w: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000000" w:themeColor="text1"/>
                <w:sz w:val="24"/>
                <w14:textFill>
                  <w14:solidFill>
                    <w14:schemeClr w14:val="tx1"/>
                  </w14:solidFill>
                </w14:textFill>
              </w:rPr>
            </w:pPr>
          </w:p>
        </w:tc>
      </w:tr>
    </w:tbl>
    <w:p>
      <w:pPr>
        <w:shd w:val="clear" w:color="auto" w:fill="FFFFFF"/>
        <w:spacing w:line="440" w:lineRule="exact"/>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注：供应商须对照第四章《采购需求》全部内容逐条列明响应内容及是否偏离等情况；</w:t>
      </w:r>
    </w:p>
    <w:p>
      <w:pPr>
        <w:shd w:val="clear" w:color="auto" w:fill="FFFFFF"/>
        <w:spacing w:line="440" w:lineRule="exact"/>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并按第四章《采购需求》要求提供有关证明资料。</w:t>
      </w:r>
    </w:p>
    <w:p>
      <w:pPr>
        <w:shd w:val="clear" w:color="auto" w:fill="FFFFFF"/>
        <w:spacing w:line="500" w:lineRule="exact"/>
        <w:rPr>
          <w:rFonts w:ascii="仿宋" w:hAnsi="仿宋" w:eastAsia="仿宋"/>
          <w:color w:val="000000" w:themeColor="text1"/>
          <w:sz w:val="24"/>
          <w14:textFill>
            <w14:solidFill>
              <w14:schemeClr w14:val="tx1"/>
            </w14:solidFill>
          </w14:textFill>
        </w:rPr>
      </w:pPr>
    </w:p>
    <w:p>
      <w:pPr>
        <w:shd w:val="clear" w:color="auto" w:fill="FFFFFF"/>
        <w:spacing w:line="500" w:lineRule="exact"/>
        <w:rPr>
          <w:rFonts w:ascii="仿宋" w:hAnsi="仿宋" w:eastAsia="仿宋"/>
          <w:color w:val="000000" w:themeColor="text1"/>
          <w:sz w:val="24"/>
          <w14:textFill>
            <w14:solidFill>
              <w14:schemeClr w14:val="tx1"/>
            </w14:solidFill>
          </w14:textFill>
        </w:rPr>
      </w:pPr>
    </w:p>
    <w:p>
      <w:pPr>
        <w:shd w:val="clear" w:color="auto" w:fill="FFFFFF"/>
        <w:spacing w:line="500" w:lineRule="exact"/>
        <w:rPr>
          <w:rFonts w:ascii="仿宋" w:hAnsi="仿宋" w:eastAsia="仿宋"/>
          <w:color w:val="000000" w:themeColor="text1"/>
          <w:sz w:val="24"/>
          <w14:textFill>
            <w14:solidFill>
              <w14:schemeClr w14:val="tx1"/>
            </w14:solidFill>
          </w14:textFill>
        </w:rPr>
      </w:pPr>
    </w:p>
    <w:p>
      <w:pPr>
        <w:pStyle w:val="308"/>
        <w:shd w:val="clear" w:color="auto" w:fill="FFFFFF"/>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法定代表人（或负责人）（签字或签章）：</w:t>
      </w:r>
    </w:p>
    <w:p>
      <w:pPr>
        <w:shd w:val="clear" w:color="auto" w:fill="FFFFFF"/>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授权代理人（签字或签章）：</w:t>
      </w:r>
    </w:p>
    <w:p>
      <w:pPr>
        <w:shd w:val="clear" w:color="auto" w:fill="FFFFFF"/>
        <w:spacing w:line="5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shd w:val="clear" w:color="auto" w:fill="FFFFFF"/>
        <w:spacing w:line="500" w:lineRule="exact"/>
        <w:rPr>
          <w:rFonts w:ascii="仿宋" w:hAnsi="仿宋" w:eastAsia="仿宋"/>
          <w:color w:val="000000" w:themeColor="text1"/>
          <w:sz w:val="24"/>
          <w14:textFill>
            <w14:solidFill>
              <w14:schemeClr w14:val="tx1"/>
            </w14:solidFill>
          </w14:textFill>
        </w:rPr>
      </w:pPr>
    </w:p>
    <w:p>
      <w:pPr>
        <w:widowControl/>
        <w:jc w:val="left"/>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p>
    <w:p>
      <w:pPr>
        <w:shd w:val="clear" w:color="auto" w:fill="FFFFFF"/>
        <w:spacing w:line="440" w:lineRule="exac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附件十三产品详细配置清单 （格式自拟）</w:t>
      </w:r>
    </w:p>
    <w:p>
      <w:pP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pP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附件十四</w:t>
      </w:r>
    </w:p>
    <w:p>
      <w:pPr>
        <w:shd w:val="clear" w:color="auto" w:fill="FFFFFF"/>
        <w:spacing w:line="4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开标一览表</w:t>
      </w:r>
    </w:p>
    <w:p>
      <w:pPr>
        <w:tabs>
          <w:tab w:val="center" w:pos="7115"/>
          <w:tab w:val="right" w:pos="14230"/>
        </w:tabs>
        <w:ind w:firstLine="723"/>
        <w:jc w:val="center"/>
        <w:rPr>
          <w:rFonts w:ascii="仿宋" w:hAnsi="仿宋" w:eastAsia="仿宋"/>
          <w:color w:val="000000" w:themeColor="text1"/>
          <w:sz w:val="24"/>
          <w14:textFill>
            <w14:solidFill>
              <w14:schemeClr w14:val="tx1"/>
            </w14:solidFill>
          </w14:textFill>
        </w:rPr>
      </w:pPr>
    </w:p>
    <w:p>
      <w:pPr>
        <w:tabs>
          <w:tab w:val="center" w:pos="7115"/>
          <w:tab w:val="right" w:pos="14230"/>
        </w:tabs>
        <w:ind w:firstLine="120" w:firstLineChars="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                                                       单位：元</w:t>
      </w:r>
    </w:p>
    <w:p>
      <w:pPr>
        <w:spacing w:line="360" w:lineRule="exact"/>
        <w:ind w:firstLine="120" w:firstLineChars="50"/>
        <w:rPr>
          <w:rFonts w:ascii="仿宋" w:hAnsi="仿宋" w:eastAsia="仿宋" w:cs="宋体"/>
          <w:color w:val="000000" w:themeColor="text1"/>
          <w:spacing w:val="-10"/>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p>
    <w:p>
      <w:pPr>
        <w:spacing w:line="360" w:lineRule="exact"/>
        <w:rPr>
          <w:rFonts w:ascii="仿宋" w:hAnsi="仿宋" w:eastAsia="仿宋" w:cs="宋体"/>
          <w:color w:val="000000" w:themeColor="text1"/>
          <w:spacing w:val="-10"/>
          <w:kern w:val="0"/>
          <w:sz w:val="24"/>
          <w14:textFill>
            <w14:solidFill>
              <w14:schemeClr w14:val="tx1"/>
            </w14:solidFill>
          </w14:textFill>
        </w:rPr>
      </w:pPr>
      <w:r>
        <w:rPr>
          <w:rFonts w:hint="eastAsia" w:ascii="仿宋" w:hAnsi="仿宋" w:eastAsia="仿宋" w:cs="宋体"/>
          <w:color w:val="000000" w:themeColor="text1"/>
          <w:spacing w:val="-10"/>
          <w:kern w:val="0"/>
          <w:sz w:val="24"/>
          <w14:textFill>
            <w14:solidFill>
              <w14:schemeClr w14:val="tx1"/>
            </w14:solidFill>
          </w14:textFill>
        </w:rPr>
        <w:t>项目</w:t>
      </w:r>
      <w:r>
        <w:rPr>
          <w:rFonts w:hint="eastAsia" w:ascii="仿宋" w:hAnsi="仿宋" w:eastAsia="仿宋"/>
          <w:color w:val="000000" w:themeColor="text1"/>
          <w:sz w:val="24"/>
          <w14:textFill>
            <w14:solidFill>
              <w14:schemeClr w14:val="tx1"/>
            </w14:solidFill>
          </w14:textFill>
        </w:rPr>
        <w:t>编号：2024PCGK027</w:t>
      </w:r>
    </w:p>
    <w:tbl>
      <w:tblPr>
        <w:tblStyle w:val="6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5"/>
        <w:gridCol w:w="429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4195"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标项名称</w:t>
            </w:r>
          </w:p>
        </w:tc>
        <w:tc>
          <w:tcPr>
            <w:tcW w:w="4294"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w:t>
            </w:r>
          </w:p>
        </w:tc>
        <w:tc>
          <w:tcPr>
            <w:tcW w:w="1207"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exact"/>
          <w:jc w:val="center"/>
        </w:trPr>
        <w:tc>
          <w:tcPr>
            <w:tcW w:w="4195" w:type="dxa"/>
            <w:tcBorders>
              <w:bottom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pacing w:val="-4"/>
                <w:kern w:val="0"/>
                <w:sz w:val="24"/>
                <w14:textFill>
                  <w14:solidFill>
                    <w14:schemeClr w14:val="tx1"/>
                  </w14:solidFill>
                </w14:textFill>
              </w:rPr>
              <w:t>吉木萨尔县总医院（县人民医院）手术室行为管理及毒麻药品管理系统能力提升采购项目</w:t>
            </w:r>
          </w:p>
        </w:tc>
        <w:tc>
          <w:tcPr>
            <w:tcW w:w="4294"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1批</w:t>
            </w:r>
          </w:p>
        </w:tc>
        <w:tc>
          <w:tcPr>
            <w:tcW w:w="1207"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4195" w:type="dxa"/>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投标总报价(元)：</w:t>
            </w:r>
          </w:p>
        </w:tc>
        <w:tc>
          <w:tcPr>
            <w:tcW w:w="5501" w:type="dxa"/>
            <w:gridSpan w:val="2"/>
            <w:tcBorders>
              <w:bottom w:val="single" w:color="auto" w:sz="4" w:space="0"/>
            </w:tcBorders>
            <w:vAlign w:val="center"/>
          </w:tcPr>
          <w:p>
            <w:pPr>
              <w:jc w:val="center"/>
              <w:rPr>
                <w:rFonts w:ascii="仿宋" w:hAnsi="仿宋" w:eastAsia="仿宋"/>
                <w:color w:val="000000" w:themeColor="text1"/>
                <w:sz w:val="24"/>
                <w14:textFill>
                  <w14:solidFill>
                    <w14:schemeClr w14:val="tx1"/>
                  </w14:solidFill>
                </w14:textFill>
              </w:rPr>
            </w:pPr>
          </w:p>
        </w:tc>
      </w:tr>
    </w:tbl>
    <w:p>
      <w:pPr>
        <w:rPr>
          <w:rFonts w:ascii="仿宋" w:hAnsi="仿宋" w:eastAsia="仿宋"/>
          <w:color w:val="000000" w:themeColor="text1"/>
          <w:sz w:val="24"/>
          <w14:textFill>
            <w14:solidFill>
              <w14:schemeClr w14:val="tx1"/>
            </w14:solidFill>
          </w14:textFill>
        </w:rPr>
      </w:pPr>
    </w:p>
    <w:p>
      <w:pPr>
        <w:widowControl/>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tabs>
          <w:tab w:val="left" w:pos="3780"/>
        </w:tabs>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法定代表人（或负责人）（签字或签章）：</w:t>
      </w:r>
    </w:p>
    <w:p>
      <w:pPr>
        <w:shd w:val="clear" w:color="auto" w:fill="FFFFFF"/>
        <w:tabs>
          <w:tab w:val="left" w:pos="3780"/>
        </w:tabs>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授权代理人（签字或签章）：</w:t>
      </w:r>
    </w:p>
    <w:p>
      <w:pPr>
        <w:widowControl/>
        <w:spacing w:line="40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年  月  日</w:t>
      </w:r>
    </w:p>
    <w:p>
      <w:pPr>
        <w:widowControl/>
        <w:jc w:val="left"/>
        <w:rPr>
          <w:rFonts w:ascii="仿宋" w:hAnsi="仿宋" w:eastAsia="仿宋"/>
          <w:b/>
          <w:bCs/>
          <w:color w:val="000000" w:themeColor="text1"/>
          <w:sz w:val="24"/>
          <w14:textFill>
            <w14:solidFill>
              <w14:schemeClr w14:val="tx1"/>
            </w14:solidFill>
          </w14:textFill>
        </w:rPr>
      </w:pPr>
    </w:p>
    <w:p>
      <w:pPr>
        <w:widowControl/>
        <w:ind w:firstLine="482" w:firstLineChars="200"/>
        <w:jc w:val="left"/>
        <w:rPr>
          <w:rFonts w:ascii="仿宋" w:hAnsi="仿宋" w:eastAsia="仿宋"/>
          <w:b/>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br w:type="page"/>
      </w:r>
    </w:p>
    <w:p>
      <w:pPr>
        <w:widowControl/>
        <w:jc w:val="left"/>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附件十五</w:t>
      </w:r>
      <w:r>
        <w:rPr>
          <w:rFonts w:hint="eastAsia" w:ascii="仿宋" w:hAnsi="仿宋" w:eastAsia="仿宋"/>
          <w:b/>
          <w:bCs/>
          <w:color w:val="000000" w:themeColor="text1"/>
          <w:kern w:val="0"/>
          <w:sz w:val="24"/>
          <w14:textFill>
            <w14:solidFill>
              <w14:schemeClr w14:val="tx1"/>
            </w14:solidFill>
          </w14:textFill>
        </w:rPr>
        <w:t xml:space="preserve">分项报价明细表 </w:t>
      </w:r>
    </w:p>
    <w:p>
      <w:pPr>
        <w:shd w:val="clear" w:color="auto" w:fill="FFFFFF"/>
        <w:spacing w:line="440" w:lineRule="exact"/>
        <w:rPr>
          <w:rFonts w:ascii="仿宋" w:hAnsi="仿宋" w:eastAsia="仿宋"/>
          <w:b/>
          <w:color w:val="000000" w:themeColor="text1"/>
          <w:sz w:val="24"/>
          <w14:textFill>
            <w14:solidFill>
              <w14:schemeClr w14:val="tx1"/>
            </w14:solidFill>
          </w14:textFill>
        </w:rPr>
      </w:pPr>
    </w:p>
    <w:tbl>
      <w:tblPr>
        <w:tblStyle w:val="6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21"/>
        <w:gridCol w:w="1630"/>
        <w:gridCol w:w="140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tcBorders>
              <w:top w:val="single" w:color="auto" w:sz="12" w:space="0"/>
              <w:left w:val="single" w:color="auto" w:sz="12" w:space="0"/>
              <w:bottom w:val="single" w:color="auto" w:sz="4" w:space="0"/>
              <w:right w:val="single" w:color="auto" w:sz="4"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w:t>
            </w:r>
          </w:p>
        </w:tc>
        <w:tc>
          <w:tcPr>
            <w:tcW w:w="2821" w:type="dxa"/>
            <w:tcBorders>
              <w:top w:val="single" w:color="auto" w:sz="12" w:space="0"/>
              <w:left w:val="single" w:color="auto" w:sz="4" w:space="0"/>
              <w:bottom w:val="single" w:color="auto" w:sz="4" w:space="0"/>
              <w:right w:val="single" w:color="auto" w:sz="4"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630" w:type="dxa"/>
            <w:tcBorders>
              <w:top w:val="single" w:color="auto" w:sz="12" w:space="0"/>
              <w:left w:val="single" w:color="auto" w:sz="4" w:space="0"/>
              <w:bottom w:val="single" w:color="auto" w:sz="4" w:space="0"/>
              <w:right w:val="single" w:color="auto" w:sz="4" w:space="0"/>
            </w:tcBorders>
            <w:vAlign w:val="center"/>
          </w:tcPr>
          <w:p>
            <w:pPr>
              <w:pStyle w:val="734"/>
              <w:tabs>
                <w:tab w:val="left" w:pos="1337"/>
              </w:tabs>
              <w:spacing w:line="360" w:lineRule="auto"/>
              <w:ind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408" w:type="dxa"/>
            <w:tcBorders>
              <w:top w:val="single" w:color="auto" w:sz="12" w:space="0"/>
              <w:left w:val="single" w:color="auto" w:sz="4" w:space="0"/>
              <w:bottom w:val="single" w:color="auto" w:sz="4" w:space="0"/>
              <w:right w:val="single" w:color="auto" w:sz="4" w:space="0"/>
            </w:tcBorders>
            <w:vAlign w:val="center"/>
          </w:tcPr>
          <w:p>
            <w:pPr>
              <w:pStyle w:val="734"/>
              <w:tabs>
                <w:tab w:val="left" w:pos="1337"/>
              </w:tabs>
              <w:spacing w:line="360" w:lineRule="auto"/>
              <w:ind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3056" w:type="dxa"/>
            <w:gridSpan w:val="3"/>
            <w:tcBorders>
              <w:top w:val="single" w:color="auto" w:sz="12" w:space="0"/>
              <w:left w:val="single" w:color="auto" w:sz="4" w:space="0"/>
              <w:bottom w:val="single" w:color="auto" w:sz="4" w:space="0"/>
              <w:right w:val="single" w:color="auto" w:sz="12"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restart"/>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w:t>
            </w:r>
          </w:p>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号</w:t>
            </w:r>
          </w:p>
        </w:tc>
        <w:tc>
          <w:tcPr>
            <w:tcW w:w="2821" w:type="dxa"/>
            <w:vMerge w:val="restart"/>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产品/服务名称</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规格型号</w:t>
            </w:r>
          </w:p>
        </w:tc>
        <w:tc>
          <w:tcPr>
            <w:tcW w:w="1408" w:type="dxa"/>
            <w:vMerge w:val="restart"/>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ind w:left="-42" w:right="-42"/>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品牌和生产厂商名称</w:t>
            </w:r>
          </w:p>
        </w:tc>
        <w:tc>
          <w:tcPr>
            <w:tcW w:w="3056" w:type="dxa"/>
            <w:gridSpan w:val="3"/>
            <w:tcBorders>
              <w:top w:val="single" w:color="auto" w:sz="4" w:space="0"/>
              <w:left w:val="single" w:color="auto" w:sz="4" w:space="0"/>
              <w:bottom w:val="single" w:color="auto" w:sz="4" w:space="0"/>
              <w:right w:val="single" w:color="auto" w:sz="12" w:space="0"/>
            </w:tcBorders>
            <w:vAlign w:val="center"/>
          </w:tcPr>
          <w:p>
            <w:pPr>
              <w:pStyle w:val="734"/>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continue"/>
            <w:tcBorders>
              <w:top w:val="single" w:color="auto" w:sz="4" w:space="0"/>
              <w:left w:val="single" w:color="auto" w:sz="12" w:space="0"/>
              <w:bottom w:val="single" w:color="auto" w:sz="4" w:space="0"/>
              <w:right w:val="single" w:color="auto" w:sz="4" w:space="0"/>
            </w:tcBorders>
            <w:vAlign w:val="center"/>
          </w:tcPr>
          <w:p>
            <w:pPr>
              <w:pStyle w:val="735"/>
              <w:widowControl/>
              <w:jc w:val="left"/>
              <w:rPr>
                <w:rFonts w:ascii="仿宋" w:hAnsi="仿宋" w:eastAsia="仿宋"/>
                <w:color w:val="000000" w:themeColor="text1"/>
                <w:sz w:val="24"/>
                <w:szCs w:val="24"/>
                <w14:textFill>
                  <w14:solidFill>
                    <w14:schemeClr w14:val="tx1"/>
                  </w14:solidFill>
                </w14:textFill>
              </w:rPr>
            </w:pPr>
          </w:p>
        </w:tc>
        <w:tc>
          <w:tcPr>
            <w:tcW w:w="2821" w:type="dxa"/>
            <w:vMerge w:val="continue"/>
            <w:tcBorders>
              <w:top w:val="single" w:color="auto" w:sz="4" w:space="0"/>
              <w:left w:val="single" w:color="auto" w:sz="4" w:space="0"/>
              <w:bottom w:val="single" w:color="auto" w:sz="4" w:space="0"/>
              <w:right w:val="single" w:color="auto" w:sz="4" w:space="0"/>
            </w:tcBorders>
            <w:vAlign w:val="center"/>
          </w:tcPr>
          <w:p>
            <w:pPr>
              <w:pStyle w:val="735"/>
              <w:widowControl/>
              <w:jc w:val="left"/>
              <w:rPr>
                <w:rFonts w:ascii="仿宋" w:hAnsi="仿宋" w:eastAsia="仿宋"/>
                <w:color w:val="000000" w:themeColor="text1"/>
                <w:sz w:val="24"/>
                <w:szCs w:val="24"/>
                <w14:textFill>
                  <w14:solidFill>
                    <w14:schemeClr w14:val="tx1"/>
                  </w14:solidFill>
                </w14:textFill>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pStyle w:val="735"/>
              <w:widowControl/>
              <w:jc w:val="left"/>
              <w:rPr>
                <w:rFonts w:ascii="仿宋" w:hAnsi="仿宋" w:eastAsia="仿宋"/>
                <w:color w:val="000000" w:themeColor="text1"/>
                <w:sz w:val="24"/>
                <w:szCs w:val="24"/>
                <w14:textFill>
                  <w14:solidFill>
                    <w14:schemeClr w14:val="tx1"/>
                  </w14:solidFill>
                </w14:textFill>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pStyle w:val="735"/>
              <w:widowControl/>
              <w:jc w:val="left"/>
              <w:rPr>
                <w:rFonts w:ascii="仿宋" w:hAnsi="仿宋" w:eastAsia="仿宋"/>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单价（元）</w:t>
            </w:r>
          </w:p>
        </w:tc>
        <w:tc>
          <w:tcPr>
            <w:tcW w:w="955" w:type="dxa"/>
            <w:tcBorders>
              <w:top w:val="single" w:color="auto" w:sz="4" w:space="0"/>
              <w:left w:val="single" w:color="auto" w:sz="4" w:space="0"/>
              <w:bottom w:val="single" w:color="auto" w:sz="4" w:space="0"/>
              <w:right w:val="single" w:color="auto" w:sz="4" w:space="0"/>
            </w:tcBorders>
            <w:vAlign w:val="center"/>
          </w:tcPr>
          <w:p>
            <w:pPr>
              <w:pStyle w:val="734"/>
              <w:widowControl/>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w:t>
            </w:r>
          </w:p>
        </w:tc>
        <w:tc>
          <w:tcPr>
            <w:tcW w:w="1146" w:type="dxa"/>
            <w:tcBorders>
              <w:top w:val="single" w:color="auto" w:sz="4" w:space="0"/>
              <w:left w:val="single" w:color="auto" w:sz="4" w:space="0"/>
              <w:bottom w:val="single" w:color="auto" w:sz="4" w:space="0"/>
              <w:right w:val="single" w:color="auto" w:sz="12" w:space="0"/>
            </w:tcBorders>
            <w:vAlign w:val="center"/>
          </w:tcPr>
          <w:p>
            <w:pPr>
              <w:pStyle w:val="734"/>
              <w:widowControl/>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4"/>
              <w:ind w:left="0" w:leftChars="0"/>
              <w:rPr>
                <w:rFonts w:ascii="仿宋" w:hAnsi="仿宋" w:eastAsia="仿宋"/>
                <w:color w:val="000000" w:themeColor="text1"/>
                <w:sz w:val="24"/>
                <w:szCs w:val="24"/>
                <w14:textFill>
                  <w14:solidFill>
                    <w14:schemeClr w14:val="tx1"/>
                  </w14:solidFill>
                </w14:textFill>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rPr>
                <w:rFonts w:ascii="仿宋" w:hAnsi="仿宋" w:eastAsia="仿宋"/>
                <w:color w:val="000000" w:themeColor="text1"/>
                <w:spacing w:val="-10"/>
                <w:sz w:val="24"/>
                <w14:textFill>
                  <w14:solidFill>
                    <w14:schemeClr w14:val="tx1"/>
                  </w14:solidFill>
                </w14:textFill>
              </w:rPr>
            </w:pPr>
          </w:p>
          <w:p>
            <w:pPr>
              <w:pStyle w:val="734"/>
              <w:tabs>
                <w:tab w:val="left" w:pos="1337"/>
              </w:tabs>
              <w:spacing w:line="360" w:lineRule="auto"/>
              <w:jc w:val="center"/>
              <w:rPr>
                <w:rFonts w:ascii="仿宋" w:hAnsi="仿宋" w:eastAsia="仿宋"/>
                <w:color w:val="000000" w:themeColor="text1"/>
                <w:spacing w:val="-10"/>
                <w:sz w:val="24"/>
                <w14:textFill>
                  <w14:solidFill>
                    <w14:schemeClr w14:val="tx1"/>
                  </w14:solidFill>
                </w14:textFill>
              </w:rPr>
            </w:pPr>
          </w:p>
        </w:tc>
        <w:tc>
          <w:tcPr>
            <w:tcW w:w="1630"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630"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630"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630"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安装调试费</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技术支持费</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培训费</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运输与保险费</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ind w:firstLine="960" w:firstLineChars="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其他</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2821"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合计（元）</w:t>
            </w:r>
          </w:p>
        </w:tc>
        <w:tc>
          <w:tcPr>
            <w:tcW w:w="3038" w:type="dxa"/>
            <w:gridSpan w:val="2"/>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4"/>
              <w:tabs>
                <w:tab w:val="left" w:pos="1337"/>
              </w:tabs>
              <w:spacing w:line="360" w:lineRule="auto"/>
              <w:jc w:val="center"/>
              <w:rPr>
                <w:rFonts w:ascii="仿宋" w:hAnsi="仿宋" w:eastAsia="仿宋"/>
                <w:color w:val="000000" w:themeColor="text1"/>
                <w:sz w:val="24"/>
                <w14:textFill>
                  <w14:solidFill>
                    <w14:schemeClr w14:val="tx1"/>
                  </w14:solidFill>
                </w14:textFill>
              </w:rPr>
            </w:pPr>
          </w:p>
        </w:tc>
      </w:tr>
    </w:tbl>
    <w:p>
      <w:pPr>
        <w:shd w:val="clear" w:color="auto" w:fill="FFFFFF"/>
        <w:spacing w:line="440" w:lineRule="exact"/>
        <w:rPr>
          <w:rFonts w:ascii="仿宋" w:hAnsi="仿宋" w:eastAsia="仿宋"/>
          <w:b/>
          <w:color w:val="000000" w:themeColor="text1"/>
          <w:sz w:val="24"/>
          <w14:textFill>
            <w14:solidFill>
              <w14:schemeClr w14:val="tx1"/>
            </w14:solidFill>
          </w14:textFill>
        </w:rPr>
      </w:pPr>
    </w:p>
    <w:p>
      <w:pPr>
        <w:pStyle w:val="736"/>
        <w:tabs>
          <w:tab w:val="left" w:pos="420"/>
          <w:tab w:val="clear" w:pos="360"/>
        </w:tabs>
        <w:spacing w:line="340" w:lineRule="exact"/>
        <w:ind w:left="566" w:hanging="566" w:hangingChars="235"/>
        <w:outlineLvl w:val="2"/>
        <w:rPr>
          <w:rFonts w:ascii="仿宋" w:hAnsi="仿宋" w:eastAsia="仿宋"/>
          <w:bCs/>
          <w:color w:val="000000" w:themeColor="text1"/>
          <w:kern w:val="0"/>
          <w14:textFill>
            <w14:solidFill>
              <w14:schemeClr w14:val="tx1"/>
            </w14:solidFill>
          </w14:textFill>
        </w:rPr>
      </w:pPr>
      <w:r>
        <w:rPr>
          <w:rFonts w:hint="eastAsia" w:ascii="仿宋" w:hAnsi="仿宋" w:eastAsia="仿宋"/>
          <w:color w:val="000000" w:themeColor="text1"/>
          <w14:textFill>
            <w14:solidFill>
              <w14:schemeClr w14:val="tx1"/>
            </w14:solidFill>
          </w14:textFill>
        </w:rPr>
        <w:t>注：1、</w:t>
      </w:r>
      <w:r>
        <w:rPr>
          <w:rFonts w:hint="eastAsia" w:ascii="仿宋" w:hAnsi="仿宋" w:eastAsia="仿宋"/>
          <w:bCs/>
          <w:color w:val="000000" w:themeColor="text1"/>
          <w:kern w:val="0"/>
          <w14:textFill>
            <w14:solidFill>
              <w14:schemeClr w14:val="tx1"/>
            </w14:solidFill>
          </w14:textFill>
        </w:rPr>
        <w:t>按第五章给定格式，并按照第四章《采购需求》内容列明所有货物（含硬件、软件、材料等）、技术服务等明细价格。2、本表合计价格应与《开标一览表》一致。</w:t>
      </w:r>
    </w:p>
    <w:p>
      <w:pPr>
        <w:rPr>
          <w:rFonts w:ascii="仿宋" w:hAnsi="仿宋" w:eastAsia="仿宋"/>
          <w:color w:val="000000" w:themeColor="text1"/>
          <w:sz w:val="24"/>
          <w14:textFill>
            <w14:solidFill>
              <w14:schemeClr w14:val="tx1"/>
            </w14:solidFill>
          </w14:textFill>
        </w:rPr>
      </w:pPr>
    </w:p>
    <w:p>
      <w:pPr>
        <w:widowControl/>
        <w:spacing w:line="440" w:lineRule="exact"/>
        <w:ind w:firstLine="5400" w:firstLineChars="22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供应商（公章）：</w:t>
      </w:r>
    </w:p>
    <w:p>
      <w:pPr>
        <w:shd w:val="clear" w:color="auto" w:fill="FFFFFF"/>
        <w:tabs>
          <w:tab w:val="left" w:pos="3780"/>
        </w:tabs>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法定代表人（或负责人）（签字或签章）：</w:t>
      </w:r>
    </w:p>
    <w:p>
      <w:pPr>
        <w:shd w:val="clear" w:color="auto" w:fill="FFFFFF"/>
        <w:tabs>
          <w:tab w:val="left" w:pos="3780"/>
        </w:tabs>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授权代理人（签字或签章）：</w:t>
      </w:r>
    </w:p>
    <w:p>
      <w:pPr>
        <w:pStyle w:val="737"/>
        <w:spacing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日期： 年  月  日</w:t>
      </w:r>
    </w:p>
    <w:p>
      <w:pPr>
        <w:pStyle w:val="737"/>
        <w:spacing w:line="440" w:lineRule="exact"/>
        <w:rPr>
          <w:rFonts w:ascii="仿宋" w:hAnsi="仿宋" w:eastAsia="仿宋"/>
          <w:color w:val="000000" w:themeColor="text1"/>
          <w:sz w:val="24"/>
          <w:szCs w:val="24"/>
          <w14:textFill>
            <w14:solidFill>
              <w14:schemeClr w14:val="tx1"/>
            </w14:solidFill>
          </w14:textFill>
        </w:rPr>
      </w:pPr>
    </w:p>
    <w:p>
      <w:pPr>
        <w:pStyle w:val="27"/>
        <w:rPr>
          <w:color w:val="000000" w:themeColor="text1"/>
          <w14:textFill>
            <w14:solidFill>
              <w14:schemeClr w14:val="tx1"/>
            </w14:solidFill>
          </w14:textFill>
        </w:rPr>
      </w:pPr>
    </w:p>
    <w:p>
      <w:pPr>
        <w:widowControl/>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附件十六供应商认为有必要提供的其他资料。</w:t>
      </w:r>
    </w:p>
    <w:p>
      <w:pPr>
        <w:pStyle w:val="27"/>
        <w:rPr>
          <w:color w:val="000000" w:themeColor="text1"/>
          <w14:textFill>
            <w14:solidFill>
              <w14:schemeClr w14:val="tx1"/>
            </w14:solidFill>
          </w14:textFill>
        </w:rPr>
      </w:pPr>
    </w:p>
    <w:sectPr>
      <w:headerReference r:id="rId7" w:type="default"/>
      <w:footerReference r:id="rId8" w:type="default"/>
      <w:pgSz w:w="11906" w:h="16838"/>
      <w:pgMar w:top="1134" w:right="1134" w:bottom="1134" w:left="1134" w:header="703" w:footer="851" w:gutter="0"/>
      <w:pgNumType w:start="1"/>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ˎ̥">
    <w:altName w:val="Segoe Print"/>
    <w:panose1 w:val="00000000000000000000"/>
    <w:charset w:val="00"/>
    <w:family w:val="roman"/>
    <w:pitch w:val="default"/>
    <w:sig w:usb0="00000000" w:usb1="00000000" w:usb2="00000000" w:usb3="00000000" w:csb0="00000000" w:csb1="00000000"/>
  </w:font>
  <w:font w:name="长城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简体">
    <w:altName w:val="方正舒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eneva">
    <w:altName w:val="Arial"/>
    <w:panose1 w:val="00000000000000000000"/>
    <w:charset w:val="00"/>
    <w:family w:val="auto"/>
    <w:pitch w:val="default"/>
    <w:sig w:usb0="00000000" w:usb1="00000000" w:usb2="00000000" w:usb3="00000000" w:csb0="00000000" w:csb1="00000000"/>
  </w:font>
  <w:font w:name="Angsana New">
    <w:altName w:val="Times New Roman"/>
    <w:panose1 w:val="02020603050405020304"/>
    <w:charset w:val="00"/>
    <w:family w:val="roman"/>
    <w:pitch w:val="default"/>
    <w:sig w:usb0="00000000" w:usb1="00000000" w:usb2="00000000" w:usb3="00000000" w:csb0="00010001"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w:t>
    </w:r>
    <w:r>
      <w:t xml:space="preserve"> 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dashDotStroked" w:color="auto" w:sz="24" w:space="1"/>
      </w:pBdr>
      <w:jc w:val="both"/>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0"/>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9oC80BAACn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hjMrDD345cf3y8/fl1/f2O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I9oC80BAACnAwAADgAAAAAAAAABACAAAAAeAQAAZHJzL2Uy&#10;b0RvYy54bWxQSwUGAAAAAAYABgBZAQAAXQUAAAAA&#10;">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8"/>
                            <w:ind w:firstLine="210"/>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Ygts0BAACn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kYgts0BAACnAwAADgAAAAAAAAABACAAAAAeAQAAZHJzL2Uy&#10;b0RvYy54bWxQSwUGAAAAAAYABgBZAQAAXQUAAAAA&#10;">
              <v:fill on="f" focussize="0,0"/>
              <v:stroke on="f"/>
              <v:imagedata o:title=""/>
              <o:lock v:ext="edit" aspectratio="f"/>
              <v:textbox inset="0mm,0mm,0mm,0mm" style="mso-fit-shape-to-text:t;">
                <w:txbxContent>
                  <w:p>
                    <w:pPr>
                      <w:pStyle w:val="58"/>
                      <w:ind w:firstLine="2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dashDotStroked" w:color="auto" w:sz="24" w:space="0"/>
      </w:pBdr>
      <w:jc w:val="left"/>
      <w:rPr>
        <w:rFonts w:ascii="仿宋" w:hAnsi="仿宋" w:eastAsia="仿宋"/>
        <w:b/>
        <w:i/>
        <w:spacing w:val="-10"/>
      </w:rPr>
    </w:pPr>
    <w:r>
      <w:rPr>
        <w:rFonts w:hint="eastAsia" w:ascii="仿宋" w:hAnsi="仿宋" w:eastAsia="仿宋"/>
        <w:b/>
        <w:i/>
        <w:spacing w:val="-16"/>
      </w:rPr>
      <w:t>库尔勒市妇幼保健计划生育服务中心（库尔勒市妇幼保健院）彩色多普勒超声诊断仪等医疗设备采购</w:t>
    </w:r>
    <w:r>
      <w:rPr>
        <w:rFonts w:hint="eastAsia" w:ascii="仿宋" w:hAnsi="仿宋" w:eastAsia="仿宋"/>
        <w:b/>
        <w:i/>
        <w:spacing w:val="-10"/>
      </w:rPr>
      <w:t xml:space="preserve">   项目编号：2022PCGK050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dashDotStroked" w:color="auto" w:sz="24" w:space="0"/>
      </w:pBdr>
      <w:jc w:val="left"/>
      <w:rPr>
        <w:rFonts w:ascii="仿宋" w:hAnsi="仿宋" w:eastAsia="仿宋"/>
        <w:b/>
        <w:i/>
        <w:spacing w:val="-10"/>
      </w:rPr>
    </w:pPr>
    <w:r>
      <w:rPr>
        <w:rFonts w:hint="eastAsia" w:ascii="仿宋" w:hAnsi="仿宋" w:eastAsia="仿宋"/>
        <w:b/>
        <w:i/>
        <w:spacing w:val="-10"/>
      </w:rPr>
      <w:t>吉木萨尔县总医院（县人民医院）手术室行为管理及毒麻药品管理系统能力提升采购项目招标文件                  项目编号：2024PCGK027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B94B2"/>
    <w:multiLevelType w:val="singleLevel"/>
    <w:tmpl w:val="9D2B94B2"/>
    <w:lvl w:ilvl="0" w:tentative="0">
      <w:start w:val="1"/>
      <w:numFmt w:val="decimal"/>
      <w:suff w:val="nothing"/>
      <w:lvlText w:val="（%1）"/>
      <w:lvlJc w:val="left"/>
    </w:lvl>
  </w:abstractNum>
  <w:abstractNum w:abstractNumId="1">
    <w:nsid w:val="D455003B"/>
    <w:multiLevelType w:val="singleLevel"/>
    <w:tmpl w:val="D455003B"/>
    <w:lvl w:ilvl="0" w:tentative="0">
      <w:start w:val="3"/>
      <w:numFmt w:val="decimal"/>
      <w:suff w:val="nothing"/>
      <w:lvlText w:val="（%1）"/>
      <w:lvlJc w:val="left"/>
    </w:lvl>
  </w:abstractNum>
  <w:abstractNum w:abstractNumId="2">
    <w:nsid w:val="DD4CB5D9"/>
    <w:multiLevelType w:val="singleLevel"/>
    <w:tmpl w:val="DD4CB5D9"/>
    <w:lvl w:ilvl="0" w:tentative="0">
      <w:start w:val="1"/>
      <w:numFmt w:val="decimal"/>
      <w:suff w:val="nothing"/>
      <w:lvlText w:val="%1、"/>
      <w:lvlJc w:val="left"/>
    </w:lvl>
  </w:abstractNum>
  <w:abstractNum w:abstractNumId="3">
    <w:nsid w:val="0EDB2900"/>
    <w:multiLevelType w:val="multilevel"/>
    <w:tmpl w:val="0EDB2900"/>
    <w:lvl w:ilvl="0" w:tentative="0">
      <w:start w:val="1"/>
      <w:numFmt w:val="bullet"/>
      <w:pStyle w:val="516"/>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11BF6E1B"/>
    <w:multiLevelType w:val="multilevel"/>
    <w:tmpl w:val="11BF6E1B"/>
    <w:lvl w:ilvl="0" w:tentative="0">
      <w:start w:val="1"/>
      <w:numFmt w:val="decimal"/>
      <w:pStyle w:val="156"/>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5">
    <w:nsid w:val="130C4E31"/>
    <w:multiLevelType w:val="singleLevel"/>
    <w:tmpl w:val="130C4E31"/>
    <w:lvl w:ilvl="0" w:tentative="0">
      <w:start w:val="1"/>
      <w:numFmt w:val="decimal"/>
      <w:suff w:val="nothing"/>
      <w:lvlText w:val="%1）"/>
      <w:lvlJc w:val="left"/>
    </w:lvl>
  </w:abstractNum>
  <w:abstractNum w:abstractNumId="6">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9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7">
    <w:nsid w:val="18232DD3"/>
    <w:multiLevelType w:val="singleLevel"/>
    <w:tmpl w:val="18232DD3"/>
    <w:lvl w:ilvl="0" w:tentative="0">
      <w:start w:val="1"/>
      <w:numFmt w:val="decimal"/>
      <w:pStyle w:val="513"/>
      <w:lvlText w:val="（%1）"/>
      <w:lvlJc w:val="left"/>
      <w:pPr>
        <w:tabs>
          <w:tab w:val="left" w:pos="1800"/>
        </w:tabs>
        <w:ind w:left="1800" w:hanging="900"/>
      </w:pPr>
      <w:rPr>
        <w:rFonts w:hint="eastAsia"/>
      </w:rPr>
    </w:lvl>
  </w:abstractNum>
  <w:abstractNum w:abstractNumId="8">
    <w:nsid w:val="20A10221"/>
    <w:multiLevelType w:val="multilevel"/>
    <w:tmpl w:val="20A10221"/>
    <w:lvl w:ilvl="0" w:tentative="0">
      <w:start w:val="1"/>
      <w:numFmt w:val="decimal"/>
      <w:pStyle w:val="221"/>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727B63"/>
    <w:multiLevelType w:val="multilevel"/>
    <w:tmpl w:val="27727B63"/>
    <w:lvl w:ilvl="0" w:tentative="0">
      <w:start w:val="1"/>
      <w:numFmt w:val="bullet"/>
      <w:pStyle w:val="435"/>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1">
    <w:nsid w:val="58BBAE76"/>
    <w:multiLevelType w:val="singleLevel"/>
    <w:tmpl w:val="58BBAE76"/>
    <w:lvl w:ilvl="0" w:tentative="0">
      <w:start w:val="1"/>
      <w:numFmt w:val="decimal"/>
      <w:lvlText w:val="%1."/>
      <w:lvlJc w:val="left"/>
      <w:pPr>
        <w:tabs>
          <w:tab w:val="left" w:pos="312"/>
        </w:tabs>
        <w:ind w:left="-60"/>
      </w:pPr>
    </w:lvl>
  </w:abstractNum>
  <w:abstractNum w:abstractNumId="12">
    <w:nsid w:val="5B6D3AF1"/>
    <w:multiLevelType w:val="multilevel"/>
    <w:tmpl w:val="5B6D3AF1"/>
    <w:lvl w:ilvl="0" w:tentative="0">
      <w:start w:val="1"/>
      <w:numFmt w:val="decimal"/>
      <w:pStyle w:val="591"/>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3">
    <w:nsid w:val="68541908"/>
    <w:multiLevelType w:val="multilevel"/>
    <w:tmpl w:val="68541908"/>
    <w:lvl w:ilvl="0" w:tentative="0">
      <w:start w:val="1"/>
      <w:numFmt w:val="decimal"/>
      <w:pStyle w:val="74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6E230785"/>
    <w:multiLevelType w:val="multilevel"/>
    <w:tmpl w:val="6E230785"/>
    <w:lvl w:ilvl="0" w:tentative="0">
      <w:start w:val="1"/>
      <w:numFmt w:val="bullet"/>
      <w:pStyle w:val="618"/>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775753F0"/>
    <w:multiLevelType w:val="singleLevel"/>
    <w:tmpl w:val="775753F0"/>
    <w:lvl w:ilvl="0" w:tentative="0">
      <w:start w:val="1"/>
      <w:numFmt w:val="decimal"/>
      <w:lvlText w:val="%1."/>
      <w:lvlJc w:val="left"/>
      <w:pPr>
        <w:tabs>
          <w:tab w:val="left" w:pos="312"/>
        </w:tabs>
      </w:pPr>
    </w:lvl>
  </w:abstractNum>
  <w:abstractNum w:abstractNumId="16">
    <w:nsid w:val="7E3B679F"/>
    <w:multiLevelType w:val="multilevel"/>
    <w:tmpl w:val="7E3B679F"/>
    <w:lvl w:ilvl="0" w:tentative="0">
      <w:start w:val="1"/>
      <w:numFmt w:val="chineseCountingThousand"/>
      <w:pStyle w:val="373"/>
      <w:lvlText w:val="%1."/>
      <w:lvlJc w:val="left"/>
      <w:pPr>
        <w:ind w:left="0" w:firstLine="0"/>
      </w:pPr>
      <w:rPr>
        <w:rFonts w:hint="default"/>
        <w:color w:val="auto"/>
        <w:sz w:val="44"/>
      </w:rPr>
    </w:lvl>
    <w:lvl w:ilvl="1" w:tentative="0">
      <w:start w:val="1"/>
      <w:numFmt w:val="decimal"/>
      <w:pStyle w:val="448"/>
      <w:lvlText w:val="%2"/>
      <w:lvlJc w:val="left"/>
      <w:pPr>
        <w:ind w:left="0" w:firstLine="0"/>
      </w:pPr>
      <w:rPr>
        <w:rFonts w:hint="eastAsia"/>
      </w:rPr>
    </w:lvl>
    <w:lvl w:ilvl="2" w:tentative="0">
      <w:start w:val="1"/>
      <w:numFmt w:val="decimal"/>
      <w:pStyle w:val="556"/>
      <w:lvlText w:val="%2.%3"/>
      <w:lvlJc w:val="left"/>
      <w:pPr>
        <w:ind w:left="0" w:firstLine="0"/>
      </w:pPr>
      <w:rPr>
        <w:rFonts w:hint="eastAsia"/>
      </w:rPr>
    </w:lvl>
    <w:lvl w:ilvl="3" w:tentative="0">
      <w:start w:val="1"/>
      <w:numFmt w:val="decimal"/>
      <w:pStyle w:val="186"/>
      <w:lvlText w:val="%2.%3.%4"/>
      <w:lvlJc w:val="left"/>
      <w:pPr>
        <w:ind w:left="0" w:firstLine="0"/>
      </w:pPr>
      <w:rPr>
        <w:rFonts w:hint="eastAsia"/>
      </w:rPr>
    </w:lvl>
    <w:lvl w:ilvl="4" w:tentative="0">
      <w:start w:val="1"/>
      <w:numFmt w:val="decimal"/>
      <w:pStyle w:val="623"/>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0"/>
  </w:num>
  <w:num w:numId="2">
    <w:abstractNumId w:val="4"/>
  </w:num>
  <w:num w:numId="3">
    <w:abstractNumId w:val="16"/>
  </w:num>
  <w:num w:numId="4">
    <w:abstractNumId w:val="8"/>
  </w:num>
  <w:num w:numId="5">
    <w:abstractNumId w:val="9"/>
  </w:num>
  <w:num w:numId="6">
    <w:abstractNumId w:val="6"/>
  </w:num>
  <w:num w:numId="7">
    <w:abstractNumId w:val="7"/>
  </w:num>
  <w:num w:numId="8">
    <w:abstractNumId w:val="3"/>
  </w:num>
  <w:num w:numId="9">
    <w:abstractNumId w:val="12"/>
  </w:num>
  <w:num w:numId="10">
    <w:abstractNumId w:val="14"/>
  </w:num>
  <w:num w:numId="11">
    <w:abstractNumId w:val="13"/>
  </w:num>
  <w:num w:numId="12">
    <w:abstractNumId w:val="0"/>
  </w:num>
  <w:num w:numId="13">
    <w:abstractNumId w:val="1"/>
  </w:num>
  <w:num w:numId="14">
    <w:abstractNumId w:val="5"/>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MGYwZTBhYzM0ZThjNGIxYzQ3OWNjYTM3NzFjZWYifQ=="/>
  </w:docVars>
  <w:rsids>
    <w:rsidRoot w:val="00FD0709"/>
    <w:rsid w:val="00000648"/>
    <w:rsid w:val="0000080C"/>
    <w:rsid w:val="000009E4"/>
    <w:rsid w:val="0000164C"/>
    <w:rsid w:val="0000219E"/>
    <w:rsid w:val="000026E1"/>
    <w:rsid w:val="00002992"/>
    <w:rsid w:val="00002A72"/>
    <w:rsid w:val="00002D0A"/>
    <w:rsid w:val="00003069"/>
    <w:rsid w:val="0000431D"/>
    <w:rsid w:val="00004BCF"/>
    <w:rsid w:val="00005500"/>
    <w:rsid w:val="00005717"/>
    <w:rsid w:val="000065A4"/>
    <w:rsid w:val="00006D5F"/>
    <w:rsid w:val="00006FF4"/>
    <w:rsid w:val="0000711B"/>
    <w:rsid w:val="0000744F"/>
    <w:rsid w:val="00007E6D"/>
    <w:rsid w:val="000100D7"/>
    <w:rsid w:val="00010470"/>
    <w:rsid w:val="00010830"/>
    <w:rsid w:val="00010A5F"/>
    <w:rsid w:val="00010BE4"/>
    <w:rsid w:val="00010CE3"/>
    <w:rsid w:val="00010DF2"/>
    <w:rsid w:val="0001156F"/>
    <w:rsid w:val="00011946"/>
    <w:rsid w:val="00012264"/>
    <w:rsid w:val="0001236A"/>
    <w:rsid w:val="00012804"/>
    <w:rsid w:val="00012EF1"/>
    <w:rsid w:val="00013694"/>
    <w:rsid w:val="00013833"/>
    <w:rsid w:val="000138DF"/>
    <w:rsid w:val="00013DDD"/>
    <w:rsid w:val="00013ECD"/>
    <w:rsid w:val="000140FD"/>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267"/>
    <w:rsid w:val="000403B6"/>
    <w:rsid w:val="00040A62"/>
    <w:rsid w:val="000417C3"/>
    <w:rsid w:val="00043FB9"/>
    <w:rsid w:val="00044931"/>
    <w:rsid w:val="00044D3A"/>
    <w:rsid w:val="00047062"/>
    <w:rsid w:val="00047090"/>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14E4"/>
    <w:rsid w:val="000615F7"/>
    <w:rsid w:val="00061754"/>
    <w:rsid w:val="00061E49"/>
    <w:rsid w:val="000628C9"/>
    <w:rsid w:val="00063463"/>
    <w:rsid w:val="000636E6"/>
    <w:rsid w:val="00063BE0"/>
    <w:rsid w:val="00063EE6"/>
    <w:rsid w:val="00064A35"/>
    <w:rsid w:val="0006630D"/>
    <w:rsid w:val="000668C3"/>
    <w:rsid w:val="00066E3F"/>
    <w:rsid w:val="000676B4"/>
    <w:rsid w:val="00067A73"/>
    <w:rsid w:val="00067EDF"/>
    <w:rsid w:val="00070238"/>
    <w:rsid w:val="000706EA"/>
    <w:rsid w:val="00070945"/>
    <w:rsid w:val="0007120E"/>
    <w:rsid w:val="0007149E"/>
    <w:rsid w:val="00071AF4"/>
    <w:rsid w:val="00071CDF"/>
    <w:rsid w:val="000720DB"/>
    <w:rsid w:val="000725C8"/>
    <w:rsid w:val="00072985"/>
    <w:rsid w:val="00072BD7"/>
    <w:rsid w:val="00073D89"/>
    <w:rsid w:val="00073E8E"/>
    <w:rsid w:val="000749E7"/>
    <w:rsid w:val="00074E58"/>
    <w:rsid w:val="00075669"/>
    <w:rsid w:val="000756C3"/>
    <w:rsid w:val="00076071"/>
    <w:rsid w:val="00076FBB"/>
    <w:rsid w:val="00077298"/>
    <w:rsid w:val="00080194"/>
    <w:rsid w:val="00080E6A"/>
    <w:rsid w:val="00082016"/>
    <w:rsid w:val="000827AD"/>
    <w:rsid w:val="00082E4F"/>
    <w:rsid w:val="000830A7"/>
    <w:rsid w:val="0008320D"/>
    <w:rsid w:val="000832A1"/>
    <w:rsid w:val="0008382F"/>
    <w:rsid w:val="00083B2D"/>
    <w:rsid w:val="00085DC8"/>
    <w:rsid w:val="00085E32"/>
    <w:rsid w:val="00085FAD"/>
    <w:rsid w:val="000864B0"/>
    <w:rsid w:val="000867C7"/>
    <w:rsid w:val="00086C8A"/>
    <w:rsid w:val="00087B69"/>
    <w:rsid w:val="00087F9F"/>
    <w:rsid w:val="000905EE"/>
    <w:rsid w:val="00090C73"/>
    <w:rsid w:val="00091207"/>
    <w:rsid w:val="0009387E"/>
    <w:rsid w:val="00093C35"/>
    <w:rsid w:val="00093D4C"/>
    <w:rsid w:val="00094064"/>
    <w:rsid w:val="000947F1"/>
    <w:rsid w:val="000949E6"/>
    <w:rsid w:val="00094C95"/>
    <w:rsid w:val="000957C7"/>
    <w:rsid w:val="0009593D"/>
    <w:rsid w:val="00095994"/>
    <w:rsid w:val="00095EAE"/>
    <w:rsid w:val="000966DF"/>
    <w:rsid w:val="000973D4"/>
    <w:rsid w:val="000A08F8"/>
    <w:rsid w:val="000A09BA"/>
    <w:rsid w:val="000A11E5"/>
    <w:rsid w:val="000A1504"/>
    <w:rsid w:val="000A223C"/>
    <w:rsid w:val="000A24A2"/>
    <w:rsid w:val="000A2717"/>
    <w:rsid w:val="000A31AA"/>
    <w:rsid w:val="000A3D7A"/>
    <w:rsid w:val="000A4BCB"/>
    <w:rsid w:val="000A5816"/>
    <w:rsid w:val="000A5AE9"/>
    <w:rsid w:val="000A6391"/>
    <w:rsid w:val="000B0216"/>
    <w:rsid w:val="000B0279"/>
    <w:rsid w:val="000B02B9"/>
    <w:rsid w:val="000B0851"/>
    <w:rsid w:val="000B08A4"/>
    <w:rsid w:val="000B0960"/>
    <w:rsid w:val="000B0DAB"/>
    <w:rsid w:val="000B13B2"/>
    <w:rsid w:val="000B1963"/>
    <w:rsid w:val="000B1B5F"/>
    <w:rsid w:val="000B1BB8"/>
    <w:rsid w:val="000B1CC4"/>
    <w:rsid w:val="000B35E1"/>
    <w:rsid w:val="000B389A"/>
    <w:rsid w:val="000B3B40"/>
    <w:rsid w:val="000B4FE9"/>
    <w:rsid w:val="000B60AE"/>
    <w:rsid w:val="000B6137"/>
    <w:rsid w:val="000B65B8"/>
    <w:rsid w:val="000B6AF4"/>
    <w:rsid w:val="000C0AA0"/>
    <w:rsid w:val="000C0AB9"/>
    <w:rsid w:val="000C1269"/>
    <w:rsid w:val="000C1377"/>
    <w:rsid w:val="000C17B0"/>
    <w:rsid w:val="000C1C4F"/>
    <w:rsid w:val="000C2CB4"/>
    <w:rsid w:val="000C4110"/>
    <w:rsid w:val="000C41EA"/>
    <w:rsid w:val="000C4B6C"/>
    <w:rsid w:val="000C4D44"/>
    <w:rsid w:val="000C4DD8"/>
    <w:rsid w:val="000C6762"/>
    <w:rsid w:val="000C686C"/>
    <w:rsid w:val="000C69D4"/>
    <w:rsid w:val="000C7154"/>
    <w:rsid w:val="000C71F2"/>
    <w:rsid w:val="000C74F1"/>
    <w:rsid w:val="000C7574"/>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A10"/>
    <w:rsid w:val="000D7BA9"/>
    <w:rsid w:val="000D7D03"/>
    <w:rsid w:val="000E01A4"/>
    <w:rsid w:val="000E01BB"/>
    <w:rsid w:val="000E0C38"/>
    <w:rsid w:val="000E0FEE"/>
    <w:rsid w:val="000E17A6"/>
    <w:rsid w:val="000E1875"/>
    <w:rsid w:val="000E1A89"/>
    <w:rsid w:val="000E1E08"/>
    <w:rsid w:val="000E2A07"/>
    <w:rsid w:val="000E36DE"/>
    <w:rsid w:val="000E3F9C"/>
    <w:rsid w:val="000E5C89"/>
    <w:rsid w:val="000E6E62"/>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DD0"/>
    <w:rsid w:val="00100EF6"/>
    <w:rsid w:val="00101022"/>
    <w:rsid w:val="00101550"/>
    <w:rsid w:val="00101A88"/>
    <w:rsid w:val="00102B00"/>
    <w:rsid w:val="00103C81"/>
    <w:rsid w:val="00103FBC"/>
    <w:rsid w:val="00104153"/>
    <w:rsid w:val="001041BA"/>
    <w:rsid w:val="0010489E"/>
    <w:rsid w:val="001048DC"/>
    <w:rsid w:val="00104B84"/>
    <w:rsid w:val="001052E7"/>
    <w:rsid w:val="001056FC"/>
    <w:rsid w:val="001069F0"/>
    <w:rsid w:val="00107541"/>
    <w:rsid w:val="0011054A"/>
    <w:rsid w:val="001113CC"/>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44C"/>
    <w:rsid w:val="00117833"/>
    <w:rsid w:val="001203C4"/>
    <w:rsid w:val="001205DF"/>
    <w:rsid w:val="00120DC2"/>
    <w:rsid w:val="00120EB2"/>
    <w:rsid w:val="00121314"/>
    <w:rsid w:val="00122B8B"/>
    <w:rsid w:val="001236B1"/>
    <w:rsid w:val="0012439E"/>
    <w:rsid w:val="00124AC7"/>
    <w:rsid w:val="00124DF5"/>
    <w:rsid w:val="00125E8C"/>
    <w:rsid w:val="0012633F"/>
    <w:rsid w:val="00126796"/>
    <w:rsid w:val="00127283"/>
    <w:rsid w:val="00127394"/>
    <w:rsid w:val="00127E92"/>
    <w:rsid w:val="00130176"/>
    <w:rsid w:val="00130519"/>
    <w:rsid w:val="00130A54"/>
    <w:rsid w:val="00130C2C"/>
    <w:rsid w:val="00130D97"/>
    <w:rsid w:val="00130EE4"/>
    <w:rsid w:val="00130FD7"/>
    <w:rsid w:val="00131CC8"/>
    <w:rsid w:val="00132E8E"/>
    <w:rsid w:val="00133161"/>
    <w:rsid w:val="001331DD"/>
    <w:rsid w:val="0013329C"/>
    <w:rsid w:val="001332D6"/>
    <w:rsid w:val="00133537"/>
    <w:rsid w:val="00133738"/>
    <w:rsid w:val="00133BBE"/>
    <w:rsid w:val="00133D43"/>
    <w:rsid w:val="001348A7"/>
    <w:rsid w:val="00135321"/>
    <w:rsid w:val="00137242"/>
    <w:rsid w:val="00141351"/>
    <w:rsid w:val="00141C8F"/>
    <w:rsid w:val="00141D40"/>
    <w:rsid w:val="00141F79"/>
    <w:rsid w:val="001423F7"/>
    <w:rsid w:val="00142ED9"/>
    <w:rsid w:val="0014324D"/>
    <w:rsid w:val="001432C0"/>
    <w:rsid w:val="00143BE1"/>
    <w:rsid w:val="00144F52"/>
    <w:rsid w:val="0014543A"/>
    <w:rsid w:val="00145484"/>
    <w:rsid w:val="00145632"/>
    <w:rsid w:val="001456BD"/>
    <w:rsid w:val="00145D2A"/>
    <w:rsid w:val="001468EF"/>
    <w:rsid w:val="001469C4"/>
    <w:rsid w:val="00147522"/>
    <w:rsid w:val="00147B3A"/>
    <w:rsid w:val="00150704"/>
    <w:rsid w:val="00150ECD"/>
    <w:rsid w:val="00151373"/>
    <w:rsid w:val="00152233"/>
    <w:rsid w:val="0015237C"/>
    <w:rsid w:val="00152745"/>
    <w:rsid w:val="00153ED1"/>
    <w:rsid w:val="00154367"/>
    <w:rsid w:val="00154416"/>
    <w:rsid w:val="001544B2"/>
    <w:rsid w:val="00154A90"/>
    <w:rsid w:val="001553B5"/>
    <w:rsid w:val="001556E9"/>
    <w:rsid w:val="00155A2F"/>
    <w:rsid w:val="0015642B"/>
    <w:rsid w:val="001568D4"/>
    <w:rsid w:val="00157AA2"/>
    <w:rsid w:val="00157E9E"/>
    <w:rsid w:val="00160BC8"/>
    <w:rsid w:val="00161870"/>
    <w:rsid w:val="0016302C"/>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1434"/>
    <w:rsid w:val="00171C3E"/>
    <w:rsid w:val="00172069"/>
    <w:rsid w:val="00173868"/>
    <w:rsid w:val="00173D3B"/>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784A"/>
    <w:rsid w:val="0019058B"/>
    <w:rsid w:val="00190DC4"/>
    <w:rsid w:val="00191383"/>
    <w:rsid w:val="0019173B"/>
    <w:rsid w:val="00191C0B"/>
    <w:rsid w:val="00192678"/>
    <w:rsid w:val="001928E7"/>
    <w:rsid w:val="001940A1"/>
    <w:rsid w:val="001951C1"/>
    <w:rsid w:val="00195330"/>
    <w:rsid w:val="00195408"/>
    <w:rsid w:val="001954B8"/>
    <w:rsid w:val="0019588D"/>
    <w:rsid w:val="00195B52"/>
    <w:rsid w:val="00195BED"/>
    <w:rsid w:val="0019638F"/>
    <w:rsid w:val="00196965"/>
    <w:rsid w:val="00196CB7"/>
    <w:rsid w:val="00196F34"/>
    <w:rsid w:val="0019721D"/>
    <w:rsid w:val="001978EC"/>
    <w:rsid w:val="00197C2E"/>
    <w:rsid w:val="001A0370"/>
    <w:rsid w:val="001A0940"/>
    <w:rsid w:val="001A0C26"/>
    <w:rsid w:val="001A1572"/>
    <w:rsid w:val="001A1F77"/>
    <w:rsid w:val="001A2869"/>
    <w:rsid w:val="001A33ED"/>
    <w:rsid w:val="001A376D"/>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3938"/>
    <w:rsid w:val="001B3C6F"/>
    <w:rsid w:val="001B426F"/>
    <w:rsid w:val="001B4527"/>
    <w:rsid w:val="001B5117"/>
    <w:rsid w:val="001B55D3"/>
    <w:rsid w:val="001B5DD9"/>
    <w:rsid w:val="001B60B0"/>
    <w:rsid w:val="001B6539"/>
    <w:rsid w:val="001B658F"/>
    <w:rsid w:val="001B6602"/>
    <w:rsid w:val="001B6CA7"/>
    <w:rsid w:val="001B712A"/>
    <w:rsid w:val="001B7360"/>
    <w:rsid w:val="001B7446"/>
    <w:rsid w:val="001B7540"/>
    <w:rsid w:val="001B7CE2"/>
    <w:rsid w:val="001C01C7"/>
    <w:rsid w:val="001C0200"/>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511F"/>
    <w:rsid w:val="001C56DD"/>
    <w:rsid w:val="001C5BFB"/>
    <w:rsid w:val="001C75A9"/>
    <w:rsid w:val="001C7D63"/>
    <w:rsid w:val="001D016E"/>
    <w:rsid w:val="001D0F23"/>
    <w:rsid w:val="001D1082"/>
    <w:rsid w:val="001D1A2A"/>
    <w:rsid w:val="001D21B6"/>
    <w:rsid w:val="001D350E"/>
    <w:rsid w:val="001D3B3D"/>
    <w:rsid w:val="001D3C2F"/>
    <w:rsid w:val="001D3EB6"/>
    <w:rsid w:val="001D412F"/>
    <w:rsid w:val="001D4161"/>
    <w:rsid w:val="001D4490"/>
    <w:rsid w:val="001D4A4C"/>
    <w:rsid w:val="001D4FB2"/>
    <w:rsid w:val="001D5068"/>
    <w:rsid w:val="001D5360"/>
    <w:rsid w:val="001D62DB"/>
    <w:rsid w:val="001D63C8"/>
    <w:rsid w:val="001D726B"/>
    <w:rsid w:val="001D771F"/>
    <w:rsid w:val="001D7D3E"/>
    <w:rsid w:val="001E0506"/>
    <w:rsid w:val="001E0698"/>
    <w:rsid w:val="001E1789"/>
    <w:rsid w:val="001E2B77"/>
    <w:rsid w:val="001E30E6"/>
    <w:rsid w:val="001E31B9"/>
    <w:rsid w:val="001E3B18"/>
    <w:rsid w:val="001E3C81"/>
    <w:rsid w:val="001E4A13"/>
    <w:rsid w:val="001E528C"/>
    <w:rsid w:val="001E52A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419"/>
    <w:rsid w:val="001F3518"/>
    <w:rsid w:val="001F3535"/>
    <w:rsid w:val="001F4381"/>
    <w:rsid w:val="001F479E"/>
    <w:rsid w:val="001F480C"/>
    <w:rsid w:val="001F5134"/>
    <w:rsid w:val="001F5141"/>
    <w:rsid w:val="001F55A0"/>
    <w:rsid w:val="001F691A"/>
    <w:rsid w:val="001F697E"/>
    <w:rsid w:val="001F76F6"/>
    <w:rsid w:val="001F77AF"/>
    <w:rsid w:val="002002FE"/>
    <w:rsid w:val="00200DBA"/>
    <w:rsid w:val="00200E97"/>
    <w:rsid w:val="002018C8"/>
    <w:rsid w:val="00201D71"/>
    <w:rsid w:val="00201F6C"/>
    <w:rsid w:val="00202445"/>
    <w:rsid w:val="00202647"/>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073E9"/>
    <w:rsid w:val="002100AB"/>
    <w:rsid w:val="002101AD"/>
    <w:rsid w:val="00210BDB"/>
    <w:rsid w:val="00211D5D"/>
    <w:rsid w:val="00212407"/>
    <w:rsid w:val="00212A1D"/>
    <w:rsid w:val="002136E3"/>
    <w:rsid w:val="00213954"/>
    <w:rsid w:val="0021398C"/>
    <w:rsid w:val="00213A06"/>
    <w:rsid w:val="00213DFD"/>
    <w:rsid w:val="00214102"/>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3158"/>
    <w:rsid w:val="002242AF"/>
    <w:rsid w:val="00224F57"/>
    <w:rsid w:val="00225746"/>
    <w:rsid w:val="00225955"/>
    <w:rsid w:val="002264D5"/>
    <w:rsid w:val="0022690C"/>
    <w:rsid w:val="00227189"/>
    <w:rsid w:val="0022730E"/>
    <w:rsid w:val="00227B79"/>
    <w:rsid w:val="002300C6"/>
    <w:rsid w:val="002300E1"/>
    <w:rsid w:val="002304B6"/>
    <w:rsid w:val="0023271B"/>
    <w:rsid w:val="0023299B"/>
    <w:rsid w:val="00233196"/>
    <w:rsid w:val="00234304"/>
    <w:rsid w:val="0023463B"/>
    <w:rsid w:val="002349FE"/>
    <w:rsid w:val="00234EF7"/>
    <w:rsid w:val="002355FD"/>
    <w:rsid w:val="00235A6F"/>
    <w:rsid w:val="00236104"/>
    <w:rsid w:val="00236D55"/>
    <w:rsid w:val="00237199"/>
    <w:rsid w:val="002372F4"/>
    <w:rsid w:val="00237A0B"/>
    <w:rsid w:val="00237D96"/>
    <w:rsid w:val="002400C1"/>
    <w:rsid w:val="00240846"/>
    <w:rsid w:val="002408A3"/>
    <w:rsid w:val="002409E6"/>
    <w:rsid w:val="00240AEE"/>
    <w:rsid w:val="00240E0B"/>
    <w:rsid w:val="00240E9B"/>
    <w:rsid w:val="00240F2E"/>
    <w:rsid w:val="0024226A"/>
    <w:rsid w:val="00242B37"/>
    <w:rsid w:val="00243E03"/>
    <w:rsid w:val="00244022"/>
    <w:rsid w:val="00244EE6"/>
    <w:rsid w:val="00245A2D"/>
    <w:rsid w:val="002461BB"/>
    <w:rsid w:val="002462FB"/>
    <w:rsid w:val="002464DD"/>
    <w:rsid w:val="00247398"/>
    <w:rsid w:val="002502A5"/>
    <w:rsid w:val="00250C42"/>
    <w:rsid w:val="002518C1"/>
    <w:rsid w:val="0025226C"/>
    <w:rsid w:val="00252BF2"/>
    <w:rsid w:val="002534DA"/>
    <w:rsid w:val="002535F1"/>
    <w:rsid w:val="00253712"/>
    <w:rsid w:val="002538DB"/>
    <w:rsid w:val="0025393E"/>
    <w:rsid w:val="00253D4C"/>
    <w:rsid w:val="0025421B"/>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79BD"/>
    <w:rsid w:val="00267D78"/>
    <w:rsid w:val="0027015E"/>
    <w:rsid w:val="002702FD"/>
    <w:rsid w:val="00270425"/>
    <w:rsid w:val="0027067A"/>
    <w:rsid w:val="00271231"/>
    <w:rsid w:val="002733E2"/>
    <w:rsid w:val="00273D1C"/>
    <w:rsid w:val="00273FC8"/>
    <w:rsid w:val="002740A1"/>
    <w:rsid w:val="00274244"/>
    <w:rsid w:val="00274336"/>
    <w:rsid w:val="00274451"/>
    <w:rsid w:val="00274541"/>
    <w:rsid w:val="002754D8"/>
    <w:rsid w:val="00275756"/>
    <w:rsid w:val="00275893"/>
    <w:rsid w:val="0027599C"/>
    <w:rsid w:val="002759A1"/>
    <w:rsid w:val="00275A59"/>
    <w:rsid w:val="0027776E"/>
    <w:rsid w:val="002808D0"/>
    <w:rsid w:val="00280A1F"/>
    <w:rsid w:val="00280A2D"/>
    <w:rsid w:val="00281080"/>
    <w:rsid w:val="00281642"/>
    <w:rsid w:val="002816F6"/>
    <w:rsid w:val="00282325"/>
    <w:rsid w:val="0028241A"/>
    <w:rsid w:val="00282DD6"/>
    <w:rsid w:val="00283395"/>
    <w:rsid w:val="002842CD"/>
    <w:rsid w:val="00284834"/>
    <w:rsid w:val="0028557C"/>
    <w:rsid w:val="002855C9"/>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97E"/>
    <w:rsid w:val="002A4BA2"/>
    <w:rsid w:val="002A4E2D"/>
    <w:rsid w:val="002A5B04"/>
    <w:rsid w:val="002A6138"/>
    <w:rsid w:val="002A6614"/>
    <w:rsid w:val="002A6CF9"/>
    <w:rsid w:val="002A71EF"/>
    <w:rsid w:val="002A77C3"/>
    <w:rsid w:val="002A7872"/>
    <w:rsid w:val="002B0DEE"/>
    <w:rsid w:val="002B1668"/>
    <w:rsid w:val="002B23DF"/>
    <w:rsid w:val="002B32EF"/>
    <w:rsid w:val="002B402A"/>
    <w:rsid w:val="002B48B5"/>
    <w:rsid w:val="002B599D"/>
    <w:rsid w:val="002B5A9F"/>
    <w:rsid w:val="002B5C5E"/>
    <w:rsid w:val="002B6892"/>
    <w:rsid w:val="002B6902"/>
    <w:rsid w:val="002B6E17"/>
    <w:rsid w:val="002C036A"/>
    <w:rsid w:val="002C0420"/>
    <w:rsid w:val="002C149B"/>
    <w:rsid w:val="002C1B5E"/>
    <w:rsid w:val="002C1FE3"/>
    <w:rsid w:val="002C2460"/>
    <w:rsid w:val="002C2D41"/>
    <w:rsid w:val="002C2E16"/>
    <w:rsid w:val="002C3CAC"/>
    <w:rsid w:val="002C40EE"/>
    <w:rsid w:val="002C4E05"/>
    <w:rsid w:val="002C5181"/>
    <w:rsid w:val="002C5358"/>
    <w:rsid w:val="002C55A1"/>
    <w:rsid w:val="002C57C0"/>
    <w:rsid w:val="002C6353"/>
    <w:rsid w:val="002C6C9C"/>
    <w:rsid w:val="002C6E0E"/>
    <w:rsid w:val="002C73F8"/>
    <w:rsid w:val="002C7882"/>
    <w:rsid w:val="002C7925"/>
    <w:rsid w:val="002C7BDD"/>
    <w:rsid w:val="002C7C8A"/>
    <w:rsid w:val="002D04A9"/>
    <w:rsid w:val="002D0838"/>
    <w:rsid w:val="002D10EF"/>
    <w:rsid w:val="002D1E9D"/>
    <w:rsid w:val="002D202F"/>
    <w:rsid w:val="002D2237"/>
    <w:rsid w:val="002D2E8E"/>
    <w:rsid w:val="002D3343"/>
    <w:rsid w:val="002D39DC"/>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39AA"/>
    <w:rsid w:val="002E3AA7"/>
    <w:rsid w:val="002E3E4E"/>
    <w:rsid w:val="002E3F83"/>
    <w:rsid w:val="002E43D6"/>
    <w:rsid w:val="002E44F0"/>
    <w:rsid w:val="002E4561"/>
    <w:rsid w:val="002E466A"/>
    <w:rsid w:val="002E4D99"/>
    <w:rsid w:val="002E59FB"/>
    <w:rsid w:val="002E5BD1"/>
    <w:rsid w:val="002E5E93"/>
    <w:rsid w:val="002E6613"/>
    <w:rsid w:val="002E67CA"/>
    <w:rsid w:val="002E6BE7"/>
    <w:rsid w:val="002E7903"/>
    <w:rsid w:val="002F01B3"/>
    <w:rsid w:val="002F12CB"/>
    <w:rsid w:val="002F14EF"/>
    <w:rsid w:val="002F1841"/>
    <w:rsid w:val="002F1ECD"/>
    <w:rsid w:val="002F1F29"/>
    <w:rsid w:val="002F33C5"/>
    <w:rsid w:val="002F3561"/>
    <w:rsid w:val="002F3591"/>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DED"/>
    <w:rsid w:val="00304499"/>
    <w:rsid w:val="00304743"/>
    <w:rsid w:val="003052D7"/>
    <w:rsid w:val="00305902"/>
    <w:rsid w:val="00305D3D"/>
    <w:rsid w:val="00305F28"/>
    <w:rsid w:val="00305F43"/>
    <w:rsid w:val="00307F1D"/>
    <w:rsid w:val="00310468"/>
    <w:rsid w:val="00310747"/>
    <w:rsid w:val="00310943"/>
    <w:rsid w:val="00310AED"/>
    <w:rsid w:val="00312026"/>
    <w:rsid w:val="003128C0"/>
    <w:rsid w:val="00313AC0"/>
    <w:rsid w:val="00313E14"/>
    <w:rsid w:val="00314B05"/>
    <w:rsid w:val="0031502D"/>
    <w:rsid w:val="003152BB"/>
    <w:rsid w:val="00316286"/>
    <w:rsid w:val="00316A7C"/>
    <w:rsid w:val="00316B20"/>
    <w:rsid w:val="00316F90"/>
    <w:rsid w:val="003177F5"/>
    <w:rsid w:val="00317B16"/>
    <w:rsid w:val="00317DD1"/>
    <w:rsid w:val="0032015D"/>
    <w:rsid w:val="003201F0"/>
    <w:rsid w:val="003202AC"/>
    <w:rsid w:val="00320A3A"/>
    <w:rsid w:val="00320BCD"/>
    <w:rsid w:val="00321082"/>
    <w:rsid w:val="003217E4"/>
    <w:rsid w:val="003219B3"/>
    <w:rsid w:val="003222CC"/>
    <w:rsid w:val="00322655"/>
    <w:rsid w:val="00322C19"/>
    <w:rsid w:val="003231C6"/>
    <w:rsid w:val="00323301"/>
    <w:rsid w:val="0032377B"/>
    <w:rsid w:val="00323AF7"/>
    <w:rsid w:val="00323E35"/>
    <w:rsid w:val="00325545"/>
    <w:rsid w:val="0032560B"/>
    <w:rsid w:val="003258EB"/>
    <w:rsid w:val="00325C94"/>
    <w:rsid w:val="00325F86"/>
    <w:rsid w:val="0032665D"/>
    <w:rsid w:val="003269E3"/>
    <w:rsid w:val="00326A00"/>
    <w:rsid w:val="00326D99"/>
    <w:rsid w:val="00327A9E"/>
    <w:rsid w:val="003301D7"/>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7271"/>
    <w:rsid w:val="00337C72"/>
    <w:rsid w:val="00340540"/>
    <w:rsid w:val="0034083D"/>
    <w:rsid w:val="00340E71"/>
    <w:rsid w:val="003419F1"/>
    <w:rsid w:val="00343B84"/>
    <w:rsid w:val="00343C1B"/>
    <w:rsid w:val="00344709"/>
    <w:rsid w:val="0034515D"/>
    <w:rsid w:val="0034522F"/>
    <w:rsid w:val="00345C11"/>
    <w:rsid w:val="00345C36"/>
    <w:rsid w:val="0034640B"/>
    <w:rsid w:val="003466B1"/>
    <w:rsid w:val="003471BA"/>
    <w:rsid w:val="00347271"/>
    <w:rsid w:val="00347532"/>
    <w:rsid w:val="0035020A"/>
    <w:rsid w:val="00350D46"/>
    <w:rsid w:val="0035106E"/>
    <w:rsid w:val="00351466"/>
    <w:rsid w:val="0035186B"/>
    <w:rsid w:val="003519D2"/>
    <w:rsid w:val="00352751"/>
    <w:rsid w:val="003529F1"/>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60511"/>
    <w:rsid w:val="00360984"/>
    <w:rsid w:val="003611BD"/>
    <w:rsid w:val="0036184E"/>
    <w:rsid w:val="00361DD3"/>
    <w:rsid w:val="00361E00"/>
    <w:rsid w:val="0036228D"/>
    <w:rsid w:val="0036239E"/>
    <w:rsid w:val="003628D5"/>
    <w:rsid w:val="00362926"/>
    <w:rsid w:val="00362F11"/>
    <w:rsid w:val="00362F44"/>
    <w:rsid w:val="0036358E"/>
    <w:rsid w:val="00363815"/>
    <w:rsid w:val="00364587"/>
    <w:rsid w:val="00364897"/>
    <w:rsid w:val="003648F9"/>
    <w:rsid w:val="003649B6"/>
    <w:rsid w:val="00364B80"/>
    <w:rsid w:val="00364F1E"/>
    <w:rsid w:val="00364FD2"/>
    <w:rsid w:val="0036598D"/>
    <w:rsid w:val="00366369"/>
    <w:rsid w:val="00366C68"/>
    <w:rsid w:val="00370035"/>
    <w:rsid w:val="0037021C"/>
    <w:rsid w:val="003710E3"/>
    <w:rsid w:val="0037284E"/>
    <w:rsid w:val="00372CCF"/>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BB0"/>
    <w:rsid w:val="003851EB"/>
    <w:rsid w:val="0038643E"/>
    <w:rsid w:val="003865AB"/>
    <w:rsid w:val="00386ECF"/>
    <w:rsid w:val="003900A3"/>
    <w:rsid w:val="0039043D"/>
    <w:rsid w:val="00390808"/>
    <w:rsid w:val="00390C84"/>
    <w:rsid w:val="00391116"/>
    <w:rsid w:val="00391287"/>
    <w:rsid w:val="00391C95"/>
    <w:rsid w:val="00391FE4"/>
    <w:rsid w:val="00392004"/>
    <w:rsid w:val="00393519"/>
    <w:rsid w:val="00393710"/>
    <w:rsid w:val="00394135"/>
    <w:rsid w:val="0039461B"/>
    <w:rsid w:val="00395268"/>
    <w:rsid w:val="00395B8D"/>
    <w:rsid w:val="00395CC6"/>
    <w:rsid w:val="003964B3"/>
    <w:rsid w:val="00396967"/>
    <w:rsid w:val="00396A15"/>
    <w:rsid w:val="003973F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520"/>
    <w:rsid w:val="003A7A5A"/>
    <w:rsid w:val="003A7DF2"/>
    <w:rsid w:val="003A7E56"/>
    <w:rsid w:val="003B1798"/>
    <w:rsid w:val="003B1D85"/>
    <w:rsid w:val="003B23B7"/>
    <w:rsid w:val="003B2665"/>
    <w:rsid w:val="003B2FB3"/>
    <w:rsid w:val="003B2FC7"/>
    <w:rsid w:val="003B301A"/>
    <w:rsid w:val="003B331E"/>
    <w:rsid w:val="003B38B2"/>
    <w:rsid w:val="003B44C4"/>
    <w:rsid w:val="003B47E0"/>
    <w:rsid w:val="003B48EB"/>
    <w:rsid w:val="003B558C"/>
    <w:rsid w:val="003B577A"/>
    <w:rsid w:val="003B5D39"/>
    <w:rsid w:val="003B6B07"/>
    <w:rsid w:val="003B7829"/>
    <w:rsid w:val="003B783F"/>
    <w:rsid w:val="003C00A6"/>
    <w:rsid w:val="003C099E"/>
    <w:rsid w:val="003C09E9"/>
    <w:rsid w:val="003C0B78"/>
    <w:rsid w:val="003C101A"/>
    <w:rsid w:val="003C1115"/>
    <w:rsid w:val="003C1EAE"/>
    <w:rsid w:val="003C1F92"/>
    <w:rsid w:val="003C2039"/>
    <w:rsid w:val="003C23EB"/>
    <w:rsid w:val="003C2522"/>
    <w:rsid w:val="003C2BA5"/>
    <w:rsid w:val="003C300B"/>
    <w:rsid w:val="003C3FE6"/>
    <w:rsid w:val="003C47D4"/>
    <w:rsid w:val="003C4C07"/>
    <w:rsid w:val="003C4E03"/>
    <w:rsid w:val="003C6A3C"/>
    <w:rsid w:val="003C6F0F"/>
    <w:rsid w:val="003C772D"/>
    <w:rsid w:val="003C7927"/>
    <w:rsid w:val="003D086F"/>
    <w:rsid w:val="003D0AF8"/>
    <w:rsid w:val="003D0B9A"/>
    <w:rsid w:val="003D131B"/>
    <w:rsid w:val="003D168A"/>
    <w:rsid w:val="003D1B7B"/>
    <w:rsid w:val="003D2B14"/>
    <w:rsid w:val="003D2E55"/>
    <w:rsid w:val="003D2EDB"/>
    <w:rsid w:val="003D35DA"/>
    <w:rsid w:val="003D3DB0"/>
    <w:rsid w:val="003D4C38"/>
    <w:rsid w:val="003D51A3"/>
    <w:rsid w:val="003D542A"/>
    <w:rsid w:val="003D5C0A"/>
    <w:rsid w:val="003D6B87"/>
    <w:rsid w:val="003E01CA"/>
    <w:rsid w:val="003E0BF7"/>
    <w:rsid w:val="003E0C04"/>
    <w:rsid w:val="003E0F8F"/>
    <w:rsid w:val="003E1671"/>
    <w:rsid w:val="003E2A93"/>
    <w:rsid w:val="003E2D2D"/>
    <w:rsid w:val="003E2EC5"/>
    <w:rsid w:val="003E308B"/>
    <w:rsid w:val="003E38D1"/>
    <w:rsid w:val="003E3B70"/>
    <w:rsid w:val="003E49DE"/>
    <w:rsid w:val="003E4B39"/>
    <w:rsid w:val="003E4EE4"/>
    <w:rsid w:val="003E5283"/>
    <w:rsid w:val="003E5713"/>
    <w:rsid w:val="003E63CA"/>
    <w:rsid w:val="003E6547"/>
    <w:rsid w:val="003E7C0D"/>
    <w:rsid w:val="003F0019"/>
    <w:rsid w:val="003F03A3"/>
    <w:rsid w:val="003F09F9"/>
    <w:rsid w:val="003F126A"/>
    <w:rsid w:val="003F22CE"/>
    <w:rsid w:val="003F23FE"/>
    <w:rsid w:val="003F27FB"/>
    <w:rsid w:val="003F2812"/>
    <w:rsid w:val="003F3BCE"/>
    <w:rsid w:val="003F44FB"/>
    <w:rsid w:val="003F4D9B"/>
    <w:rsid w:val="003F5F76"/>
    <w:rsid w:val="003F6B77"/>
    <w:rsid w:val="003F6F2C"/>
    <w:rsid w:val="0040081C"/>
    <w:rsid w:val="00400A47"/>
    <w:rsid w:val="00400AE5"/>
    <w:rsid w:val="00401DD7"/>
    <w:rsid w:val="00402690"/>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E53"/>
    <w:rsid w:val="00411266"/>
    <w:rsid w:val="00411A15"/>
    <w:rsid w:val="00411B23"/>
    <w:rsid w:val="00411DDB"/>
    <w:rsid w:val="0041301B"/>
    <w:rsid w:val="00413318"/>
    <w:rsid w:val="004156A0"/>
    <w:rsid w:val="004157A2"/>
    <w:rsid w:val="00415951"/>
    <w:rsid w:val="00415D5A"/>
    <w:rsid w:val="004160C6"/>
    <w:rsid w:val="00416611"/>
    <w:rsid w:val="004166B0"/>
    <w:rsid w:val="00416C81"/>
    <w:rsid w:val="00417192"/>
    <w:rsid w:val="0041767E"/>
    <w:rsid w:val="004203CE"/>
    <w:rsid w:val="00420BC5"/>
    <w:rsid w:val="004219D0"/>
    <w:rsid w:val="00421A40"/>
    <w:rsid w:val="00422195"/>
    <w:rsid w:val="004222B8"/>
    <w:rsid w:val="004226D0"/>
    <w:rsid w:val="00422838"/>
    <w:rsid w:val="00422994"/>
    <w:rsid w:val="00422CCB"/>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76C"/>
    <w:rsid w:val="00430F0A"/>
    <w:rsid w:val="00430F55"/>
    <w:rsid w:val="0043118F"/>
    <w:rsid w:val="004312BA"/>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59BF"/>
    <w:rsid w:val="004374EC"/>
    <w:rsid w:val="004377CE"/>
    <w:rsid w:val="00437B62"/>
    <w:rsid w:val="00437BB3"/>
    <w:rsid w:val="0044034D"/>
    <w:rsid w:val="00441705"/>
    <w:rsid w:val="00441B92"/>
    <w:rsid w:val="0044204F"/>
    <w:rsid w:val="0044241A"/>
    <w:rsid w:val="00442A7C"/>
    <w:rsid w:val="00442C72"/>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D86"/>
    <w:rsid w:val="00455075"/>
    <w:rsid w:val="0045580F"/>
    <w:rsid w:val="00456586"/>
    <w:rsid w:val="00456E66"/>
    <w:rsid w:val="00457053"/>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79E"/>
    <w:rsid w:val="00466B93"/>
    <w:rsid w:val="004703C0"/>
    <w:rsid w:val="00470A1F"/>
    <w:rsid w:val="00470D8C"/>
    <w:rsid w:val="00470F8C"/>
    <w:rsid w:val="00471124"/>
    <w:rsid w:val="00471B14"/>
    <w:rsid w:val="0047245F"/>
    <w:rsid w:val="00472A6F"/>
    <w:rsid w:val="00472BB5"/>
    <w:rsid w:val="00472E09"/>
    <w:rsid w:val="00473AB2"/>
    <w:rsid w:val="00473C94"/>
    <w:rsid w:val="004740AE"/>
    <w:rsid w:val="004744DB"/>
    <w:rsid w:val="00474849"/>
    <w:rsid w:val="00474BB0"/>
    <w:rsid w:val="004753F9"/>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0DF9"/>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52B"/>
    <w:rsid w:val="004A1AB6"/>
    <w:rsid w:val="004A20B5"/>
    <w:rsid w:val="004A2132"/>
    <w:rsid w:val="004A349B"/>
    <w:rsid w:val="004A40DC"/>
    <w:rsid w:val="004A4210"/>
    <w:rsid w:val="004A4536"/>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8CA"/>
    <w:rsid w:val="004C3A6D"/>
    <w:rsid w:val="004C53E2"/>
    <w:rsid w:val="004C5482"/>
    <w:rsid w:val="004C557A"/>
    <w:rsid w:val="004C5DCA"/>
    <w:rsid w:val="004C6049"/>
    <w:rsid w:val="004C6413"/>
    <w:rsid w:val="004C6EFE"/>
    <w:rsid w:val="004C6FE5"/>
    <w:rsid w:val="004C7207"/>
    <w:rsid w:val="004C75F4"/>
    <w:rsid w:val="004C7B8F"/>
    <w:rsid w:val="004C7C0B"/>
    <w:rsid w:val="004D0CD6"/>
    <w:rsid w:val="004D1D07"/>
    <w:rsid w:val="004D1F65"/>
    <w:rsid w:val="004D21B5"/>
    <w:rsid w:val="004D21BE"/>
    <w:rsid w:val="004D2264"/>
    <w:rsid w:val="004D273B"/>
    <w:rsid w:val="004D2A5A"/>
    <w:rsid w:val="004D2B58"/>
    <w:rsid w:val="004D3418"/>
    <w:rsid w:val="004D3C14"/>
    <w:rsid w:val="004D3EA1"/>
    <w:rsid w:val="004D3EE4"/>
    <w:rsid w:val="004D4C57"/>
    <w:rsid w:val="004D5131"/>
    <w:rsid w:val="004D51C0"/>
    <w:rsid w:val="004D6237"/>
    <w:rsid w:val="004D68ED"/>
    <w:rsid w:val="004D6D4D"/>
    <w:rsid w:val="004D6E04"/>
    <w:rsid w:val="004D70E2"/>
    <w:rsid w:val="004E0585"/>
    <w:rsid w:val="004E075A"/>
    <w:rsid w:val="004E18B1"/>
    <w:rsid w:val="004E2018"/>
    <w:rsid w:val="004E210B"/>
    <w:rsid w:val="004E22C8"/>
    <w:rsid w:val="004E22EC"/>
    <w:rsid w:val="004E2505"/>
    <w:rsid w:val="004E259D"/>
    <w:rsid w:val="004E278C"/>
    <w:rsid w:val="004E2C24"/>
    <w:rsid w:val="004E2DA4"/>
    <w:rsid w:val="004E4061"/>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4191"/>
    <w:rsid w:val="004F419E"/>
    <w:rsid w:val="004F457F"/>
    <w:rsid w:val="004F45E0"/>
    <w:rsid w:val="004F544A"/>
    <w:rsid w:val="004F55B9"/>
    <w:rsid w:val="004F5DB6"/>
    <w:rsid w:val="004F6899"/>
    <w:rsid w:val="004F6BF6"/>
    <w:rsid w:val="004F6E37"/>
    <w:rsid w:val="004F7254"/>
    <w:rsid w:val="004F7AFE"/>
    <w:rsid w:val="0050101E"/>
    <w:rsid w:val="0050115B"/>
    <w:rsid w:val="005011D7"/>
    <w:rsid w:val="00501DBA"/>
    <w:rsid w:val="005030C9"/>
    <w:rsid w:val="005039A5"/>
    <w:rsid w:val="00503D6C"/>
    <w:rsid w:val="00504573"/>
    <w:rsid w:val="00504740"/>
    <w:rsid w:val="00504D02"/>
    <w:rsid w:val="00504E35"/>
    <w:rsid w:val="005050D4"/>
    <w:rsid w:val="0050555E"/>
    <w:rsid w:val="005059A9"/>
    <w:rsid w:val="00505BB1"/>
    <w:rsid w:val="005062D6"/>
    <w:rsid w:val="005063A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6BF"/>
    <w:rsid w:val="005158C2"/>
    <w:rsid w:val="00515EDE"/>
    <w:rsid w:val="00516197"/>
    <w:rsid w:val="00516DA3"/>
    <w:rsid w:val="00516E14"/>
    <w:rsid w:val="00517126"/>
    <w:rsid w:val="00517351"/>
    <w:rsid w:val="0051736E"/>
    <w:rsid w:val="0051792D"/>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EFA"/>
    <w:rsid w:val="005362DD"/>
    <w:rsid w:val="005368DE"/>
    <w:rsid w:val="005400A2"/>
    <w:rsid w:val="00540A53"/>
    <w:rsid w:val="0054174A"/>
    <w:rsid w:val="005418B4"/>
    <w:rsid w:val="00542C9C"/>
    <w:rsid w:val="0054374C"/>
    <w:rsid w:val="00543A81"/>
    <w:rsid w:val="00544CE1"/>
    <w:rsid w:val="005451A6"/>
    <w:rsid w:val="0054583B"/>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43FF"/>
    <w:rsid w:val="005546DD"/>
    <w:rsid w:val="00554DE2"/>
    <w:rsid w:val="00555125"/>
    <w:rsid w:val="0055530F"/>
    <w:rsid w:val="00555376"/>
    <w:rsid w:val="0055548F"/>
    <w:rsid w:val="00555BEA"/>
    <w:rsid w:val="00556CE5"/>
    <w:rsid w:val="00557540"/>
    <w:rsid w:val="00560672"/>
    <w:rsid w:val="005613DD"/>
    <w:rsid w:val="00561932"/>
    <w:rsid w:val="00561CE4"/>
    <w:rsid w:val="00562BEB"/>
    <w:rsid w:val="00563091"/>
    <w:rsid w:val="00563935"/>
    <w:rsid w:val="00563A75"/>
    <w:rsid w:val="00563B54"/>
    <w:rsid w:val="00565D73"/>
    <w:rsid w:val="00565F64"/>
    <w:rsid w:val="00565F7C"/>
    <w:rsid w:val="0056669E"/>
    <w:rsid w:val="0056770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704A"/>
    <w:rsid w:val="00577147"/>
    <w:rsid w:val="0057728A"/>
    <w:rsid w:val="00577491"/>
    <w:rsid w:val="0058125D"/>
    <w:rsid w:val="00581BC1"/>
    <w:rsid w:val="00582D5B"/>
    <w:rsid w:val="00583680"/>
    <w:rsid w:val="005837CE"/>
    <w:rsid w:val="00583B37"/>
    <w:rsid w:val="00583F15"/>
    <w:rsid w:val="005846DA"/>
    <w:rsid w:val="0058526D"/>
    <w:rsid w:val="005852A6"/>
    <w:rsid w:val="00585D7E"/>
    <w:rsid w:val="00586950"/>
    <w:rsid w:val="00586B29"/>
    <w:rsid w:val="00586CF2"/>
    <w:rsid w:val="00586D7A"/>
    <w:rsid w:val="0058717C"/>
    <w:rsid w:val="005875A5"/>
    <w:rsid w:val="0058798B"/>
    <w:rsid w:val="00587EF8"/>
    <w:rsid w:val="005900AF"/>
    <w:rsid w:val="0059055E"/>
    <w:rsid w:val="0059116B"/>
    <w:rsid w:val="00591A62"/>
    <w:rsid w:val="00591CA1"/>
    <w:rsid w:val="00591EB1"/>
    <w:rsid w:val="00591FE6"/>
    <w:rsid w:val="005925F4"/>
    <w:rsid w:val="005928D5"/>
    <w:rsid w:val="00593479"/>
    <w:rsid w:val="00593F20"/>
    <w:rsid w:val="00595D44"/>
    <w:rsid w:val="00596AA7"/>
    <w:rsid w:val="00596C4E"/>
    <w:rsid w:val="005973E2"/>
    <w:rsid w:val="00597D1C"/>
    <w:rsid w:val="00597D7D"/>
    <w:rsid w:val="00597E37"/>
    <w:rsid w:val="00597E85"/>
    <w:rsid w:val="00597EAC"/>
    <w:rsid w:val="005A017A"/>
    <w:rsid w:val="005A0808"/>
    <w:rsid w:val="005A136B"/>
    <w:rsid w:val="005A201D"/>
    <w:rsid w:val="005A2638"/>
    <w:rsid w:val="005A2C2A"/>
    <w:rsid w:val="005A3465"/>
    <w:rsid w:val="005A35E0"/>
    <w:rsid w:val="005A43F2"/>
    <w:rsid w:val="005A458D"/>
    <w:rsid w:val="005A47C2"/>
    <w:rsid w:val="005A4E06"/>
    <w:rsid w:val="005A509E"/>
    <w:rsid w:val="005A664A"/>
    <w:rsid w:val="005A66A1"/>
    <w:rsid w:val="005A735B"/>
    <w:rsid w:val="005A7418"/>
    <w:rsid w:val="005A7745"/>
    <w:rsid w:val="005B1E07"/>
    <w:rsid w:val="005B1FA4"/>
    <w:rsid w:val="005B2ACB"/>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B7B08"/>
    <w:rsid w:val="005C0393"/>
    <w:rsid w:val="005C08D3"/>
    <w:rsid w:val="005C0B62"/>
    <w:rsid w:val="005C0DE9"/>
    <w:rsid w:val="005C19D3"/>
    <w:rsid w:val="005C19F2"/>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CB0"/>
    <w:rsid w:val="005E2062"/>
    <w:rsid w:val="005E21CB"/>
    <w:rsid w:val="005E2B27"/>
    <w:rsid w:val="005E3478"/>
    <w:rsid w:val="005E3805"/>
    <w:rsid w:val="005E391F"/>
    <w:rsid w:val="005E39CD"/>
    <w:rsid w:val="005E3E2C"/>
    <w:rsid w:val="005E4A67"/>
    <w:rsid w:val="005E4B70"/>
    <w:rsid w:val="005E4B7C"/>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B79"/>
    <w:rsid w:val="005F3523"/>
    <w:rsid w:val="005F3FD8"/>
    <w:rsid w:val="005F4916"/>
    <w:rsid w:val="005F4926"/>
    <w:rsid w:val="005F4D20"/>
    <w:rsid w:val="005F514B"/>
    <w:rsid w:val="005F5535"/>
    <w:rsid w:val="005F5AF0"/>
    <w:rsid w:val="005F6203"/>
    <w:rsid w:val="005F6FC1"/>
    <w:rsid w:val="00600194"/>
    <w:rsid w:val="00600A30"/>
    <w:rsid w:val="00601B2E"/>
    <w:rsid w:val="00601B6C"/>
    <w:rsid w:val="00601D9C"/>
    <w:rsid w:val="00602004"/>
    <w:rsid w:val="0060207A"/>
    <w:rsid w:val="00602782"/>
    <w:rsid w:val="006027A4"/>
    <w:rsid w:val="00602CC3"/>
    <w:rsid w:val="00602F41"/>
    <w:rsid w:val="00603281"/>
    <w:rsid w:val="00603A7C"/>
    <w:rsid w:val="00603CBA"/>
    <w:rsid w:val="006040FD"/>
    <w:rsid w:val="0060419A"/>
    <w:rsid w:val="0060468A"/>
    <w:rsid w:val="00604DAB"/>
    <w:rsid w:val="006063D9"/>
    <w:rsid w:val="0060688E"/>
    <w:rsid w:val="00606BDD"/>
    <w:rsid w:val="00606D84"/>
    <w:rsid w:val="00606FF0"/>
    <w:rsid w:val="00607219"/>
    <w:rsid w:val="0061033D"/>
    <w:rsid w:val="00610671"/>
    <w:rsid w:val="006109ED"/>
    <w:rsid w:val="006110EC"/>
    <w:rsid w:val="006115A3"/>
    <w:rsid w:val="00611CB0"/>
    <w:rsid w:val="00611FD5"/>
    <w:rsid w:val="006120B9"/>
    <w:rsid w:val="006125F2"/>
    <w:rsid w:val="00612A77"/>
    <w:rsid w:val="00612CB2"/>
    <w:rsid w:val="00613674"/>
    <w:rsid w:val="0061564A"/>
    <w:rsid w:val="006156B8"/>
    <w:rsid w:val="006158F4"/>
    <w:rsid w:val="00615D3F"/>
    <w:rsid w:val="00615D72"/>
    <w:rsid w:val="00616052"/>
    <w:rsid w:val="00617785"/>
    <w:rsid w:val="00617CC1"/>
    <w:rsid w:val="00620784"/>
    <w:rsid w:val="006208B6"/>
    <w:rsid w:val="00621254"/>
    <w:rsid w:val="00621379"/>
    <w:rsid w:val="00621532"/>
    <w:rsid w:val="00621679"/>
    <w:rsid w:val="0062390D"/>
    <w:rsid w:val="00623A18"/>
    <w:rsid w:val="006242FE"/>
    <w:rsid w:val="00624458"/>
    <w:rsid w:val="00624FA7"/>
    <w:rsid w:val="00625A4B"/>
    <w:rsid w:val="00626083"/>
    <w:rsid w:val="00626338"/>
    <w:rsid w:val="006263B2"/>
    <w:rsid w:val="006265F4"/>
    <w:rsid w:val="00626C50"/>
    <w:rsid w:val="00626D7E"/>
    <w:rsid w:val="00626E58"/>
    <w:rsid w:val="00627100"/>
    <w:rsid w:val="00627409"/>
    <w:rsid w:val="00627530"/>
    <w:rsid w:val="00627C51"/>
    <w:rsid w:val="006304CC"/>
    <w:rsid w:val="00630A18"/>
    <w:rsid w:val="00631612"/>
    <w:rsid w:val="006328B3"/>
    <w:rsid w:val="00632F53"/>
    <w:rsid w:val="006333FC"/>
    <w:rsid w:val="00633F7C"/>
    <w:rsid w:val="00634222"/>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2"/>
    <w:rsid w:val="00645FE2"/>
    <w:rsid w:val="00646048"/>
    <w:rsid w:val="006469B9"/>
    <w:rsid w:val="00646AF2"/>
    <w:rsid w:val="006474AC"/>
    <w:rsid w:val="006474E3"/>
    <w:rsid w:val="0064770C"/>
    <w:rsid w:val="006504EC"/>
    <w:rsid w:val="00650E10"/>
    <w:rsid w:val="006515F1"/>
    <w:rsid w:val="00651B56"/>
    <w:rsid w:val="00651DBA"/>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9FD"/>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63D"/>
    <w:rsid w:val="006659AB"/>
    <w:rsid w:val="00665D19"/>
    <w:rsid w:val="00666109"/>
    <w:rsid w:val="006662E9"/>
    <w:rsid w:val="00666912"/>
    <w:rsid w:val="00666B79"/>
    <w:rsid w:val="006673C4"/>
    <w:rsid w:val="00667671"/>
    <w:rsid w:val="00667A25"/>
    <w:rsid w:val="00670631"/>
    <w:rsid w:val="00670805"/>
    <w:rsid w:val="00670DD6"/>
    <w:rsid w:val="00672059"/>
    <w:rsid w:val="006720D3"/>
    <w:rsid w:val="00672BEB"/>
    <w:rsid w:val="00673A37"/>
    <w:rsid w:val="00673DE0"/>
    <w:rsid w:val="00674957"/>
    <w:rsid w:val="00675263"/>
    <w:rsid w:val="006752F0"/>
    <w:rsid w:val="00675542"/>
    <w:rsid w:val="00675717"/>
    <w:rsid w:val="0067598C"/>
    <w:rsid w:val="00675A96"/>
    <w:rsid w:val="00675C3A"/>
    <w:rsid w:val="00676091"/>
    <w:rsid w:val="00676C5B"/>
    <w:rsid w:val="00677314"/>
    <w:rsid w:val="006773E7"/>
    <w:rsid w:val="006778CB"/>
    <w:rsid w:val="006778F6"/>
    <w:rsid w:val="00677B47"/>
    <w:rsid w:val="00680396"/>
    <w:rsid w:val="00680621"/>
    <w:rsid w:val="006806D1"/>
    <w:rsid w:val="00680E87"/>
    <w:rsid w:val="00681351"/>
    <w:rsid w:val="0068149B"/>
    <w:rsid w:val="0068168E"/>
    <w:rsid w:val="00681842"/>
    <w:rsid w:val="006819AF"/>
    <w:rsid w:val="00682BCD"/>
    <w:rsid w:val="00682FA4"/>
    <w:rsid w:val="006834F6"/>
    <w:rsid w:val="00683CAF"/>
    <w:rsid w:val="00684591"/>
    <w:rsid w:val="0068498C"/>
    <w:rsid w:val="00684BFA"/>
    <w:rsid w:val="0068540A"/>
    <w:rsid w:val="00685579"/>
    <w:rsid w:val="006857CE"/>
    <w:rsid w:val="006859DE"/>
    <w:rsid w:val="00686457"/>
    <w:rsid w:val="00686815"/>
    <w:rsid w:val="00686A37"/>
    <w:rsid w:val="00686E03"/>
    <w:rsid w:val="00687145"/>
    <w:rsid w:val="00687172"/>
    <w:rsid w:val="006875B3"/>
    <w:rsid w:val="00687BDB"/>
    <w:rsid w:val="00687E38"/>
    <w:rsid w:val="006902AE"/>
    <w:rsid w:val="00690CF0"/>
    <w:rsid w:val="00690EEC"/>
    <w:rsid w:val="00690F9D"/>
    <w:rsid w:val="006912B3"/>
    <w:rsid w:val="0069141B"/>
    <w:rsid w:val="0069167B"/>
    <w:rsid w:val="006927CE"/>
    <w:rsid w:val="00692978"/>
    <w:rsid w:val="0069326F"/>
    <w:rsid w:val="0069446F"/>
    <w:rsid w:val="00694640"/>
    <w:rsid w:val="0069491F"/>
    <w:rsid w:val="00694D25"/>
    <w:rsid w:val="00694F80"/>
    <w:rsid w:val="006953ED"/>
    <w:rsid w:val="00695680"/>
    <w:rsid w:val="006965CE"/>
    <w:rsid w:val="00697714"/>
    <w:rsid w:val="006978CA"/>
    <w:rsid w:val="00697A2E"/>
    <w:rsid w:val="006A0C5D"/>
    <w:rsid w:val="006A0F08"/>
    <w:rsid w:val="006A0F7B"/>
    <w:rsid w:val="006A20A5"/>
    <w:rsid w:val="006A2AED"/>
    <w:rsid w:val="006A33E6"/>
    <w:rsid w:val="006A39BF"/>
    <w:rsid w:val="006A3C27"/>
    <w:rsid w:val="006A3E77"/>
    <w:rsid w:val="006A3EB9"/>
    <w:rsid w:val="006A3ECA"/>
    <w:rsid w:val="006A411D"/>
    <w:rsid w:val="006A4328"/>
    <w:rsid w:val="006A4358"/>
    <w:rsid w:val="006A4605"/>
    <w:rsid w:val="006A52B8"/>
    <w:rsid w:val="006A55A9"/>
    <w:rsid w:val="006A6178"/>
    <w:rsid w:val="006A61F8"/>
    <w:rsid w:val="006A6C83"/>
    <w:rsid w:val="006A6CBA"/>
    <w:rsid w:val="006A6D8D"/>
    <w:rsid w:val="006A7504"/>
    <w:rsid w:val="006A7615"/>
    <w:rsid w:val="006A7A3D"/>
    <w:rsid w:val="006A7AF5"/>
    <w:rsid w:val="006B13AA"/>
    <w:rsid w:val="006B1E06"/>
    <w:rsid w:val="006B2F9D"/>
    <w:rsid w:val="006B47FC"/>
    <w:rsid w:val="006B5233"/>
    <w:rsid w:val="006B54FD"/>
    <w:rsid w:val="006B5582"/>
    <w:rsid w:val="006B586A"/>
    <w:rsid w:val="006B5A93"/>
    <w:rsid w:val="006B5EED"/>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4196"/>
    <w:rsid w:val="006C4492"/>
    <w:rsid w:val="006C4B9E"/>
    <w:rsid w:val="006C5491"/>
    <w:rsid w:val="006C606A"/>
    <w:rsid w:val="006C6387"/>
    <w:rsid w:val="006C6B28"/>
    <w:rsid w:val="006C71A6"/>
    <w:rsid w:val="006C73DA"/>
    <w:rsid w:val="006C784B"/>
    <w:rsid w:val="006C79E3"/>
    <w:rsid w:val="006C7D99"/>
    <w:rsid w:val="006C7DDC"/>
    <w:rsid w:val="006D06F4"/>
    <w:rsid w:val="006D1171"/>
    <w:rsid w:val="006D1652"/>
    <w:rsid w:val="006D1F55"/>
    <w:rsid w:val="006D3810"/>
    <w:rsid w:val="006D39A7"/>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F03"/>
    <w:rsid w:val="006E3FCA"/>
    <w:rsid w:val="006E422C"/>
    <w:rsid w:val="006E4F3D"/>
    <w:rsid w:val="006E565C"/>
    <w:rsid w:val="006E5881"/>
    <w:rsid w:val="006E6751"/>
    <w:rsid w:val="006E6ADE"/>
    <w:rsid w:val="006E6B4D"/>
    <w:rsid w:val="006E6DDE"/>
    <w:rsid w:val="006E70B3"/>
    <w:rsid w:val="006E737F"/>
    <w:rsid w:val="006E7A32"/>
    <w:rsid w:val="006E7A3C"/>
    <w:rsid w:val="006F0C17"/>
    <w:rsid w:val="006F0F5A"/>
    <w:rsid w:val="006F2691"/>
    <w:rsid w:val="006F31EC"/>
    <w:rsid w:val="006F36F7"/>
    <w:rsid w:val="006F3CCC"/>
    <w:rsid w:val="006F4221"/>
    <w:rsid w:val="006F42E0"/>
    <w:rsid w:val="006F5038"/>
    <w:rsid w:val="006F555F"/>
    <w:rsid w:val="006F748A"/>
    <w:rsid w:val="006F79A4"/>
    <w:rsid w:val="006F7CF0"/>
    <w:rsid w:val="00700A50"/>
    <w:rsid w:val="007014D9"/>
    <w:rsid w:val="00701B82"/>
    <w:rsid w:val="007021CF"/>
    <w:rsid w:val="00702A0C"/>
    <w:rsid w:val="00702DA2"/>
    <w:rsid w:val="007033F7"/>
    <w:rsid w:val="0070350D"/>
    <w:rsid w:val="00703952"/>
    <w:rsid w:val="007043B2"/>
    <w:rsid w:val="00704A81"/>
    <w:rsid w:val="007054DA"/>
    <w:rsid w:val="00705774"/>
    <w:rsid w:val="00707318"/>
    <w:rsid w:val="0070798F"/>
    <w:rsid w:val="00707E86"/>
    <w:rsid w:val="00707EFE"/>
    <w:rsid w:val="00710352"/>
    <w:rsid w:val="007108DF"/>
    <w:rsid w:val="00710A1F"/>
    <w:rsid w:val="00711033"/>
    <w:rsid w:val="00711042"/>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21DA"/>
    <w:rsid w:val="00722E29"/>
    <w:rsid w:val="007236F8"/>
    <w:rsid w:val="00723994"/>
    <w:rsid w:val="007241A3"/>
    <w:rsid w:val="0072452D"/>
    <w:rsid w:val="007246BE"/>
    <w:rsid w:val="007261E0"/>
    <w:rsid w:val="007270A4"/>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31"/>
    <w:rsid w:val="00736F77"/>
    <w:rsid w:val="0073737F"/>
    <w:rsid w:val="007376B1"/>
    <w:rsid w:val="00740DC1"/>
    <w:rsid w:val="007410B6"/>
    <w:rsid w:val="00741995"/>
    <w:rsid w:val="00741B46"/>
    <w:rsid w:val="00741BD8"/>
    <w:rsid w:val="0074229B"/>
    <w:rsid w:val="00742CC6"/>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14D1"/>
    <w:rsid w:val="007521AE"/>
    <w:rsid w:val="00753165"/>
    <w:rsid w:val="00753334"/>
    <w:rsid w:val="00753CB7"/>
    <w:rsid w:val="00753D97"/>
    <w:rsid w:val="007542F6"/>
    <w:rsid w:val="007545FA"/>
    <w:rsid w:val="00755D2A"/>
    <w:rsid w:val="0075638D"/>
    <w:rsid w:val="00756E68"/>
    <w:rsid w:val="00757505"/>
    <w:rsid w:val="00757597"/>
    <w:rsid w:val="007608F1"/>
    <w:rsid w:val="00760DAB"/>
    <w:rsid w:val="007621A6"/>
    <w:rsid w:val="00762772"/>
    <w:rsid w:val="007669AB"/>
    <w:rsid w:val="007670EA"/>
    <w:rsid w:val="00767BF8"/>
    <w:rsid w:val="007700F1"/>
    <w:rsid w:val="00770FFE"/>
    <w:rsid w:val="00771091"/>
    <w:rsid w:val="00771660"/>
    <w:rsid w:val="00771BF1"/>
    <w:rsid w:val="007722A6"/>
    <w:rsid w:val="00772666"/>
    <w:rsid w:val="00773F28"/>
    <w:rsid w:val="007743F6"/>
    <w:rsid w:val="00774631"/>
    <w:rsid w:val="00774CDC"/>
    <w:rsid w:val="0077594E"/>
    <w:rsid w:val="00775EB6"/>
    <w:rsid w:val="00776DD8"/>
    <w:rsid w:val="0077719B"/>
    <w:rsid w:val="007777C9"/>
    <w:rsid w:val="00780032"/>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901AD"/>
    <w:rsid w:val="007902A4"/>
    <w:rsid w:val="0079085C"/>
    <w:rsid w:val="00790A41"/>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146C"/>
    <w:rsid w:val="007A147B"/>
    <w:rsid w:val="007A18A8"/>
    <w:rsid w:val="007A1BC7"/>
    <w:rsid w:val="007A2106"/>
    <w:rsid w:val="007A247F"/>
    <w:rsid w:val="007A2D1B"/>
    <w:rsid w:val="007A2D64"/>
    <w:rsid w:val="007A3F6E"/>
    <w:rsid w:val="007A464E"/>
    <w:rsid w:val="007A4DA7"/>
    <w:rsid w:val="007A50D0"/>
    <w:rsid w:val="007A535E"/>
    <w:rsid w:val="007A599F"/>
    <w:rsid w:val="007A5CEE"/>
    <w:rsid w:val="007A5F4C"/>
    <w:rsid w:val="007A6F32"/>
    <w:rsid w:val="007A75F5"/>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7531"/>
    <w:rsid w:val="007B7ED8"/>
    <w:rsid w:val="007C086D"/>
    <w:rsid w:val="007C09A8"/>
    <w:rsid w:val="007C1647"/>
    <w:rsid w:val="007C1671"/>
    <w:rsid w:val="007C1E42"/>
    <w:rsid w:val="007C2385"/>
    <w:rsid w:val="007C23DE"/>
    <w:rsid w:val="007C3112"/>
    <w:rsid w:val="007C31B8"/>
    <w:rsid w:val="007C446E"/>
    <w:rsid w:val="007C518E"/>
    <w:rsid w:val="007C61DF"/>
    <w:rsid w:val="007C6296"/>
    <w:rsid w:val="007C639A"/>
    <w:rsid w:val="007C66CE"/>
    <w:rsid w:val="007C6BFD"/>
    <w:rsid w:val="007C7453"/>
    <w:rsid w:val="007C7548"/>
    <w:rsid w:val="007C7B84"/>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43A"/>
    <w:rsid w:val="007D659D"/>
    <w:rsid w:val="007D6624"/>
    <w:rsid w:val="007D67ED"/>
    <w:rsid w:val="007D6863"/>
    <w:rsid w:val="007E0773"/>
    <w:rsid w:val="007E1324"/>
    <w:rsid w:val="007E26A8"/>
    <w:rsid w:val="007E2AF2"/>
    <w:rsid w:val="007E2B57"/>
    <w:rsid w:val="007E300A"/>
    <w:rsid w:val="007E4184"/>
    <w:rsid w:val="007E431E"/>
    <w:rsid w:val="007E46F2"/>
    <w:rsid w:val="007E55E3"/>
    <w:rsid w:val="007E6032"/>
    <w:rsid w:val="007E62A2"/>
    <w:rsid w:val="007E67D9"/>
    <w:rsid w:val="007E6EFB"/>
    <w:rsid w:val="007E747B"/>
    <w:rsid w:val="007E7754"/>
    <w:rsid w:val="007E7D84"/>
    <w:rsid w:val="007F00AA"/>
    <w:rsid w:val="007F19EC"/>
    <w:rsid w:val="007F1EF2"/>
    <w:rsid w:val="007F23A4"/>
    <w:rsid w:val="007F256B"/>
    <w:rsid w:val="007F2D69"/>
    <w:rsid w:val="007F35DD"/>
    <w:rsid w:val="007F3A12"/>
    <w:rsid w:val="007F3E57"/>
    <w:rsid w:val="007F4895"/>
    <w:rsid w:val="007F4B12"/>
    <w:rsid w:val="007F5030"/>
    <w:rsid w:val="007F601D"/>
    <w:rsid w:val="007F677B"/>
    <w:rsid w:val="007F6B78"/>
    <w:rsid w:val="007F7157"/>
    <w:rsid w:val="007F755F"/>
    <w:rsid w:val="00800194"/>
    <w:rsid w:val="008007F3"/>
    <w:rsid w:val="00800804"/>
    <w:rsid w:val="00801057"/>
    <w:rsid w:val="00801B9B"/>
    <w:rsid w:val="00802C47"/>
    <w:rsid w:val="00802D52"/>
    <w:rsid w:val="00803609"/>
    <w:rsid w:val="0080374E"/>
    <w:rsid w:val="008037A6"/>
    <w:rsid w:val="00803EA8"/>
    <w:rsid w:val="00804836"/>
    <w:rsid w:val="00804986"/>
    <w:rsid w:val="00804BB8"/>
    <w:rsid w:val="00804D50"/>
    <w:rsid w:val="00805537"/>
    <w:rsid w:val="00805583"/>
    <w:rsid w:val="0080632A"/>
    <w:rsid w:val="00806502"/>
    <w:rsid w:val="00806B63"/>
    <w:rsid w:val="008071C3"/>
    <w:rsid w:val="00807C26"/>
    <w:rsid w:val="00811A67"/>
    <w:rsid w:val="00811F52"/>
    <w:rsid w:val="00812108"/>
    <w:rsid w:val="0081237D"/>
    <w:rsid w:val="008123DA"/>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2BD4"/>
    <w:rsid w:val="00822D15"/>
    <w:rsid w:val="00823C9C"/>
    <w:rsid w:val="00824864"/>
    <w:rsid w:val="00824917"/>
    <w:rsid w:val="008250BD"/>
    <w:rsid w:val="008256E3"/>
    <w:rsid w:val="00827039"/>
    <w:rsid w:val="00827A93"/>
    <w:rsid w:val="00827DEA"/>
    <w:rsid w:val="00827F35"/>
    <w:rsid w:val="008303F9"/>
    <w:rsid w:val="008311C6"/>
    <w:rsid w:val="00831434"/>
    <w:rsid w:val="00831B47"/>
    <w:rsid w:val="0083239E"/>
    <w:rsid w:val="00832A58"/>
    <w:rsid w:val="008331AA"/>
    <w:rsid w:val="0083354A"/>
    <w:rsid w:val="00833BE5"/>
    <w:rsid w:val="00833E5B"/>
    <w:rsid w:val="008343D5"/>
    <w:rsid w:val="008347E2"/>
    <w:rsid w:val="00834A95"/>
    <w:rsid w:val="00834B47"/>
    <w:rsid w:val="0083690E"/>
    <w:rsid w:val="008375D7"/>
    <w:rsid w:val="008375E5"/>
    <w:rsid w:val="0084056F"/>
    <w:rsid w:val="0084059A"/>
    <w:rsid w:val="00841775"/>
    <w:rsid w:val="00841AEE"/>
    <w:rsid w:val="00841C59"/>
    <w:rsid w:val="00842222"/>
    <w:rsid w:val="00842AA6"/>
    <w:rsid w:val="00842C7C"/>
    <w:rsid w:val="00843447"/>
    <w:rsid w:val="00843702"/>
    <w:rsid w:val="008439E5"/>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4D6"/>
    <w:rsid w:val="00855CE4"/>
    <w:rsid w:val="00855E13"/>
    <w:rsid w:val="008568C2"/>
    <w:rsid w:val="00856B32"/>
    <w:rsid w:val="00856C42"/>
    <w:rsid w:val="00856D29"/>
    <w:rsid w:val="008606CD"/>
    <w:rsid w:val="00861254"/>
    <w:rsid w:val="00861D26"/>
    <w:rsid w:val="00862C5E"/>
    <w:rsid w:val="00862DDD"/>
    <w:rsid w:val="00862F9E"/>
    <w:rsid w:val="008634BF"/>
    <w:rsid w:val="008636FF"/>
    <w:rsid w:val="008638BA"/>
    <w:rsid w:val="0086433F"/>
    <w:rsid w:val="008657A7"/>
    <w:rsid w:val="00865CE4"/>
    <w:rsid w:val="0086657A"/>
    <w:rsid w:val="00866DA9"/>
    <w:rsid w:val="00866E7E"/>
    <w:rsid w:val="0087014B"/>
    <w:rsid w:val="008701C9"/>
    <w:rsid w:val="0087082C"/>
    <w:rsid w:val="00870C71"/>
    <w:rsid w:val="0087146C"/>
    <w:rsid w:val="00871656"/>
    <w:rsid w:val="00871B44"/>
    <w:rsid w:val="00872CCB"/>
    <w:rsid w:val="00872E71"/>
    <w:rsid w:val="00873CA0"/>
    <w:rsid w:val="00874AC5"/>
    <w:rsid w:val="00874B22"/>
    <w:rsid w:val="00875484"/>
    <w:rsid w:val="0087590F"/>
    <w:rsid w:val="00875B5B"/>
    <w:rsid w:val="00875E0F"/>
    <w:rsid w:val="00877522"/>
    <w:rsid w:val="008778AD"/>
    <w:rsid w:val="0087791C"/>
    <w:rsid w:val="00880ACF"/>
    <w:rsid w:val="00881285"/>
    <w:rsid w:val="00881CE4"/>
    <w:rsid w:val="00882042"/>
    <w:rsid w:val="00882534"/>
    <w:rsid w:val="00882862"/>
    <w:rsid w:val="00882C95"/>
    <w:rsid w:val="00883624"/>
    <w:rsid w:val="00883913"/>
    <w:rsid w:val="00883F59"/>
    <w:rsid w:val="00883FF6"/>
    <w:rsid w:val="008840DF"/>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2245"/>
    <w:rsid w:val="008A28E5"/>
    <w:rsid w:val="008A3E6E"/>
    <w:rsid w:val="008A4214"/>
    <w:rsid w:val="008A4787"/>
    <w:rsid w:val="008A4932"/>
    <w:rsid w:val="008A50F7"/>
    <w:rsid w:val="008A5432"/>
    <w:rsid w:val="008A54D0"/>
    <w:rsid w:val="008A6584"/>
    <w:rsid w:val="008A6FD2"/>
    <w:rsid w:val="008A79D2"/>
    <w:rsid w:val="008A7B91"/>
    <w:rsid w:val="008B0567"/>
    <w:rsid w:val="008B0E4B"/>
    <w:rsid w:val="008B1C51"/>
    <w:rsid w:val="008B2BA2"/>
    <w:rsid w:val="008B488E"/>
    <w:rsid w:val="008B4F3E"/>
    <w:rsid w:val="008B4FDA"/>
    <w:rsid w:val="008B54D4"/>
    <w:rsid w:val="008B55E3"/>
    <w:rsid w:val="008B5DBB"/>
    <w:rsid w:val="008B627B"/>
    <w:rsid w:val="008B6916"/>
    <w:rsid w:val="008B699B"/>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4491"/>
    <w:rsid w:val="008D46A1"/>
    <w:rsid w:val="008D5522"/>
    <w:rsid w:val="008D669B"/>
    <w:rsid w:val="008D69F5"/>
    <w:rsid w:val="008D6CAE"/>
    <w:rsid w:val="008D6E8B"/>
    <w:rsid w:val="008D7113"/>
    <w:rsid w:val="008D7553"/>
    <w:rsid w:val="008D775E"/>
    <w:rsid w:val="008D79FB"/>
    <w:rsid w:val="008D7DB6"/>
    <w:rsid w:val="008E08C2"/>
    <w:rsid w:val="008E1572"/>
    <w:rsid w:val="008E1813"/>
    <w:rsid w:val="008E2138"/>
    <w:rsid w:val="008E2218"/>
    <w:rsid w:val="008E2CFA"/>
    <w:rsid w:val="008E2DCF"/>
    <w:rsid w:val="008E33A1"/>
    <w:rsid w:val="008E4406"/>
    <w:rsid w:val="008E4445"/>
    <w:rsid w:val="008E4BDE"/>
    <w:rsid w:val="008E5931"/>
    <w:rsid w:val="008E5D47"/>
    <w:rsid w:val="008E5E6A"/>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1DD"/>
    <w:rsid w:val="008F30A0"/>
    <w:rsid w:val="008F3FDE"/>
    <w:rsid w:val="008F41E6"/>
    <w:rsid w:val="008F4617"/>
    <w:rsid w:val="008F517E"/>
    <w:rsid w:val="008F5A40"/>
    <w:rsid w:val="008F60DA"/>
    <w:rsid w:val="008F6397"/>
    <w:rsid w:val="008F6FF1"/>
    <w:rsid w:val="008F75E6"/>
    <w:rsid w:val="0090055F"/>
    <w:rsid w:val="009007B6"/>
    <w:rsid w:val="009007F0"/>
    <w:rsid w:val="00901B4B"/>
    <w:rsid w:val="00901F8E"/>
    <w:rsid w:val="00902009"/>
    <w:rsid w:val="00902319"/>
    <w:rsid w:val="0090329A"/>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53F3"/>
    <w:rsid w:val="00915AA0"/>
    <w:rsid w:val="009161D0"/>
    <w:rsid w:val="00916313"/>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4BB"/>
    <w:rsid w:val="00923D4C"/>
    <w:rsid w:val="00924A51"/>
    <w:rsid w:val="00925B80"/>
    <w:rsid w:val="00925CAA"/>
    <w:rsid w:val="0092689C"/>
    <w:rsid w:val="0092726C"/>
    <w:rsid w:val="0092769A"/>
    <w:rsid w:val="00927A52"/>
    <w:rsid w:val="00927F5C"/>
    <w:rsid w:val="00931B3F"/>
    <w:rsid w:val="00933CB3"/>
    <w:rsid w:val="00934030"/>
    <w:rsid w:val="0093432D"/>
    <w:rsid w:val="009345AC"/>
    <w:rsid w:val="00935039"/>
    <w:rsid w:val="009353D9"/>
    <w:rsid w:val="00935E48"/>
    <w:rsid w:val="00936430"/>
    <w:rsid w:val="00936BC8"/>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58E"/>
    <w:rsid w:val="0094671F"/>
    <w:rsid w:val="0094674F"/>
    <w:rsid w:val="00946818"/>
    <w:rsid w:val="00946B57"/>
    <w:rsid w:val="009472A3"/>
    <w:rsid w:val="009477B3"/>
    <w:rsid w:val="009513DA"/>
    <w:rsid w:val="009516BD"/>
    <w:rsid w:val="00954626"/>
    <w:rsid w:val="0095487B"/>
    <w:rsid w:val="009548FB"/>
    <w:rsid w:val="00956646"/>
    <w:rsid w:val="009567E8"/>
    <w:rsid w:val="00956810"/>
    <w:rsid w:val="00956D18"/>
    <w:rsid w:val="009577E8"/>
    <w:rsid w:val="00957B24"/>
    <w:rsid w:val="00960BF6"/>
    <w:rsid w:val="0096294B"/>
    <w:rsid w:val="0096326C"/>
    <w:rsid w:val="00963414"/>
    <w:rsid w:val="00963BF7"/>
    <w:rsid w:val="00964C97"/>
    <w:rsid w:val="00964E84"/>
    <w:rsid w:val="009657B6"/>
    <w:rsid w:val="00966266"/>
    <w:rsid w:val="00966793"/>
    <w:rsid w:val="00966877"/>
    <w:rsid w:val="00966F16"/>
    <w:rsid w:val="00967AFE"/>
    <w:rsid w:val="00967BF7"/>
    <w:rsid w:val="00970CAF"/>
    <w:rsid w:val="00970E80"/>
    <w:rsid w:val="009712FD"/>
    <w:rsid w:val="00971E2D"/>
    <w:rsid w:val="009729AC"/>
    <w:rsid w:val="00973497"/>
    <w:rsid w:val="00973879"/>
    <w:rsid w:val="00973968"/>
    <w:rsid w:val="009739D7"/>
    <w:rsid w:val="00973DE4"/>
    <w:rsid w:val="00973DF2"/>
    <w:rsid w:val="00974D45"/>
    <w:rsid w:val="00975714"/>
    <w:rsid w:val="0097574C"/>
    <w:rsid w:val="00975FED"/>
    <w:rsid w:val="00976770"/>
    <w:rsid w:val="00976ACA"/>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13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B017C"/>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871"/>
    <w:rsid w:val="00A20BDF"/>
    <w:rsid w:val="00A20F90"/>
    <w:rsid w:val="00A21513"/>
    <w:rsid w:val="00A22231"/>
    <w:rsid w:val="00A22426"/>
    <w:rsid w:val="00A23388"/>
    <w:rsid w:val="00A2368F"/>
    <w:rsid w:val="00A239D8"/>
    <w:rsid w:val="00A25490"/>
    <w:rsid w:val="00A25612"/>
    <w:rsid w:val="00A258FB"/>
    <w:rsid w:val="00A25A48"/>
    <w:rsid w:val="00A25A9E"/>
    <w:rsid w:val="00A269D6"/>
    <w:rsid w:val="00A26DA7"/>
    <w:rsid w:val="00A27685"/>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4098A"/>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5020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60636"/>
    <w:rsid w:val="00A60999"/>
    <w:rsid w:val="00A60AB1"/>
    <w:rsid w:val="00A60FFF"/>
    <w:rsid w:val="00A613A9"/>
    <w:rsid w:val="00A61813"/>
    <w:rsid w:val="00A6186F"/>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4846"/>
    <w:rsid w:val="00A74F83"/>
    <w:rsid w:val="00A75156"/>
    <w:rsid w:val="00A7583C"/>
    <w:rsid w:val="00A75E5F"/>
    <w:rsid w:val="00A76903"/>
    <w:rsid w:val="00A76ABC"/>
    <w:rsid w:val="00A774E7"/>
    <w:rsid w:val="00A7753F"/>
    <w:rsid w:val="00A77EB5"/>
    <w:rsid w:val="00A801A2"/>
    <w:rsid w:val="00A80C19"/>
    <w:rsid w:val="00A818A6"/>
    <w:rsid w:val="00A820E1"/>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17"/>
    <w:rsid w:val="00A87873"/>
    <w:rsid w:val="00A87DE3"/>
    <w:rsid w:val="00A910F7"/>
    <w:rsid w:val="00A92501"/>
    <w:rsid w:val="00A94C76"/>
    <w:rsid w:val="00A94D43"/>
    <w:rsid w:val="00A94F78"/>
    <w:rsid w:val="00A965AE"/>
    <w:rsid w:val="00A966C3"/>
    <w:rsid w:val="00A96F26"/>
    <w:rsid w:val="00A97465"/>
    <w:rsid w:val="00A974DA"/>
    <w:rsid w:val="00A97D73"/>
    <w:rsid w:val="00AA0B81"/>
    <w:rsid w:val="00AA0D9B"/>
    <w:rsid w:val="00AA1C11"/>
    <w:rsid w:val="00AA3365"/>
    <w:rsid w:val="00AA43BB"/>
    <w:rsid w:val="00AA4931"/>
    <w:rsid w:val="00AA4BF2"/>
    <w:rsid w:val="00AA4DEC"/>
    <w:rsid w:val="00AA51C0"/>
    <w:rsid w:val="00AA5B98"/>
    <w:rsid w:val="00AA60CE"/>
    <w:rsid w:val="00AA6A8D"/>
    <w:rsid w:val="00AA6D60"/>
    <w:rsid w:val="00AA6F52"/>
    <w:rsid w:val="00AA7371"/>
    <w:rsid w:val="00AA7FB3"/>
    <w:rsid w:val="00AB0CB5"/>
    <w:rsid w:val="00AB10F0"/>
    <w:rsid w:val="00AB11F1"/>
    <w:rsid w:val="00AB1567"/>
    <w:rsid w:val="00AB1EE6"/>
    <w:rsid w:val="00AB277E"/>
    <w:rsid w:val="00AB2DFB"/>
    <w:rsid w:val="00AB36AF"/>
    <w:rsid w:val="00AB39F9"/>
    <w:rsid w:val="00AB3DF9"/>
    <w:rsid w:val="00AB4455"/>
    <w:rsid w:val="00AB4F4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4843"/>
    <w:rsid w:val="00AD4B7D"/>
    <w:rsid w:val="00AD50F8"/>
    <w:rsid w:val="00AD5A38"/>
    <w:rsid w:val="00AD5E51"/>
    <w:rsid w:val="00AD62CB"/>
    <w:rsid w:val="00AD6CBE"/>
    <w:rsid w:val="00AD6ECE"/>
    <w:rsid w:val="00AD799E"/>
    <w:rsid w:val="00AD7E6D"/>
    <w:rsid w:val="00AE0397"/>
    <w:rsid w:val="00AE076A"/>
    <w:rsid w:val="00AE1573"/>
    <w:rsid w:val="00AE1B46"/>
    <w:rsid w:val="00AE1BDA"/>
    <w:rsid w:val="00AE1E4B"/>
    <w:rsid w:val="00AE2411"/>
    <w:rsid w:val="00AE24D7"/>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D5F"/>
    <w:rsid w:val="00AF6EC7"/>
    <w:rsid w:val="00AF71E4"/>
    <w:rsid w:val="00AF7256"/>
    <w:rsid w:val="00B00F3C"/>
    <w:rsid w:val="00B00F61"/>
    <w:rsid w:val="00B013A1"/>
    <w:rsid w:val="00B01729"/>
    <w:rsid w:val="00B0267F"/>
    <w:rsid w:val="00B02A0A"/>
    <w:rsid w:val="00B0456E"/>
    <w:rsid w:val="00B04B31"/>
    <w:rsid w:val="00B05146"/>
    <w:rsid w:val="00B05E2A"/>
    <w:rsid w:val="00B07987"/>
    <w:rsid w:val="00B1025C"/>
    <w:rsid w:val="00B104BD"/>
    <w:rsid w:val="00B104ED"/>
    <w:rsid w:val="00B1088B"/>
    <w:rsid w:val="00B10979"/>
    <w:rsid w:val="00B110FC"/>
    <w:rsid w:val="00B1140B"/>
    <w:rsid w:val="00B147F5"/>
    <w:rsid w:val="00B1493B"/>
    <w:rsid w:val="00B15079"/>
    <w:rsid w:val="00B154E6"/>
    <w:rsid w:val="00B155F2"/>
    <w:rsid w:val="00B16451"/>
    <w:rsid w:val="00B1732C"/>
    <w:rsid w:val="00B17C6E"/>
    <w:rsid w:val="00B17E53"/>
    <w:rsid w:val="00B20119"/>
    <w:rsid w:val="00B20717"/>
    <w:rsid w:val="00B20A03"/>
    <w:rsid w:val="00B20A18"/>
    <w:rsid w:val="00B20FB6"/>
    <w:rsid w:val="00B21591"/>
    <w:rsid w:val="00B21ABF"/>
    <w:rsid w:val="00B22116"/>
    <w:rsid w:val="00B221C3"/>
    <w:rsid w:val="00B224D7"/>
    <w:rsid w:val="00B22DC9"/>
    <w:rsid w:val="00B230F4"/>
    <w:rsid w:val="00B239C2"/>
    <w:rsid w:val="00B23A6D"/>
    <w:rsid w:val="00B2427B"/>
    <w:rsid w:val="00B24314"/>
    <w:rsid w:val="00B24B2B"/>
    <w:rsid w:val="00B24E1D"/>
    <w:rsid w:val="00B2680D"/>
    <w:rsid w:val="00B26C85"/>
    <w:rsid w:val="00B26F36"/>
    <w:rsid w:val="00B275A3"/>
    <w:rsid w:val="00B3045D"/>
    <w:rsid w:val="00B304E3"/>
    <w:rsid w:val="00B306BE"/>
    <w:rsid w:val="00B31604"/>
    <w:rsid w:val="00B3238B"/>
    <w:rsid w:val="00B323FB"/>
    <w:rsid w:val="00B32846"/>
    <w:rsid w:val="00B32F42"/>
    <w:rsid w:val="00B340A5"/>
    <w:rsid w:val="00B3419D"/>
    <w:rsid w:val="00B346ED"/>
    <w:rsid w:val="00B34B4B"/>
    <w:rsid w:val="00B34DED"/>
    <w:rsid w:val="00B3512B"/>
    <w:rsid w:val="00B358E6"/>
    <w:rsid w:val="00B35A1F"/>
    <w:rsid w:val="00B36F62"/>
    <w:rsid w:val="00B37721"/>
    <w:rsid w:val="00B37A3D"/>
    <w:rsid w:val="00B4045F"/>
    <w:rsid w:val="00B415DB"/>
    <w:rsid w:val="00B417A7"/>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4EA"/>
    <w:rsid w:val="00B50F26"/>
    <w:rsid w:val="00B518B7"/>
    <w:rsid w:val="00B51B62"/>
    <w:rsid w:val="00B524FC"/>
    <w:rsid w:val="00B52F7C"/>
    <w:rsid w:val="00B53498"/>
    <w:rsid w:val="00B54BBC"/>
    <w:rsid w:val="00B55616"/>
    <w:rsid w:val="00B556C4"/>
    <w:rsid w:val="00B56097"/>
    <w:rsid w:val="00B5612E"/>
    <w:rsid w:val="00B56DBD"/>
    <w:rsid w:val="00B56E8A"/>
    <w:rsid w:val="00B56F64"/>
    <w:rsid w:val="00B572F5"/>
    <w:rsid w:val="00B5738F"/>
    <w:rsid w:val="00B5753B"/>
    <w:rsid w:val="00B57818"/>
    <w:rsid w:val="00B60517"/>
    <w:rsid w:val="00B61524"/>
    <w:rsid w:val="00B61611"/>
    <w:rsid w:val="00B61931"/>
    <w:rsid w:val="00B61CA8"/>
    <w:rsid w:val="00B626E3"/>
    <w:rsid w:val="00B62740"/>
    <w:rsid w:val="00B62EDF"/>
    <w:rsid w:val="00B631C8"/>
    <w:rsid w:val="00B636CA"/>
    <w:rsid w:val="00B64B15"/>
    <w:rsid w:val="00B6577D"/>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971"/>
    <w:rsid w:val="00B821DA"/>
    <w:rsid w:val="00B828C4"/>
    <w:rsid w:val="00B82D67"/>
    <w:rsid w:val="00B835AA"/>
    <w:rsid w:val="00B83639"/>
    <w:rsid w:val="00B8387F"/>
    <w:rsid w:val="00B83AFB"/>
    <w:rsid w:val="00B84450"/>
    <w:rsid w:val="00B84528"/>
    <w:rsid w:val="00B84E0E"/>
    <w:rsid w:val="00B863BD"/>
    <w:rsid w:val="00B86C59"/>
    <w:rsid w:val="00B87596"/>
    <w:rsid w:val="00B87686"/>
    <w:rsid w:val="00B8771B"/>
    <w:rsid w:val="00B9082C"/>
    <w:rsid w:val="00B90AB5"/>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A096D"/>
    <w:rsid w:val="00BA0F40"/>
    <w:rsid w:val="00BA26B3"/>
    <w:rsid w:val="00BA2721"/>
    <w:rsid w:val="00BA28A8"/>
    <w:rsid w:val="00BA2DD7"/>
    <w:rsid w:val="00BA2F85"/>
    <w:rsid w:val="00BA30B5"/>
    <w:rsid w:val="00BA3190"/>
    <w:rsid w:val="00BA3390"/>
    <w:rsid w:val="00BA38A7"/>
    <w:rsid w:val="00BA417D"/>
    <w:rsid w:val="00BA4CFE"/>
    <w:rsid w:val="00BA5425"/>
    <w:rsid w:val="00BA5426"/>
    <w:rsid w:val="00BA576F"/>
    <w:rsid w:val="00BA618C"/>
    <w:rsid w:val="00BA6326"/>
    <w:rsid w:val="00BA68E8"/>
    <w:rsid w:val="00BA6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3A2"/>
    <w:rsid w:val="00BB6AA1"/>
    <w:rsid w:val="00BB7D9B"/>
    <w:rsid w:val="00BB7DD9"/>
    <w:rsid w:val="00BC0CAC"/>
    <w:rsid w:val="00BC0F30"/>
    <w:rsid w:val="00BC1288"/>
    <w:rsid w:val="00BC20B4"/>
    <w:rsid w:val="00BC2170"/>
    <w:rsid w:val="00BC29C0"/>
    <w:rsid w:val="00BC2FEF"/>
    <w:rsid w:val="00BC3106"/>
    <w:rsid w:val="00BC34EB"/>
    <w:rsid w:val="00BC4020"/>
    <w:rsid w:val="00BC44BD"/>
    <w:rsid w:val="00BC5315"/>
    <w:rsid w:val="00BC56CF"/>
    <w:rsid w:val="00BC595B"/>
    <w:rsid w:val="00BC5A44"/>
    <w:rsid w:val="00BC5F0B"/>
    <w:rsid w:val="00BC7DAD"/>
    <w:rsid w:val="00BC7E68"/>
    <w:rsid w:val="00BD021D"/>
    <w:rsid w:val="00BD0553"/>
    <w:rsid w:val="00BD0888"/>
    <w:rsid w:val="00BD147C"/>
    <w:rsid w:val="00BD1946"/>
    <w:rsid w:val="00BD1CC5"/>
    <w:rsid w:val="00BD1DDF"/>
    <w:rsid w:val="00BD21A2"/>
    <w:rsid w:val="00BD263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C87"/>
    <w:rsid w:val="00BD78AF"/>
    <w:rsid w:val="00BE001D"/>
    <w:rsid w:val="00BE055B"/>
    <w:rsid w:val="00BE06CF"/>
    <w:rsid w:val="00BE11E3"/>
    <w:rsid w:val="00BE18BD"/>
    <w:rsid w:val="00BE1ED3"/>
    <w:rsid w:val="00BE25E1"/>
    <w:rsid w:val="00BE3479"/>
    <w:rsid w:val="00BE3A5E"/>
    <w:rsid w:val="00BE3AD2"/>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E7C31"/>
    <w:rsid w:val="00BF0830"/>
    <w:rsid w:val="00BF0CAD"/>
    <w:rsid w:val="00BF10FE"/>
    <w:rsid w:val="00BF148C"/>
    <w:rsid w:val="00BF1818"/>
    <w:rsid w:val="00BF2787"/>
    <w:rsid w:val="00BF2FF9"/>
    <w:rsid w:val="00BF34E7"/>
    <w:rsid w:val="00BF4741"/>
    <w:rsid w:val="00BF48F9"/>
    <w:rsid w:val="00BF585E"/>
    <w:rsid w:val="00BF60A9"/>
    <w:rsid w:val="00BF60BA"/>
    <w:rsid w:val="00BF649B"/>
    <w:rsid w:val="00BF6E2F"/>
    <w:rsid w:val="00BF7575"/>
    <w:rsid w:val="00BF7ABF"/>
    <w:rsid w:val="00BF7ED2"/>
    <w:rsid w:val="00C009EF"/>
    <w:rsid w:val="00C00D22"/>
    <w:rsid w:val="00C01470"/>
    <w:rsid w:val="00C01B4E"/>
    <w:rsid w:val="00C01D59"/>
    <w:rsid w:val="00C02980"/>
    <w:rsid w:val="00C02E6F"/>
    <w:rsid w:val="00C0391B"/>
    <w:rsid w:val="00C03A32"/>
    <w:rsid w:val="00C041FF"/>
    <w:rsid w:val="00C04682"/>
    <w:rsid w:val="00C047E7"/>
    <w:rsid w:val="00C052A5"/>
    <w:rsid w:val="00C059B2"/>
    <w:rsid w:val="00C05F94"/>
    <w:rsid w:val="00C0609F"/>
    <w:rsid w:val="00C067AD"/>
    <w:rsid w:val="00C067F1"/>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7B6"/>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2B8"/>
    <w:rsid w:val="00C2179A"/>
    <w:rsid w:val="00C21DC7"/>
    <w:rsid w:val="00C23AFF"/>
    <w:rsid w:val="00C2468C"/>
    <w:rsid w:val="00C2498C"/>
    <w:rsid w:val="00C24F97"/>
    <w:rsid w:val="00C25269"/>
    <w:rsid w:val="00C25489"/>
    <w:rsid w:val="00C26044"/>
    <w:rsid w:val="00C276D7"/>
    <w:rsid w:val="00C302E7"/>
    <w:rsid w:val="00C30432"/>
    <w:rsid w:val="00C30F54"/>
    <w:rsid w:val="00C317D5"/>
    <w:rsid w:val="00C31A6F"/>
    <w:rsid w:val="00C31AC5"/>
    <w:rsid w:val="00C31B38"/>
    <w:rsid w:val="00C31D22"/>
    <w:rsid w:val="00C3294A"/>
    <w:rsid w:val="00C32E6F"/>
    <w:rsid w:val="00C336F2"/>
    <w:rsid w:val="00C33F92"/>
    <w:rsid w:val="00C35281"/>
    <w:rsid w:val="00C3535E"/>
    <w:rsid w:val="00C353FD"/>
    <w:rsid w:val="00C357B1"/>
    <w:rsid w:val="00C3585C"/>
    <w:rsid w:val="00C35D61"/>
    <w:rsid w:val="00C35E94"/>
    <w:rsid w:val="00C363B4"/>
    <w:rsid w:val="00C3677E"/>
    <w:rsid w:val="00C36823"/>
    <w:rsid w:val="00C36AAE"/>
    <w:rsid w:val="00C37801"/>
    <w:rsid w:val="00C400F3"/>
    <w:rsid w:val="00C401B6"/>
    <w:rsid w:val="00C406AC"/>
    <w:rsid w:val="00C41FBA"/>
    <w:rsid w:val="00C4220E"/>
    <w:rsid w:val="00C42310"/>
    <w:rsid w:val="00C4231C"/>
    <w:rsid w:val="00C42457"/>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503BD"/>
    <w:rsid w:val="00C5048D"/>
    <w:rsid w:val="00C5173F"/>
    <w:rsid w:val="00C518ED"/>
    <w:rsid w:val="00C51A02"/>
    <w:rsid w:val="00C522DD"/>
    <w:rsid w:val="00C52AB8"/>
    <w:rsid w:val="00C554BA"/>
    <w:rsid w:val="00C55A11"/>
    <w:rsid w:val="00C55DB2"/>
    <w:rsid w:val="00C561B9"/>
    <w:rsid w:val="00C564D7"/>
    <w:rsid w:val="00C56A50"/>
    <w:rsid w:val="00C570C0"/>
    <w:rsid w:val="00C600BB"/>
    <w:rsid w:val="00C60810"/>
    <w:rsid w:val="00C60BB6"/>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C75"/>
    <w:rsid w:val="00C7042E"/>
    <w:rsid w:val="00C70708"/>
    <w:rsid w:val="00C7071D"/>
    <w:rsid w:val="00C7106D"/>
    <w:rsid w:val="00C710CB"/>
    <w:rsid w:val="00C71416"/>
    <w:rsid w:val="00C7154D"/>
    <w:rsid w:val="00C719AA"/>
    <w:rsid w:val="00C71BF9"/>
    <w:rsid w:val="00C722DE"/>
    <w:rsid w:val="00C722FA"/>
    <w:rsid w:val="00C72CF3"/>
    <w:rsid w:val="00C73EC7"/>
    <w:rsid w:val="00C7402E"/>
    <w:rsid w:val="00C7441D"/>
    <w:rsid w:val="00C74507"/>
    <w:rsid w:val="00C74BB4"/>
    <w:rsid w:val="00C753FE"/>
    <w:rsid w:val="00C75566"/>
    <w:rsid w:val="00C759D5"/>
    <w:rsid w:val="00C762D1"/>
    <w:rsid w:val="00C76ACA"/>
    <w:rsid w:val="00C76B8D"/>
    <w:rsid w:val="00C772E3"/>
    <w:rsid w:val="00C7747E"/>
    <w:rsid w:val="00C774C6"/>
    <w:rsid w:val="00C77835"/>
    <w:rsid w:val="00C77ACA"/>
    <w:rsid w:val="00C77EA5"/>
    <w:rsid w:val="00C80DBF"/>
    <w:rsid w:val="00C8127A"/>
    <w:rsid w:val="00C8184F"/>
    <w:rsid w:val="00C82261"/>
    <w:rsid w:val="00C826D4"/>
    <w:rsid w:val="00C82ACD"/>
    <w:rsid w:val="00C83024"/>
    <w:rsid w:val="00C83DF7"/>
    <w:rsid w:val="00C84EDB"/>
    <w:rsid w:val="00C851BB"/>
    <w:rsid w:val="00C857F5"/>
    <w:rsid w:val="00C85D01"/>
    <w:rsid w:val="00C869FD"/>
    <w:rsid w:val="00C86CE3"/>
    <w:rsid w:val="00C86FCC"/>
    <w:rsid w:val="00C87264"/>
    <w:rsid w:val="00C905AA"/>
    <w:rsid w:val="00C90A2B"/>
    <w:rsid w:val="00C90D48"/>
    <w:rsid w:val="00C9213F"/>
    <w:rsid w:val="00C92617"/>
    <w:rsid w:val="00C93003"/>
    <w:rsid w:val="00C9359C"/>
    <w:rsid w:val="00C936FD"/>
    <w:rsid w:val="00C94229"/>
    <w:rsid w:val="00C94419"/>
    <w:rsid w:val="00C95242"/>
    <w:rsid w:val="00C9578B"/>
    <w:rsid w:val="00C968EE"/>
    <w:rsid w:val="00C96B2C"/>
    <w:rsid w:val="00C9760D"/>
    <w:rsid w:val="00C97F06"/>
    <w:rsid w:val="00CA01AA"/>
    <w:rsid w:val="00CA06E3"/>
    <w:rsid w:val="00CA0C2A"/>
    <w:rsid w:val="00CA161C"/>
    <w:rsid w:val="00CA1A02"/>
    <w:rsid w:val="00CA1DB0"/>
    <w:rsid w:val="00CA27A3"/>
    <w:rsid w:val="00CA28B9"/>
    <w:rsid w:val="00CA2B2C"/>
    <w:rsid w:val="00CA342B"/>
    <w:rsid w:val="00CA353A"/>
    <w:rsid w:val="00CA4921"/>
    <w:rsid w:val="00CA493B"/>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4E6C"/>
    <w:rsid w:val="00CB50D2"/>
    <w:rsid w:val="00CB5246"/>
    <w:rsid w:val="00CB5993"/>
    <w:rsid w:val="00CB5B41"/>
    <w:rsid w:val="00CB5B8B"/>
    <w:rsid w:val="00CB623A"/>
    <w:rsid w:val="00CB6E93"/>
    <w:rsid w:val="00CB70D4"/>
    <w:rsid w:val="00CB7B29"/>
    <w:rsid w:val="00CC0118"/>
    <w:rsid w:val="00CC0B1A"/>
    <w:rsid w:val="00CC101C"/>
    <w:rsid w:val="00CC13DA"/>
    <w:rsid w:val="00CC14E8"/>
    <w:rsid w:val="00CC2234"/>
    <w:rsid w:val="00CC3391"/>
    <w:rsid w:val="00CC3AAA"/>
    <w:rsid w:val="00CC3D41"/>
    <w:rsid w:val="00CC544B"/>
    <w:rsid w:val="00CC5B1C"/>
    <w:rsid w:val="00CC5B81"/>
    <w:rsid w:val="00CC5D92"/>
    <w:rsid w:val="00CC60F8"/>
    <w:rsid w:val="00CC6111"/>
    <w:rsid w:val="00CC6855"/>
    <w:rsid w:val="00CC6A5A"/>
    <w:rsid w:val="00CC7D68"/>
    <w:rsid w:val="00CD03F2"/>
    <w:rsid w:val="00CD06DD"/>
    <w:rsid w:val="00CD0DEA"/>
    <w:rsid w:val="00CD2716"/>
    <w:rsid w:val="00CD4E23"/>
    <w:rsid w:val="00CD5A38"/>
    <w:rsid w:val="00CD5DAF"/>
    <w:rsid w:val="00CD6276"/>
    <w:rsid w:val="00CD63EF"/>
    <w:rsid w:val="00CD650F"/>
    <w:rsid w:val="00CD6D60"/>
    <w:rsid w:val="00CD76CF"/>
    <w:rsid w:val="00CD7D8F"/>
    <w:rsid w:val="00CD7EED"/>
    <w:rsid w:val="00CE061B"/>
    <w:rsid w:val="00CE0C1B"/>
    <w:rsid w:val="00CE1470"/>
    <w:rsid w:val="00CE1B62"/>
    <w:rsid w:val="00CE1F8B"/>
    <w:rsid w:val="00CE28A6"/>
    <w:rsid w:val="00CE2B12"/>
    <w:rsid w:val="00CE3872"/>
    <w:rsid w:val="00CE3CCE"/>
    <w:rsid w:val="00CE3F79"/>
    <w:rsid w:val="00CE3FEC"/>
    <w:rsid w:val="00CE51AE"/>
    <w:rsid w:val="00CE51ED"/>
    <w:rsid w:val="00CE5827"/>
    <w:rsid w:val="00CE5C11"/>
    <w:rsid w:val="00CE5DB9"/>
    <w:rsid w:val="00CE5EAA"/>
    <w:rsid w:val="00CE6191"/>
    <w:rsid w:val="00CE6966"/>
    <w:rsid w:val="00CE6CD0"/>
    <w:rsid w:val="00CE6E52"/>
    <w:rsid w:val="00CE70D9"/>
    <w:rsid w:val="00CE75E6"/>
    <w:rsid w:val="00CE7724"/>
    <w:rsid w:val="00CE7AFF"/>
    <w:rsid w:val="00CF0171"/>
    <w:rsid w:val="00CF0661"/>
    <w:rsid w:val="00CF171A"/>
    <w:rsid w:val="00CF17DF"/>
    <w:rsid w:val="00CF2311"/>
    <w:rsid w:val="00CF2F61"/>
    <w:rsid w:val="00CF320C"/>
    <w:rsid w:val="00CF3500"/>
    <w:rsid w:val="00CF39AC"/>
    <w:rsid w:val="00CF3E77"/>
    <w:rsid w:val="00CF4431"/>
    <w:rsid w:val="00CF6335"/>
    <w:rsid w:val="00CF6418"/>
    <w:rsid w:val="00CF6583"/>
    <w:rsid w:val="00CF72F8"/>
    <w:rsid w:val="00CF74F8"/>
    <w:rsid w:val="00CF7502"/>
    <w:rsid w:val="00CF7CEE"/>
    <w:rsid w:val="00CF7EEE"/>
    <w:rsid w:val="00D001F0"/>
    <w:rsid w:val="00D00738"/>
    <w:rsid w:val="00D0089B"/>
    <w:rsid w:val="00D009E7"/>
    <w:rsid w:val="00D00D1B"/>
    <w:rsid w:val="00D0144E"/>
    <w:rsid w:val="00D01975"/>
    <w:rsid w:val="00D02601"/>
    <w:rsid w:val="00D0386E"/>
    <w:rsid w:val="00D03AAE"/>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36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EF6"/>
    <w:rsid w:val="00D21271"/>
    <w:rsid w:val="00D216DB"/>
    <w:rsid w:val="00D2193F"/>
    <w:rsid w:val="00D22700"/>
    <w:rsid w:val="00D22750"/>
    <w:rsid w:val="00D22AFC"/>
    <w:rsid w:val="00D23183"/>
    <w:rsid w:val="00D2364B"/>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058"/>
    <w:rsid w:val="00D448FA"/>
    <w:rsid w:val="00D4573D"/>
    <w:rsid w:val="00D467CF"/>
    <w:rsid w:val="00D47688"/>
    <w:rsid w:val="00D478C0"/>
    <w:rsid w:val="00D50183"/>
    <w:rsid w:val="00D5023C"/>
    <w:rsid w:val="00D502EE"/>
    <w:rsid w:val="00D506CC"/>
    <w:rsid w:val="00D5076F"/>
    <w:rsid w:val="00D5079D"/>
    <w:rsid w:val="00D508D4"/>
    <w:rsid w:val="00D51D4A"/>
    <w:rsid w:val="00D52812"/>
    <w:rsid w:val="00D537A0"/>
    <w:rsid w:val="00D53B50"/>
    <w:rsid w:val="00D53E5D"/>
    <w:rsid w:val="00D54048"/>
    <w:rsid w:val="00D54249"/>
    <w:rsid w:val="00D54C4D"/>
    <w:rsid w:val="00D54D8B"/>
    <w:rsid w:val="00D5561A"/>
    <w:rsid w:val="00D5608D"/>
    <w:rsid w:val="00D56CD9"/>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702B2"/>
    <w:rsid w:val="00D70452"/>
    <w:rsid w:val="00D706EA"/>
    <w:rsid w:val="00D707A7"/>
    <w:rsid w:val="00D70BA1"/>
    <w:rsid w:val="00D70F3D"/>
    <w:rsid w:val="00D71ADF"/>
    <w:rsid w:val="00D71E39"/>
    <w:rsid w:val="00D72239"/>
    <w:rsid w:val="00D73961"/>
    <w:rsid w:val="00D74680"/>
    <w:rsid w:val="00D74811"/>
    <w:rsid w:val="00D75A67"/>
    <w:rsid w:val="00D75A98"/>
    <w:rsid w:val="00D77001"/>
    <w:rsid w:val="00D772A0"/>
    <w:rsid w:val="00D7747B"/>
    <w:rsid w:val="00D803B8"/>
    <w:rsid w:val="00D8117A"/>
    <w:rsid w:val="00D814D0"/>
    <w:rsid w:val="00D824F6"/>
    <w:rsid w:val="00D826F0"/>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275B"/>
    <w:rsid w:val="00D93656"/>
    <w:rsid w:val="00D93669"/>
    <w:rsid w:val="00D9403C"/>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86"/>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332D"/>
    <w:rsid w:val="00DC391F"/>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522"/>
    <w:rsid w:val="00DD0B66"/>
    <w:rsid w:val="00DD1916"/>
    <w:rsid w:val="00DD1FF6"/>
    <w:rsid w:val="00DD25E4"/>
    <w:rsid w:val="00DD2E76"/>
    <w:rsid w:val="00DD57C3"/>
    <w:rsid w:val="00DD6983"/>
    <w:rsid w:val="00DD6BDB"/>
    <w:rsid w:val="00DD7200"/>
    <w:rsid w:val="00DD7321"/>
    <w:rsid w:val="00DD7704"/>
    <w:rsid w:val="00DD7727"/>
    <w:rsid w:val="00DD78E9"/>
    <w:rsid w:val="00DE035B"/>
    <w:rsid w:val="00DE03E5"/>
    <w:rsid w:val="00DE0432"/>
    <w:rsid w:val="00DE0861"/>
    <w:rsid w:val="00DE19F4"/>
    <w:rsid w:val="00DE1D25"/>
    <w:rsid w:val="00DE1F46"/>
    <w:rsid w:val="00DE36DB"/>
    <w:rsid w:val="00DE36E9"/>
    <w:rsid w:val="00DE39BD"/>
    <w:rsid w:val="00DE479F"/>
    <w:rsid w:val="00DE48C1"/>
    <w:rsid w:val="00DE5B0D"/>
    <w:rsid w:val="00DE609E"/>
    <w:rsid w:val="00DE6158"/>
    <w:rsid w:val="00DE647F"/>
    <w:rsid w:val="00DE64EB"/>
    <w:rsid w:val="00DE6D9C"/>
    <w:rsid w:val="00DF02BE"/>
    <w:rsid w:val="00DF045A"/>
    <w:rsid w:val="00DF0C97"/>
    <w:rsid w:val="00DF0DD0"/>
    <w:rsid w:val="00DF1606"/>
    <w:rsid w:val="00DF230C"/>
    <w:rsid w:val="00DF5951"/>
    <w:rsid w:val="00DF6540"/>
    <w:rsid w:val="00DF7147"/>
    <w:rsid w:val="00DF78B9"/>
    <w:rsid w:val="00DF7E0E"/>
    <w:rsid w:val="00E001A8"/>
    <w:rsid w:val="00E00261"/>
    <w:rsid w:val="00E00862"/>
    <w:rsid w:val="00E012B4"/>
    <w:rsid w:val="00E03EF6"/>
    <w:rsid w:val="00E040FA"/>
    <w:rsid w:val="00E042F4"/>
    <w:rsid w:val="00E0472F"/>
    <w:rsid w:val="00E04B01"/>
    <w:rsid w:val="00E04D88"/>
    <w:rsid w:val="00E04F2E"/>
    <w:rsid w:val="00E0544D"/>
    <w:rsid w:val="00E058C9"/>
    <w:rsid w:val="00E05FA4"/>
    <w:rsid w:val="00E06083"/>
    <w:rsid w:val="00E06485"/>
    <w:rsid w:val="00E06E5D"/>
    <w:rsid w:val="00E07510"/>
    <w:rsid w:val="00E07783"/>
    <w:rsid w:val="00E07BDB"/>
    <w:rsid w:val="00E104E3"/>
    <w:rsid w:val="00E109F9"/>
    <w:rsid w:val="00E10BAA"/>
    <w:rsid w:val="00E10FDB"/>
    <w:rsid w:val="00E114E4"/>
    <w:rsid w:val="00E11C02"/>
    <w:rsid w:val="00E120FD"/>
    <w:rsid w:val="00E124AF"/>
    <w:rsid w:val="00E12586"/>
    <w:rsid w:val="00E12615"/>
    <w:rsid w:val="00E12BA7"/>
    <w:rsid w:val="00E12EA2"/>
    <w:rsid w:val="00E13096"/>
    <w:rsid w:val="00E134EB"/>
    <w:rsid w:val="00E13F6C"/>
    <w:rsid w:val="00E13FBA"/>
    <w:rsid w:val="00E14346"/>
    <w:rsid w:val="00E1443B"/>
    <w:rsid w:val="00E14D78"/>
    <w:rsid w:val="00E14F48"/>
    <w:rsid w:val="00E1678B"/>
    <w:rsid w:val="00E16840"/>
    <w:rsid w:val="00E16B09"/>
    <w:rsid w:val="00E17577"/>
    <w:rsid w:val="00E21295"/>
    <w:rsid w:val="00E212D5"/>
    <w:rsid w:val="00E219FC"/>
    <w:rsid w:val="00E223F4"/>
    <w:rsid w:val="00E22AF7"/>
    <w:rsid w:val="00E22DCE"/>
    <w:rsid w:val="00E24265"/>
    <w:rsid w:val="00E245D2"/>
    <w:rsid w:val="00E24B93"/>
    <w:rsid w:val="00E257A9"/>
    <w:rsid w:val="00E25920"/>
    <w:rsid w:val="00E25A3A"/>
    <w:rsid w:val="00E25CFD"/>
    <w:rsid w:val="00E2609B"/>
    <w:rsid w:val="00E266AC"/>
    <w:rsid w:val="00E273D3"/>
    <w:rsid w:val="00E304C5"/>
    <w:rsid w:val="00E30B6B"/>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112"/>
    <w:rsid w:val="00E50426"/>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759"/>
    <w:rsid w:val="00E6003A"/>
    <w:rsid w:val="00E6013A"/>
    <w:rsid w:val="00E60A17"/>
    <w:rsid w:val="00E611E7"/>
    <w:rsid w:val="00E6159B"/>
    <w:rsid w:val="00E61E68"/>
    <w:rsid w:val="00E62552"/>
    <w:rsid w:val="00E62EDA"/>
    <w:rsid w:val="00E6310E"/>
    <w:rsid w:val="00E63FB5"/>
    <w:rsid w:val="00E64D85"/>
    <w:rsid w:val="00E64FC5"/>
    <w:rsid w:val="00E6526E"/>
    <w:rsid w:val="00E6550F"/>
    <w:rsid w:val="00E6676C"/>
    <w:rsid w:val="00E66E82"/>
    <w:rsid w:val="00E671F3"/>
    <w:rsid w:val="00E675C5"/>
    <w:rsid w:val="00E676BA"/>
    <w:rsid w:val="00E67C0E"/>
    <w:rsid w:val="00E67C2C"/>
    <w:rsid w:val="00E70709"/>
    <w:rsid w:val="00E71AC1"/>
    <w:rsid w:val="00E72D5E"/>
    <w:rsid w:val="00E73419"/>
    <w:rsid w:val="00E73B3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5523"/>
    <w:rsid w:val="00E95FF3"/>
    <w:rsid w:val="00E96669"/>
    <w:rsid w:val="00E96EA4"/>
    <w:rsid w:val="00E9753F"/>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4AE4"/>
    <w:rsid w:val="00EB5C63"/>
    <w:rsid w:val="00EB6FF1"/>
    <w:rsid w:val="00EB712C"/>
    <w:rsid w:val="00EB765A"/>
    <w:rsid w:val="00EC05C1"/>
    <w:rsid w:val="00EC0CCD"/>
    <w:rsid w:val="00EC0FCE"/>
    <w:rsid w:val="00EC1766"/>
    <w:rsid w:val="00EC1962"/>
    <w:rsid w:val="00EC1A36"/>
    <w:rsid w:val="00EC1D3E"/>
    <w:rsid w:val="00EC1E98"/>
    <w:rsid w:val="00EC2809"/>
    <w:rsid w:val="00EC3275"/>
    <w:rsid w:val="00EC427C"/>
    <w:rsid w:val="00EC46B2"/>
    <w:rsid w:val="00EC49F3"/>
    <w:rsid w:val="00EC4C59"/>
    <w:rsid w:val="00EC5069"/>
    <w:rsid w:val="00EC5093"/>
    <w:rsid w:val="00EC52E1"/>
    <w:rsid w:val="00EC5AD1"/>
    <w:rsid w:val="00EC5B46"/>
    <w:rsid w:val="00EC6503"/>
    <w:rsid w:val="00EC652F"/>
    <w:rsid w:val="00EC6B7F"/>
    <w:rsid w:val="00EC6DA7"/>
    <w:rsid w:val="00EC6ECA"/>
    <w:rsid w:val="00EC784C"/>
    <w:rsid w:val="00EC7B88"/>
    <w:rsid w:val="00ED0184"/>
    <w:rsid w:val="00ED01F4"/>
    <w:rsid w:val="00ED06F8"/>
    <w:rsid w:val="00ED2EC8"/>
    <w:rsid w:val="00ED30AA"/>
    <w:rsid w:val="00ED3E43"/>
    <w:rsid w:val="00ED4139"/>
    <w:rsid w:val="00ED4AA1"/>
    <w:rsid w:val="00ED4D29"/>
    <w:rsid w:val="00ED4D33"/>
    <w:rsid w:val="00ED562C"/>
    <w:rsid w:val="00ED62B8"/>
    <w:rsid w:val="00ED680D"/>
    <w:rsid w:val="00ED7019"/>
    <w:rsid w:val="00ED7373"/>
    <w:rsid w:val="00ED7481"/>
    <w:rsid w:val="00ED782D"/>
    <w:rsid w:val="00ED7EC9"/>
    <w:rsid w:val="00EE022A"/>
    <w:rsid w:val="00EE04BE"/>
    <w:rsid w:val="00EE0D84"/>
    <w:rsid w:val="00EE15F1"/>
    <w:rsid w:val="00EE177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A24"/>
    <w:rsid w:val="00EF0988"/>
    <w:rsid w:val="00EF14D1"/>
    <w:rsid w:val="00EF1A83"/>
    <w:rsid w:val="00EF1E17"/>
    <w:rsid w:val="00EF2063"/>
    <w:rsid w:val="00EF287F"/>
    <w:rsid w:val="00EF2F22"/>
    <w:rsid w:val="00EF300D"/>
    <w:rsid w:val="00EF3FBD"/>
    <w:rsid w:val="00EF404E"/>
    <w:rsid w:val="00EF46B1"/>
    <w:rsid w:val="00EF4B0A"/>
    <w:rsid w:val="00EF4BB5"/>
    <w:rsid w:val="00EF4E6A"/>
    <w:rsid w:val="00EF52C3"/>
    <w:rsid w:val="00EF58CD"/>
    <w:rsid w:val="00EF5F85"/>
    <w:rsid w:val="00EF652F"/>
    <w:rsid w:val="00EF65CC"/>
    <w:rsid w:val="00EF6CBC"/>
    <w:rsid w:val="00EF6D1C"/>
    <w:rsid w:val="00EF6DC3"/>
    <w:rsid w:val="00EF7B13"/>
    <w:rsid w:val="00EF7EAC"/>
    <w:rsid w:val="00F0059D"/>
    <w:rsid w:val="00F00678"/>
    <w:rsid w:val="00F00818"/>
    <w:rsid w:val="00F009F6"/>
    <w:rsid w:val="00F010F7"/>
    <w:rsid w:val="00F014F5"/>
    <w:rsid w:val="00F038AE"/>
    <w:rsid w:val="00F04A52"/>
    <w:rsid w:val="00F04AB1"/>
    <w:rsid w:val="00F05453"/>
    <w:rsid w:val="00F05662"/>
    <w:rsid w:val="00F059B0"/>
    <w:rsid w:val="00F0740E"/>
    <w:rsid w:val="00F109B3"/>
    <w:rsid w:val="00F10C7D"/>
    <w:rsid w:val="00F1157C"/>
    <w:rsid w:val="00F124F2"/>
    <w:rsid w:val="00F125D7"/>
    <w:rsid w:val="00F12CA0"/>
    <w:rsid w:val="00F13052"/>
    <w:rsid w:val="00F139C4"/>
    <w:rsid w:val="00F1408D"/>
    <w:rsid w:val="00F14403"/>
    <w:rsid w:val="00F14B5A"/>
    <w:rsid w:val="00F1579D"/>
    <w:rsid w:val="00F15932"/>
    <w:rsid w:val="00F15BA0"/>
    <w:rsid w:val="00F15C32"/>
    <w:rsid w:val="00F16215"/>
    <w:rsid w:val="00F17636"/>
    <w:rsid w:val="00F17E54"/>
    <w:rsid w:val="00F203F9"/>
    <w:rsid w:val="00F20455"/>
    <w:rsid w:val="00F20836"/>
    <w:rsid w:val="00F21000"/>
    <w:rsid w:val="00F210F0"/>
    <w:rsid w:val="00F2119A"/>
    <w:rsid w:val="00F216DD"/>
    <w:rsid w:val="00F21B3C"/>
    <w:rsid w:val="00F22109"/>
    <w:rsid w:val="00F225BA"/>
    <w:rsid w:val="00F22985"/>
    <w:rsid w:val="00F236B1"/>
    <w:rsid w:val="00F23E7B"/>
    <w:rsid w:val="00F2527A"/>
    <w:rsid w:val="00F2654B"/>
    <w:rsid w:val="00F26AF0"/>
    <w:rsid w:val="00F26E31"/>
    <w:rsid w:val="00F306E4"/>
    <w:rsid w:val="00F30A61"/>
    <w:rsid w:val="00F30DC8"/>
    <w:rsid w:val="00F30E5E"/>
    <w:rsid w:val="00F314A3"/>
    <w:rsid w:val="00F31AB8"/>
    <w:rsid w:val="00F31D69"/>
    <w:rsid w:val="00F31EB1"/>
    <w:rsid w:val="00F32177"/>
    <w:rsid w:val="00F324A4"/>
    <w:rsid w:val="00F33304"/>
    <w:rsid w:val="00F33355"/>
    <w:rsid w:val="00F334C0"/>
    <w:rsid w:val="00F354FD"/>
    <w:rsid w:val="00F35508"/>
    <w:rsid w:val="00F355CC"/>
    <w:rsid w:val="00F356C8"/>
    <w:rsid w:val="00F35817"/>
    <w:rsid w:val="00F35A7C"/>
    <w:rsid w:val="00F35EFD"/>
    <w:rsid w:val="00F35F3A"/>
    <w:rsid w:val="00F36198"/>
    <w:rsid w:val="00F36C63"/>
    <w:rsid w:val="00F36CA8"/>
    <w:rsid w:val="00F37FDF"/>
    <w:rsid w:val="00F40016"/>
    <w:rsid w:val="00F408F5"/>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1B23"/>
    <w:rsid w:val="00F62076"/>
    <w:rsid w:val="00F62199"/>
    <w:rsid w:val="00F62DEA"/>
    <w:rsid w:val="00F633CF"/>
    <w:rsid w:val="00F638C7"/>
    <w:rsid w:val="00F63A41"/>
    <w:rsid w:val="00F63CDA"/>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106"/>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415C"/>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2E31"/>
    <w:rsid w:val="00F93B9D"/>
    <w:rsid w:val="00F93C2A"/>
    <w:rsid w:val="00F9425A"/>
    <w:rsid w:val="00F957DB"/>
    <w:rsid w:val="00F96183"/>
    <w:rsid w:val="00F96203"/>
    <w:rsid w:val="00F96208"/>
    <w:rsid w:val="00F96246"/>
    <w:rsid w:val="00F96E73"/>
    <w:rsid w:val="00F972D3"/>
    <w:rsid w:val="00F976E6"/>
    <w:rsid w:val="00F97888"/>
    <w:rsid w:val="00F978B4"/>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52DD"/>
    <w:rsid w:val="00FB54AA"/>
    <w:rsid w:val="00FB5640"/>
    <w:rsid w:val="00FB5A3E"/>
    <w:rsid w:val="00FB7A75"/>
    <w:rsid w:val="00FB7A92"/>
    <w:rsid w:val="00FB7B46"/>
    <w:rsid w:val="00FC0141"/>
    <w:rsid w:val="00FC0575"/>
    <w:rsid w:val="00FC08FB"/>
    <w:rsid w:val="00FC0A2F"/>
    <w:rsid w:val="00FC176A"/>
    <w:rsid w:val="00FC1B89"/>
    <w:rsid w:val="00FC20F4"/>
    <w:rsid w:val="00FC2486"/>
    <w:rsid w:val="00FC30BC"/>
    <w:rsid w:val="00FC3E25"/>
    <w:rsid w:val="00FC459C"/>
    <w:rsid w:val="00FC4715"/>
    <w:rsid w:val="00FC498C"/>
    <w:rsid w:val="00FC4BA3"/>
    <w:rsid w:val="00FC4E3E"/>
    <w:rsid w:val="00FC5894"/>
    <w:rsid w:val="00FC589C"/>
    <w:rsid w:val="00FC5ED9"/>
    <w:rsid w:val="00FC6E5E"/>
    <w:rsid w:val="00FC714E"/>
    <w:rsid w:val="00FC73BE"/>
    <w:rsid w:val="00FD0583"/>
    <w:rsid w:val="00FD06A2"/>
    <w:rsid w:val="00FD06ED"/>
    <w:rsid w:val="00FD0709"/>
    <w:rsid w:val="00FD070E"/>
    <w:rsid w:val="00FD0E54"/>
    <w:rsid w:val="00FD0EF0"/>
    <w:rsid w:val="00FD12A6"/>
    <w:rsid w:val="00FD1675"/>
    <w:rsid w:val="00FD185C"/>
    <w:rsid w:val="00FD18EB"/>
    <w:rsid w:val="00FD23F1"/>
    <w:rsid w:val="00FD33B7"/>
    <w:rsid w:val="00FD43C2"/>
    <w:rsid w:val="00FD51EB"/>
    <w:rsid w:val="00FD573A"/>
    <w:rsid w:val="00FD594D"/>
    <w:rsid w:val="00FD6042"/>
    <w:rsid w:val="00FD6197"/>
    <w:rsid w:val="00FD6BE2"/>
    <w:rsid w:val="00FD6FFF"/>
    <w:rsid w:val="00FD759A"/>
    <w:rsid w:val="00FD7FA4"/>
    <w:rsid w:val="00FE0BCB"/>
    <w:rsid w:val="00FE0DCD"/>
    <w:rsid w:val="00FE0EE8"/>
    <w:rsid w:val="00FE15C8"/>
    <w:rsid w:val="00FE2469"/>
    <w:rsid w:val="00FE2706"/>
    <w:rsid w:val="00FE2C7E"/>
    <w:rsid w:val="00FE30A4"/>
    <w:rsid w:val="00FE3CF4"/>
    <w:rsid w:val="00FE4068"/>
    <w:rsid w:val="00FE4C24"/>
    <w:rsid w:val="00FE4D15"/>
    <w:rsid w:val="00FE58AB"/>
    <w:rsid w:val="00FE5BAB"/>
    <w:rsid w:val="00FE5D08"/>
    <w:rsid w:val="00FE68D2"/>
    <w:rsid w:val="00FE6AEA"/>
    <w:rsid w:val="00FE6B34"/>
    <w:rsid w:val="00FE6F4E"/>
    <w:rsid w:val="00FF0235"/>
    <w:rsid w:val="00FF3403"/>
    <w:rsid w:val="00FF4014"/>
    <w:rsid w:val="00FF6CFA"/>
    <w:rsid w:val="00FF6EFD"/>
    <w:rsid w:val="00FF759E"/>
    <w:rsid w:val="00FF7952"/>
    <w:rsid w:val="0187350B"/>
    <w:rsid w:val="018D1303"/>
    <w:rsid w:val="02380E83"/>
    <w:rsid w:val="0242549F"/>
    <w:rsid w:val="02433078"/>
    <w:rsid w:val="027F4D04"/>
    <w:rsid w:val="029A7D90"/>
    <w:rsid w:val="02CC180B"/>
    <w:rsid w:val="031E2AE0"/>
    <w:rsid w:val="034E3DBB"/>
    <w:rsid w:val="039840F6"/>
    <w:rsid w:val="04F960EF"/>
    <w:rsid w:val="05057D54"/>
    <w:rsid w:val="057D77DA"/>
    <w:rsid w:val="05C2152E"/>
    <w:rsid w:val="05F56BFA"/>
    <w:rsid w:val="06606541"/>
    <w:rsid w:val="06CA6F0E"/>
    <w:rsid w:val="0754675F"/>
    <w:rsid w:val="07604E36"/>
    <w:rsid w:val="07980B7A"/>
    <w:rsid w:val="07DB6A50"/>
    <w:rsid w:val="07DC141F"/>
    <w:rsid w:val="08357BCB"/>
    <w:rsid w:val="088048FF"/>
    <w:rsid w:val="0903115B"/>
    <w:rsid w:val="09C41003"/>
    <w:rsid w:val="09F5647E"/>
    <w:rsid w:val="0A335CE2"/>
    <w:rsid w:val="0B8956E5"/>
    <w:rsid w:val="0C243E2A"/>
    <w:rsid w:val="0C264442"/>
    <w:rsid w:val="0CED5478"/>
    <w:rsid w:val="0D197D5C"/>
    <w:rsid w:val="0D787973"/>
    <w:rsid w:val="0D7E3B5D"/>
    <w:rsid w:val="0D887611"/>
    <w:rsid w:val="0D945C06"/>
    <w:rsid w:val="0DA759C3"/>
    <w:rsid w:val="0DAD317B"/>
    <w:rsid w:val="0DC2340A"/>
    <w:rsid w:val="0E7D558B"/>
    <w:rsid w:val="0E8C396F"/>
    <w:rsid w:val="0EBE0829"/>
    <w:rsid w:val="0EFA1D63"/>
    <w:rsid w:val="0F9D05FF"/>
    <w:rsid w:val="0FB8406B"/>
    <w:rsid w:val="107472AF"/>
    <w:rsid w:val="10D10D1E"/>
    <w:rsid w:val="10D557B9"/>
    <w:rsid w:val="116A1732"/>
    <w:rsid w:val="11CF288E"/>
    <w:rsid w:val="12583A6A"/>
    <w:rsid w:val="12A11256"/>
    <w:rsid w:val="12CB5EEF"/>
    <w:rsid w:val="131A5191"/>
    <w:rsid w:val="13C61F27"/>
    <w:rsid w:val="13CC3122"/>
    <w:rsid w:val="14221993"/>
    <w:rsid w:val="14CC5B35"/>
    <w:rsid w:val="14E32ED1"/>
    <w:rsid w:val="15EC5AE8"/>
    <w:rsid w:val="160A3AA9"/>
    <w:rsid w:val="17AD76C8"/>
    <w:rsid w:val="17B62B1E"/>
    <w:rsid w:val="17E23913"/>
    <w:rsid w:val="17EE22B8"/>
    <w:rsid w:val="185C3885"/>
    <w:rsid w:val="18CF170C"/>
    <w:rsid w:val="19095CD3"/>
    <w:rsid w:val="1A2623A5"/>
    <w:rsid w:val="1A4A65D5"/>
    <w:rsid w:val="1A6730D7"/>
    <w:rsid w:val="1BD86EBA"/>
    <w:rsid w:val="1BF0048C"/>
    <w:rsid w:val="1C204B72"/>
    <w:rsid w:val="1C4114DB"/>
    <w:rsid w:val="1CC225DD"/>
    <w:rsid w:val="1CC51F1F"/>
    <w:rsid w:val="1D551774"/>
    <w:rsid w:val="1DC11D9D"/>
    <w:rsid w:val="1E58446C"/>
    <w:rsid w:val="1E8B1540"/>
    <w:rsid w:val="1EBD1F48"/>
    <w:rsid w:val="1EF72833"/>
    <w:rsid w:val="1FE67A2A"/>
    <w:rsid w:val="1FFA18F1"/>
    <w:rsid w:val="205A36D2"/>
    <w:rsid w:val="22142A77"/>
    <w:rsid w:val="22175505"/>
    <w:rsid w:val="2232406D"/>
    <w:rsid w:val="230C79F5"/>
    <w:rsid w:val="230E22BE"/>
    <w:rsid w:val="231C2356"/>
    <w:rsid w:val="232E3EB1"/>
    <w:rsid w:val="23511A08"/>
    <w:rsid w:val="23C13FDD"/>
    <w:rsid w:val="23D762F6"/>
    <w:rsid w:val="249E4FC1"/>
    <w:rsid w:val="25101C40"/>
    <w:rsid w:val="251D3EEA"/>
    <w:rsid w:val="260D7CA2"/>
    <w:rsid w:val="26417CD1"/>
    <w:rsid w:val="26853417"/>
    <w:rsid w:val="27BA0FBA"/>
    <w:rsid w:val="2820574C"/>
    <w:rsid w:val="286B09FD"/>
    <w:rsid w:val="291C6567"/>
    <w:rsid w:val="294419BD"/>
    <w:rsid w:val="294450F7"/>
    <w:rsid w:val="29F36FE0"/>
    <w:rsid w:val="2A426494"/>
    <w:rsid w:val="2A6E48D8"/>
    <w:rsid w:val="2AC06A54"/>
    <w:rsid w:val="2B36072A"/>
    <w:rsid w:val="2C6110AC"/>
    <w:rsid w:val="2C621718"/>
    <w:rsid w:val="2CBBF5FA"/>
    <w:rsid w:val="2CCA7B38"/>
    <w:rsid w:val="2CDF3F22"/>
    <w:rsid w:val="2D4D6DE0"/>
    <w:rsid w:val="2D66323B"/>
    <w:rsid w:val="2DA97EE5"/>
    <w:rsid w:val="2DCB0BC0"/>
    <w:rsid w:val="2E9F655B"/>
    <w:rsid w:val="2F3E54BE"/>
    <w:rsid w:val="2FB90D0B"/>
    <w:rsid w:val="2FDB5CC5"/>
    <w:rsid w:val="2FFB511A"/>
    <w:rsid w:val="304512CE"/>
    <w:rsid w:val="309B3C46"/>
    <w:rsid w:val="310966F9"/>
    <w:rsid w:val="316E04D9"/>
    <w:rsid w:val="31955EE2"/>
    <w:rsid w:val="32352D3F"/>
    <w:rsid w:val="333A4EDB"/>
    <w:rsid w:val="33F27615"/>
    <w:rsid w:val="34B343A1"/>
    <w:rsid w:val="34FC0751"/>
    <w:rsid w:val="35230157"/>
    <w:rsid w:val="356419B4"/>
    <w:rsid w:val="35840DD9"/>
    <w:rsid w:val="35A66621"/>
    <w:rsid w:val="37677539"/>
    <w:rsid w:val="37813D7F"/>
    <w:rsid w:val="378A27B4"/>
    <w:rsid w:val="3794270F"/>
    <w:rsid w:val="38700E11"/>
    <w:rsid w:val="389F3D5B"/>
    <w:rsid w:val="39317DFF"/>
    <w:rsid w:val="398179BD"/>
    <w:rsid w:val="399F4FFA"/>
    <w:rsid w:val="39C3314D"/>
    <w:rsid w:val="3A99316B"/>
    <w:rsid w:val="3AAD6706"/>
    <w:rsid w:val="3ADD4C50"/>
    <w:rsid w:val="3AE8398C"/>
    <w:rsid w:val="3B1A39B3"/>
    <w:rsid w:val="3B5F4CB8"/>
    <w:rsid w:val="3C095919"/>
    <w:rsid w:val="3C153A08"/>
    <w:rsid w:val="3C6510EB"/>
    <w:rsid w:val="3D352B5F"/>
    <w:rsid w:val="3DB85315"/>
    <w:rsid w:val="3E0D1FF1"/>
    <w:rsid w:val="3F1461E4"/>
    <w:rsid w:val="3F922049"/>
    <w:rsid w:val="3FB14895"/>
    <w:rsid w:val="3FD00372"/>
    <w:rsid w:val="3FDA1D68"/>
    <w:rsid w:val="403A3D18"/>
    <w:rsid w:val="405152B6"/>
    <w:rsid w:val="4089679F"/>
    <w:rsid w:val="40A1219A"/>
    <w:rsid w:val="40DF7B34"/>
    <w:rsid w:val="40F1187B"/>
    <w:rsid w:val="41163263"/>
    <w:rsid w:val="428003B2"/>
    <w:rsid w:val="430373F0"/>
    <w:rsid w:val="432A63E3"/>
    <w:rsid w:val="436314FD"/>
    <w:rsid w:val="43716019"/>
    <w:rsid w:val="437835D9"/>
    <w:rsid w:val="437A14DC"/>
    <w:rsid w:val="43C93D99"/>
    <w:rsid w:val="441950C4"/>
    <w:rsid w:val="450620ED"/>
    <w:rsid w:val="45833D51"/>
    <w:rsid w:val="45EA1EC7"/>
    <w:rsid w:val="460C19D8"/>
    <w:rsid w:val="46855A4B"/>
    <w:rsid w:val="46A165C4"/>
    <w:rsid w:val="46D44956"/>
    <w:rsid w:val="46EE1E8D"/>
    <w:rsid w:val="473A3013"/>
    <w:rsid w:val="477F24C7"/>
    <w:rsid w:val="47DE6870"/>
    <w:rsid w:val="48362755"/>
    <w:rsid w:val="48541414"/>
    <w:rsid w:val="48E00140"/>
    <w:rsid w:val="490703E8"/>
    <w:rsid w:val="495C5336"/>
    <w:rsid w:val="495D70FC"/>
    <w:rsid w:val="49877369"/>
    <w:rsid w:val="4A7144FF"/>
    <w:rsid w:val="4AAD488C"/>
    <w:rsid w:val="4B122CFD"/>
    <w:rsid w:val="4B1A06F3"/>
    <w:rsid w:val="4B454104"/>
    <w:rsid w:val="4B4E04B7"/>
    <w:rsid w:val="4BA71BED"/>
    <w:rsid w:val="4C354AC1"/>
    <w:rsid w:val="4C4D3849"/>
    <w:rsid w:val="4E6D044E"/>
    <w:rsid w:val="4E95578B"/>
    <w:rsid w:val="4EB8611B"/>
    <w:rsid w:val="4F0E67C1"/>
    <w:rsid w:val="4F4B5A34"/>
    <w:rsid w:val="4FBC4948"/>
    <w:rsid w:val="500F7A76"/>
    <w:rsid w:val="504340CD"/>
    <w:rsid w:val="52004121"/>
    <w:rsid w:val="521A10C4"/>
    <w:rsid w:val="52C87C2A"/>
    <w:rsid w:val="52DD009F"/>
    <w:rsid w:val="52DF7371"/>
    <w:rsid w:val="531050B2"/>
    <w:rsid w:val="53821D96"/>
    <w:rsid w:val="53D81C5E"/>
    <w:rsid w:val="543024D3"/>
    <w:rsid w:val="54754BEC"/>
    <w:rsid w:val="548010BF"/>
    <w:rsid w:val="549645A1"/>
    <w:rsid w:val="54BA63B6"/>
    <w:rsid w:val="55212D9F"/>
    <w:rsid w:val="55DF4A13"/>
    <w:rsid w:val="568679D9"/>
    <w:rsid w:val="56994859"/>
    <w:rsid w:val="56CD3563"/>
    <w:rsid w:val="56F47B7E"/>
    <w:rsid w:val="571A3CDF"/>
    <w:rsid w:val="5742438B"/>
    <w:rsid w:val="57446690"/>
    <w:rsid w:val="57454D4A"/>
    <w:rsid w:val="57CC4DAB"/>
    <w:rsid w:val="58242496"/>
    <w:rsid w:val="58335A19"/>
    <w:rsid w:val="586C55EE"/>
    <w:rsid w:val="58974073"/>
    <w:rsid w:val="59066A70"/>
    <w:rsid w:val="59077D7A"/>
    <w:rsid w:val="59444C1B"/>
    <w:rsid w:val="594D3595"/>
    <w:rsid w:val="5A165663"/>
    <w:rsid w:val="5A350DBE"/>
    <w:rsid w:val="5B7D11B9"/>
    <w:rsid w:val="5BBA5D28"/>
    <w:rsid w:val="5BCE069F"/>
    <w:rsid w:val="5BED19F4"/>
    <w:rsid w:val="5BF11CBB"/>
    <w:rsid w:val="5C0F3B78"/>
    <w:rsid w:val="5CB179C5"/>
    <w:rsid w:val="5D28648B"/>
    <w:rsid w:val="5D352CFB"/>
    <w:rsid w:val="5D447851"/>
    <w:rsid w:val="5EF4726A"/>
    <w:rsid w:val="5F1E295A"/>
    <w:rsid w:val="5F84662B"/>
    <w:rsid w:val="5F8D4489"/>
    <w:rsid w:val="5FD7365A"/>
    <w:rsid w:val="6037544B"/>
    <w:rsid w:val="60752B29"/>
    <w:rsid w:val="61097682"/>
    <w:rsid w:val="610B478D"/>
    <w:rsid w:val="62610F56"/>
    <w:rsid w:val="627C1875"/>
    <w:rsid w:val="62A040E8"/>
    <w:rsid w:val="62A15DA4"/>
    <w:rsid w:val="62B114E5"/>
    <w:rsid w:val="62D968EB"/>
    <w:rsid w:val="62EC4C13"/>
    <w:rsid w:val="640F2726"/>
    <w:rsid w:val="642503DD"/>
    <w:rsid w:val="64C807A3"/>
    <w:rsid w:val="65170D60"/>
    <w:rsid w:val="65747F07"/>
    <w:rsid w:val="65902367"/>
    <w:rsid w:val="661063CD"/>
    <w:rsid w:val="6668718F"/>
    <w:rsid w:val="66867E32"/>
    <w:rsid w:val="669D4101"/>
    <w:rsid w:val="66CC797F"/>
    <w:rsid w:val="66FE3167"/>
    <w:rsid w:val="67224B97"/>
    <w:rsid w:val="6765645A"/>
    <w:rsid w:val="67887D22"/>
    <w:rsid w:val="6796339F"/>
    <w:rsid w:val="67A90FB6"/>
    <w:rsid w:val="6820381B"/>
    <w:rsid w:val="682C4391"/>
    <w:rsid w:val="68DA7C00"/>
    <w:rsid w:val="69666DF4"/>
    <w:rsid w:val="69CF04E6"/>
    <w:rsid w:val="6A2D65C8"/>
    <w:rsid w:val="6A3D3DFF"/>
    <w:rsid w:val="6A6C5263"/>
    <w:rsid w:val="6A8D6F45"/>
    <w:rsid w:val="6A8F5E03"/>
    <w:rsid w:val="6A9C2705"/>
    <w:rsid w:val="6AB72926"/>
    <w:rsid w:val="6AD9323E"/>
    <w:rsid w:val="6AE8665A"/>
    <w:rsid w:val="6AEF7190"/>
    <w:rsid w:val="6B152326"/>
    <w:rsid w:val="6B171960"/>
    <w:rsid w:val="6C960582"/>
    <w:rsid w:val="6CE81F37"/>
    <w:rsid w:val="6D12171A"/>
    <w:rsid w:val="6DBB14D9"/>
    <w:rsid w:val="6DE727B0"/>
    <w:rsid w:val="6DF71F59"/>
    <w:rsid w:val="6E3E1358"/>
    <w:rsid w:val="6E7E5383"/>
    <w:rsid w:val="6EEA5288"/>
    <w:rsid w:val="6F7706A2"/>
    <w:rsid w:val="6F8C724F"/>
    <w:rsid w:val="6FAF7358"/>
    <w:rsid w:val="70095C08"/>
    <w:rsid w:val="70FE47A5"/>
    <w:rsid w:val="71190330"/>
    <w:rsid w:val="71373115"/>
    <w:rsid w:val="71942299"/>
    <w:rsid w:val="71D60F68"/>
    <w:rsid w:val="71F11F6C"/>
    <w:rsid w:val="71F91B12"/>
    <w:rsid w:val="728B087B"/>
    <w:rsid w:val="72F1136F"/>
    <w:rsid w:val="734E22B4"/>
    <w:rsid w:val="73BE6D5C"/>
    <w:rsid w:val="7403775D"/>
    <w:rsid w:val="74637265"/>
    <w:rsid w:val="74796486"/>
    <w:rsid w:val="74E86097"/>
    <w:rsid w:val="75431DF5"/>
    <w:rsid w:val="75B74C0D"/>
    <w:rsid w:val="75EE0105"/>
    <w:rsid w:val="76052128"/>
    <w:rsid w:val="76075C26"/>
    <w:rsid w:val="766F449C"/>
    <w:rsid w:val="767D2E2C"/>
    <w:rsid w:val="76907AF5"/>
    <w:rsid w:val="77632690"/>
    <w:rsid w:val="77AE723C"/>
    <w:rsid w:val="77EB5041"/>
    <w:rsid w:val="780279D0"/>
    <w:rsid w:val="782869F8"/>
    <w:rsid w:val="786C796F"/>
    <w:rsid w:val="788D6B17"/>
    <w:rsid w:val="789C00DB"/>
    <w:rsid w:val="78D661D9"/>
    <w:rsid w:val="794C1942"/>
    <w:rsid w:val="79C21ED0"/>
    <w:rsid w:val="7A2D749C"/>
    <w:rsid w:val="7A366FBF"/>
    <w:rsid w:val="7AAA2AC6"/>
    <w:rsid w:val="7B91726B"/>
    <w:rsid w:val="7BD40C4D"/>
    <w:rsid w:val="7C215D74"/>
    <w:rsid w:val="7C2921EF"/>
    <w:rsid w:val="7CB00608"/>
    <w:rsid w:val="7D5170DA"/>
    <w:rsid w:val="7D7609EE"/>
    <w:rsid w:val="7D9509DB"/>
    <w:rsid w:val="7D9817C8"/>
    <w:rsid w:val="7DF4246F"/>
    <w:rsid w:val="7DF509C8"/>
    <w:rsid w:val="7E2542AE"/>
    <w:rsid w:val="7E7A28A3"/>
    <w:rsid w:val="7EC2465E"/>
    <w:rsid w:val="7F5DD996"/>
    <w:rsid w:val="7F5E6069"/>
    <w:rsid w:val="7F5F04E4"/>
    <w:rsid w:val="7FEE6A0D"/>
    <w:rsid w:val="7FF52F0E"/>
    <w:rsid w:val="F9CF7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autoRedefine/>
    <w:qFormat/>
    <w:uiPriority w:val="0"/>
    <w:pPr>
      <w:keepNext/>
      <w:keepLines/>
      <w:adjustRightInd w:val="0"/>
      <w:spacing w:line="460" w:lineRule="exact"/>
      <w:jc w:val="left"/>
      <w:textAlignment w:val="baseline"/>
      <w:outlineLvl w:val="0"/>
    </w:pPr>
    <w:rPr>
      <w:b/>
      <w:kern w:val="44"/>
      <w:sz w:val="32"/>
      <w:szCs w:val="20"/>
    </w:rPr>
  </w:style>
  <w:style w:type="paragraph" w:styleId="3">
    <w:name w:val="heading 2"/>
    <w:basedOn w:val="1"/>
    <w:next w:val="1"/>
    <w:link w:val="7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7"/>
    <w:autoRedefine/>
    <w:qFormat/>
    <w:uiPriority w:val="9"/>
    <w:pPr>
      <w:keepNext/>
      <w:keepLines/>
      <w:spacing w:before="260" w:after="260" w:line="360" w:lineRule="auto"/>
      <w:ind w:left="171" w:leftChars="171"/>
      <w:outlineLvl w:val="2"/>
    </w:pPr>
    <w:rPr>
      <w:rFonts w:eastAsia="Arial Unicode MS"/>
      <w:b/>
      <w:szCs w:val="20"/>
    </w:rPr>
  </w:style>
  <w:style w:type="paragraph" w:styleId="5">
    <w:name w:val="heading 4"/>
    <w:basedOn w:val="1"/>
    <w:next w:val="1"/>
    <w:link w:val="78"/>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9"/>
    <w:autoRedefine/>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80"/>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81"/>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82"/>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3"/>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3">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rFonts w:asciiTheme="minorHAnsi" w:hAnsiTheme="minorHAnsi"/>
      <w:sz w:val="18"/>
      <w:szCs w:val="18"/>
    </w:rPr>
  </w:style>
  <w:style w:type="paragraph" w:styleId="13">
    <w:name w:val="table of authorities"/>
    <w:basedOn w:val="1"/>
    <w:next w:val="1"/>
    <w:autoRedefine/>
    <w:qFormat/>
    <w:uiPriority w:val="0"/>
    <w:pPr>
      <w:ind w:left="420" w:leftChars="200"/>
    </w:pPr>
    <w:rPr>
      <w:szCs w:val="20"/>
    </w:rPr>
  </w:style>
  <w:style w:type="paragraph" w:styleId="14">
    <w:name w:val="List Bullet 4"/>
    <w:basedOn w:val="1"/>
    <w:autoRedefine/>
    <w:qFormat/>
    <w:uiPriority w:val="0"/>
    <w:pPr>
      <w:tabs>
        <w:tab w:val="left" w:pos="980"/>
      </w:tabs>
      <w:spacing w:beforeLines="50" w:afterLines="50" w:line="360" w:lineRule="auto"/>
      <w:ind w:left="980" w:hanging="420"/>
    </w:pPr>
    <w:rPr>
      <w:sz w:val="24"/>
    </w:rPr>
  </w:style>
  <w:style w:type="paragraph" w:styleId="15">
    <w:name w:val="List Number"/>
    <w:basedOn w:val="1"/>
    <w:autoRedefine/>
    <w:qFormat/>
    <w:uiPriority w:val="0"/>
    <w:pPr>
      <w:numPr>
        <w:ilvl w:val="0"/>
        <w:numId w:val="1"/>
      </w:numPr>
      <w:tabs>
        <w:tab w:val="left" w:pos="840"/>
      </w:tabs>
    </w:pPr>
    <w:rPr>
      <w:rFonts w:ascii="Calibri" w:hAnsi="Calibri"/>
      <w:sz w:val="28"/>
      <w:szCs w:val="22"/>
    </w:rPr>
  </w:style>
  <w:style w:type="paragraph" w:styleId="16">
    <w:name w:val="Normal Indent"/>
    <w:basedOn w:val="1"/>
    <w:link w:val="123"/>
    <w:autoRedefine/>
    <w:qFormat/>
    <w:uiPriority w:val="99"/>
    <w:pPr>
      <w:ind w:firstLine="420" w:firstLineChars="200"/>
    </w:pPr>
    <w:rPr>
      <w:rFonts w:asciiTheme="minorHAnsi" w:hAnsiTheme="minorHAnsi" w:eastAsiaTheme="minorEastAsia" w:cstheme="minorBidi"/>
    </w:rPr>
  </w:style>
  <w:style w:type="paragraph" w:styleId="17">
    <w:name w:val="caption"/>
    <w:basedOn w:val="1"/>
    <w:next w:val="1"/>
    <w:link w:val="206"/>
    <w:autoRedefine/>
    <w:qFormat/>
    <w:uiPriority w:val="0"/>
    <w:pPr>
      <w:widowControl/>
      <w:jc w:val="left"/>
    </w:pPr>
    <w:rPr>
      <w:rFonts w:ascii="Arial" w:hAnsi="Arial" w:eastAsia="黑体" w:cstheme="minorBidi"/>
      <w:szCs w:val="22"/>
    </w:rPr>
  </w:style>
  <w:style w:type="paragraph" w:styleId="18">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262"/>
    <w:autoRedefine/>
    <w:qFormat/>
    <w:uiPriority w:val="99"/>
    <w:pPr>
      <w:shd w:val="clear" w:color="auto" w:fill="000080"/>
    </w:pPr>
    <w:rPr>
      <w:rFonts w:asciiTheme="minorHAnsi" w:hAnsiTheme="minorHAnsi" w:eastAsiaTheme="minorEastAsia" w:cstheme="minorBidi"/>
    </w:rPr>
  </w:style>
  <w:style w:type="paragraph" w:styleId="21">
    <w:name w:val="toa heading"/>
    <w:basedOn w:val="1"/>
    <w:next w:val="1"/>
    <w:autoRedefine/>
    <w:qFormat/>
    <w:uiPriority w:val="0"/>
    <w:pPr>
      <w:spacing w:before="120"/>
    </w:pPr>
    <w:rPr>
      <w:rFonts w:ascii="Arial" w:hAnsi="Arial" w:eastAsia="微软雅黑"/>
      <w:sz w:val="24"/>
      <w:szCs w:val="21"/>
    </w:rPr>
  </w:style>
  <w:style w:type="paragraph" w:styleId="22">
    <w:name w:val="annotation text"/>
    <w:basedOn w:val="1"/>
    <w:link w:val="250"/>
    <w:autoRedefine/>
    <w:unhideWhenUsed/>
    <w:qFormat/>
    <w:uiPriority w:val="99"/>
    <w:pPr>
      <w:jc w:val="left"/>
    </w:pPr>
  </w:style>
  <w:style w:type="paragraph" w:styleId="23">
    <w:name w:val="Salutation"/>
    <w:basedOn w:val="1"/>
    <w:next w:val="1"/>
    <w:link w:val="259"/>
    <w:autoRedefine/>
    <w:qFormat/>
    <w:uiPriority w:val="0"/>
    <w:rPr>
      <w:rFonts w:asciiTheme="minorHAnsi" w:hAnsiTheme="minorHAnsi" w:eastAsiaTheme="minorEastAsia" w:cstheme="minorBidi"/>
    </w:rPr>
  </w:style>
  <w:style w:type="paragraph" w:styleId="24">
    <w:name w:val="Body Text 3"/>
    <w:basedOn w:val="1"/>
    <w:link w:val="230"/>
    <w:autoRedefine/>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5">
    <w:name w:val="Closing"/>
    <w:basedOn w:val="1"/>
    <w:link w:val="291"/>
    <w:autoRedefine/>
    <w:qFormat/>
    <w:uiPriority w:val="0"/>
    <w:pPr>
      <w:ind w:left="100" w:leftChars="2100"/>
    </w:pPr>
    <w:rPr>
      <w:rFonts w:ascii="宋体" w:hAnsi="宋体" w:eastAsiaTheme="minorEastAsia" w:cstheme="minorBidi"/>
      <w:b/>
      <w:sz w:val="24"/>
    </w:rPr>
  </w:style>
  <w:style w:type="paragraph" w:styleId="26">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7">
    <w:name w:val="Body Text"/>
    <w:basedOn w:val="1"/>
    <w:next w:val="28"/>
    <w:link w:val="256"/>
    <w:autoRedefine/>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customStyle="1" w:styleId="2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29">
    <w:name w:val="Body Text Indent"/>
    <w:basedOn w:val="1"/>
    <w:next w:val="1"/>
    <w:link w:val="227"/>
    <w:autoRedefine/>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30">
    <w:name w:val="List 2"/>
    <w:basedOn w:val="1"/>
    <w:autoRedefine/>
    <w:qFormat/>
    <w:uiPriority w:val="0"/>
    <w:pPr>
      <w:spacing w:beforeLines="50" w:afterLines="50" w:line="360" w:lineRule="auto"/>
      <w:ind w:left="100" w:leftChars="200" w:hanging="200" w:hangingChars="200"/>
    </w:pPr>
    <w:rPr>
      <w:sz w:val="24"/>
    </w:rPr>
  </w:style>
  <w:style w:type="paragraph" w:styleId="31">
    <w:name w:val="Block Text"/>
    <w:basedOn w:val="1"/>
    <w:next w:val="1"/>
    <w:autoRedefine/>
    <w:qFormat/>
    <w:uiPriority w:val="0"/>
    <w:pPr>
      <w:spacing w:beforeLines="50" w:afterLines="50" w:line="360" w:lineRule="auto"/>
      <w:ind w:left="1440" w:leftChars="700" w:right="1440" w:rightChars="700"/>
    </w:pPr>
    <w:rPr>
      <w:sz w:val="24"/>
    </w:rPr>
  </w:style>
  <w:style w:type="paragraph" w:styleId="32">
    <w:name w:val="toc 5"/>
    <w:basedOn w:val="1"/>
    <w:next w:val="1"/>
    <w:autoRedefine/>
    <w:qFormat/>
    <w:uiPriority w:val="39"/>
    <w:pPr>
      <w:ind w:left="840"/>
      <w:jc w:val="left"/>
    </w:pPr>
    <w:rPr>
      <w:rFonts w:asciiTheme="minorHAnsi" w:hAnsiTheme="minorHAnsi"/>
      <w:sz w:val="18"/>
      <w:szCs w:val="18"/>
    </w:rPr>
  </w:style>
  <w:style w:type="paragraph" w:styleId="33">
    <w:name w:val="toc 3"/>
    <w:basedOn w:val="1"/>
    <w:next w:val="1"/>
    <w:autoRedefine/>
    <w:qFormat/>
    <w:uiPriority w:val="39"/>
    <w:pPr>
      <w:ind w:left="420"/>
      <w:jc w:val="left"/>
    </w:pPr>
    <w:rPr>
      <w:rFonts w:asciiTheme="minorHAnsi" w:hAnsiTheme="minorHAnsi"/>
      <w:i/>
      <w:iCs/>
      <w:sz w:val="20"/>
      <w:szCs w:val="20"/>
    </w:rPr>
  </w:style>
  <w:style w:type="paragraph" w:styleId="34">
    <w:name w:val="Plain Text"/>
    <w:basedOn w:val="1"/>
    <w:next w:val="35"/>
    <w:link w:val="242"/>
    <w:autoRedefine/>
    <w:qFormat/>
    <w:uiPriority w:val="0"/>
    <w:rPr>
      <w:rFonts w:ascii="宋体" w:hAnsi="Courier New" w:cs="Courier New" w:eastAsiaTheme="minorEastAsia"/>
      <w:szCs w:val="21"/>
    </w:rPr>
  </w:style>
  <w:style w:type="paragraph" w:styleId="35">
    <w:name w:val="Date"/>
    <w:basedOn w:val="1"/>
    <w:next w:val="1"/>
    <w:link w:val="266"/>
    <w:autoRedefine/>
    <w:qFormat/>
    <w:uiPriority w:val="0"/>
    <w:pPr>
      <w:ind w:left="100" w:leftChars="2500"/>
    </w:pPr>
    <w:rPr>
      <w:rFonts w:eastAsia="仿宋_GB2312" w:asciiTheme="minorHAnsi" w:hAnsiTheme="minorHAnsi" w:cstheme="minorBidi"/>
      <w:color w:val="000000"/>
      <w:sz w:val="28"/>
    </w:rPr>
  </w:style>
  <w:style w:type="paragraph" w:styleId="36">
    <w:name w:val="toc 8"/>
    <w:basedOn w:val="1"/>
    <w:next w:val="1"/>
    <w:autoRedefine/>
    <w:qFormat/>
    <w:uiPriority w:val="39"/>
    <w:pPr>
      <w:ind w:left="1470"/>
      <w:jc w:val="left"/>
    </w:pPr>
    <w:rPr>
      <w:rFonts w:asciiTheme="minorHAnsi" w:hAnsiTheme="minorHAnsi"/>
      <w:sz w:val="18"/>
      <w:szCs w:val="18"/>
    </w:rPr>
  </w:style>
  <w:style w:type="paragraph" w:styleId="37">
    <w:name w:val="Body Text Indent 2"/>
    <w:basedOn w:val="1"/>
    <w:link w:val="220"/>
    <w:autoRedefine/>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8">
    <w:name w:val="endnote text"/>
    <w:basedOn w:val="1"/>
    <w:link w:val="295"/>
    <w:autoRedefine/>
    <w:qFormat/>
    <w:uiPriority w:val="0"/>
    <w:pPr>
      <w:snapToGrid w:val="0"/>
      <w:jc w:val="left"/>
    </w:pPr>
    <w:rPr>
      <w:rFonts w:asciiTheme="minorHAnsi" w:hAnsiTheme="minorHAnsi" w:eastAsiaTheme="minorEastAsia" w:cstheme="minorBidi"/>
      <w:szCs w:val="22"/>
    </w:rPr>
  </w:style>
  <w:style w:type="paragraph" w:styleId="39">
    <w:name w:val="Balloon Text"/>
    <w:basedOn w:val="1"/>
    <w:link w:val="248"/>
    <w:autoRedefine/>
    <w:qFormat/>
    <w:uiPriority w:val="99"/>
    <w:rPr>
      <w:rFonts w:asciiTheme="minorHAnsi" w:hAnsiTheme="minorHAnsi" w:eastAsiaTheme="minorEastAsia" w:cstheme="minorBidi"/>
      <w:sz w:val="18"/>
      <w:szCs w:val="18"/>
    </w:rPr>
  </w:style>
  <w:style w:type="paragraph" w:styleId="40">
    <w:name w:val="footer"/>
    <w:basedOn w:val="1"/>
    <w:link w:val="74"/>
    <w:autoRedefine/>
    <w:unhideWhenUsed/>
    <w:qFormat/>
    <w:uiPriority w:val="99"/>
    <w:pPr>
      <w:tabs>
        <w:tab w:val="center" w:pos="4153"/>
        <w:tab w:val="right" w:pos="8306"/>
      </w:tabs>
      <w:snapToGrid w:val="0"/>
      <w:jc w:val="left"/>
    </w:pPr>
    <w:rPr>
      <w:sz w:val="18"/>
      <w:szCs w:val="18"/>
    </w:rPr>
  </w:style>
  <w:style w:type="paragraph" w:styleId="41">
    <w:name w:val="header"/>
    <w:basedOn w:val="1"/>
    <w:link w:val="7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autoRedefine/>
    <w:qFormat/>
    <w:uiPriority w:val="39"/>
    <w:pPr>
      <w:spacing w:before="120" w:after="120"/>
      <w:jc w:val="left"/>
    </w:pPr>
    <w:rPr>
      <w:rFonts w:asciiTheme="minorHAnsi" w:hAnsiTheme="minorHAnsi"/>
      <w:b/>
      <w:bCs/>
      <w:caps/>
      <w:sz w:val="20"/>
      <w:szCs w:val="20"/>
    </w:rPr>
  </w:style>
  <w:style w:type="paragraph" w:styleId="43">
    <w:name w:val="toc 4"/>
    <w:basedOn w:val="1"/>
    <w:next w:val="1"/>
    <w:autoRedefine/>
    <w:qFormat/>
    <w:uiPriority w:val="39"/>
    <w:pPr>
      <w:ind w:left="630"/>
      <w:jc w:val="left"/>
    </w:pPr>
    <w:rPr>
      <w:rFonts w:asciiTheme="minorHAnsi" w:hAnsiTheme="minorHAnsi"/>
      <w:sz w:val="18"/>
      <w:szCs w:val="18"/>
    </w:rPr>
  </w:style>
  <w:style w:type="paragraph" w:styleId="44">
    <w:name w:val="Subtitle"/>
    <w:basedOn w:val="1"/>
    <w:next w:val="1"/>
    <w:link w:val="292"/>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link w:val="717"/>
    <w:autoRedefine/>
    <w:qFormat/>
    <w:uiPriority w:val="0"/>
    <w:pPr>
      <w:widowControl/>
      <w:jc w:val="left"/>
    </w:pPr>
    <w:rPr>
      <w:kern w:val="0"/>
      <w:sz w:val="20"/>
      <w:szCs w:val="20"/>
      <w:lang w:val="de-DE"/>
    </w:rPr>
  </w:style>
  <w:style w:type="paragraph" w:styleId="47">
    <w:name w:val="toc 6"/>
    <w:basedOn w:val="1"/>
    <w:next w:val="1"/>
    <w:autoRedefine/>
    <w:qFormat/>
    <w:uiPriority w:val="39"/>
    <w:pPr>
      <w:ind w:left="1050"/>
      <w:jc w:val="left"/>
    </w:pPr>
    <w:rPr>
      <w:rFonts w:asciiTheme="minorHAnsi" w:hAnsiTheme="minorHAnsi"/>
      <w:sz w:val="18"/>
      <w:szCs w:val="18"/>
    </w:rPr>
  </w:style>
  <w:style w:type="paragraph" w:styleId="48">
    <w:name w:val="Body Text Indent 3"/>
    <w:basedOn w:val="1"/>
    <w:link w:val="252"/>
    <w:autoRedefine/>
    <w:qFormat/>
    <w:uiPriority w:val="0"/>
    <w:pPr>
      <w:ind w:firstLine="480" w:firstLineChars="200"/>
    </w:pPr>
    <w:rPr>
      <w:rFonts w:ascii="幼圆" w:eastAsia="幼圆" w:hAnsiTheme="minorHAnsi" w:cstheme="minorBidi"/>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rFonts w:asciiTheme="minorHAnsi" w:hAnsiTheme="minorHAnsi"/>
      <w:smallCaps/>
      <w:sz w:val="20"/>
      <w:szCs w:val="20"/>
    </w:rPr>
  </w:style>
  <w:style w:type="paragraph" w:styleId="51">
    <w:name w:val="toc 9"/>
    <w:basedOn w:val="1"/>
    <w:next w:val="1"/>
    <w:autoRedefine/>
    <w:qFormat/>
    <w:uiPriority w:val="39"/>
    <w:pPr>
      <w:ind w:left="1680"/>
      <w:jc w:val="left"/>
    </w:pPr>
    <w:rPr>
      <w:rFonts w:asciiTheme="minorHAnsi" w:hAnsiTheme="minorHAnsi"/>
      <w:sz w:val="18"/>
      <w:szCs w:val="18"/>
    </w:rPr>
  </w:style>
  <w:style w:type="paragraph" w:styleId="52">
    <w:name w:val="Body Text 2"/>
    <w:basedOn w:val="1"/>
    <w:link w:val="286"/>
    <w:autoRedefine/>
    <w:qFormat/>
    <w:uiPriority w:val="0"/>
    <w:pPr>
      <w:jc w:val="center"/>
    </w:pPr>
    <w:rPr>
      <w:rFonts w:ascii="宋体" w:hAnsi="宋体" w:eastAsiaTheme="minorEastAsia" w:cstheme="minorBidi"/>
      <w:sz w:val="24"/>
    </w:rPr>
  </w:style>
  <w:style w:type="paragraph" w:styleId="53">
    <w:name w:val="HTML Preformatted"/>
    <w:basedOn w:val="1"/>
    <w:link w:val="28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233"/>
    <w:autoRedefine/>
    <w:qFormat/>
    <w:uiPriority w:val="0"/>
    <w:pPr>
      <w:spacing w:before="240" w:after="60"/>
      <w:jc w:val="center"/>
      <w:outlineLvl w:val="0"/>
    </w:pPr>
    <w:rPr>
      <w:rFonts w:ascii="Arial" w:hAnsi="Arial" w:eastAsiaTheme="minorEastAsia" w:cstheme="minorBidi"/>
      <w:b/>
      <w:bCs/>
      <w:sz w:val="32"/>
      <w:szCs w:val="32"/>
    </w:rPr>
  </w:style>
  <w:style w:type="paragraph" w:styleId="57">
    <w:name w:val="annotation subject"/>
    <w:basedOn w:val="22"/>
    <w:next w:val="22"/>
    <w:link w:val="251"/>
    <w:autoRedefine/>
    <w:qFormat/>
    <w:uiPriority w:val="99"/>
    <w:rPr>
      <w:rFonts w:asciiTheme="minorHAnsi" w:hAnsiTheme="minorHAnsi" w:eastAsiaTheme="minorEastAsia" w:cstheme="minorBidi"/>
      <w:b/>
    </w:rPr>
  </w:style>
  <w:style w:type="paragraph" w:styleId="58">
    <w:name w:val="Body Text First Indent"/>
    <w:basedOn w:val="27"/>
    <w:link w:val="285"/>
    <w:autoRedefine/>
    <w:qFormat/>
    <w:uiPriority w:val="0"/>
    <w:pPr>
      <w:autoSpaceDE/>
      <w:autoSpaceDN/>
      <w:adjustRightInd/>
      <w:spacing w:after="120" w:line="240" w:lineRule="auto"/>
      <w:ind w:firstLine="420" w:firstLineChars="100"/>
      <w:jc w:val="both"/>
    </w:pPr>
    <w:rPr>
      <w:sz w:val="21"/>
    </w:rPr>
  </w:style>
  <w:style w:type="paragraph" w:styleId="59">
    <w:name w:val="Body Text First Indent 2"/>
    <w:basedOn w:val="29"/>
    <w:next w:val="1"/>
    <w:link w:val="238"/>
    <w:autoRedefine/>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1">
    <w:name w:val="Table Grid"/>
    <w:basedOn w:val="6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2">
    <w:name w:val="Table Elegant"/>
    <w:basedOn w:val="6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4">
    <w:name w:val="Strong"/>
    <w:autoRedefine/>
    <w:qFormat/>
    <w:uiPriority w:val="22"/>
    <w:rPr>
      <w:b/>
      <w:bCs/>
    </w:rPr>
  </w:style>
  <w:style w:type="character" w:styleId="65">
    <w:name w:val="endnote reference"/>
    <w:autoRedefine/>
    <w:qFormat/>
    <w:uiPriority w:val="0"/>
    <w:rPr>
      <w:vertAlign w:val="superscript"/>
    </w:rPr>
  </w:style>
  <w:style w:type="character" w:styleId="66">
    <w:name w:val="page number"/>
    <w:basedOn w:val="63"/>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iCs/>
    </w:rPr>
  </w:style>
  <w:style w:type="character" w:styleId="69">
    <w:name w:val="Hyperlink"/>
    <w:autoRedefine/>
    <w:qFormat/>
    <w:uiPriority w:val="99"/>
    <w:rPr>
      <w:color w:val="0000FF"/>
      <w:u w:val="single"/>
    </w:rPr>
  </w:style>
  <w:style w:type="character" w:styleId="70">
    <w:name w:val="annotation reference"/>
    <w:autoRedefine/>
    <w:qFormat/>
    <w:uiPriority w:val="99"/>
    <w:rPr>
      <w:sz w:val="21"/>
    </w:rPr>
  </w:style>
  <w:style w:type="paragraph" w:customStyle="1" w:styleId="71">
    <w:name w:val="Normal Indent1"/>
    <w:basedOn w:val="1"/>
    <w:autoRedefine/>
    <w:qFormat/>
    <w:uiPriority w:val="0"/>
    <w:pPr>
      <w:autoSpaceDE w:val="0"/>
      <w:autoSpaceDN w:val="0"/>
      <w:adjustRightInd w:val="0"/>
      <w:ind w:firstLine="420"/>
      <w:jc w:val="left"/>
    </w:pPr>
    <w:rPr>
      <w:rFonts w:ascii="宋体"/>
      <w:kern w:val="0"/>
      <w:sz w:val="24"/>
      <w:szCs w:val="20"/>
    </w:rPr>
  </w:style>
  <w:style w:type="paragraph" w:customStyle="1" w:styleId="72">
    <w:name w:val="大标题"/>
    <w:basedOn w:val="1"/>
    <w:next w:val="59"/>
    <w:autoRedefine/>
    <w:qFormat/>
    <w:uiPriority w:val="0"/>
    <w:pPr>
      <w:jc w:val="center"/>
    </w:pPr>
    <w:rPr>
      <w:rFonts w:ascii="Arial" w:hAnsi="Arial"/>
      <w:b/>
      <w:sz w:val="28"/>
    </w:rPr>
  </w:style>
  <w:style w:type="character" w:customStyle="1" w:styleId="73">
    <w:name w:val="页眉 Char"/>
    <w:basedOn w:val="63"/>
    <w:link w:val="41"/>
    <w:autoRedefine/>
    <w:qFormat/>
    <w:uiPriority w:val="99"/>
    <w:rPr>
      <w:sz w:val="18"/>
      <w:szCs w:val="18"/>
    </w:rPr>
  </w:style>
  <w:style w:type="character" w:customStyle="1" w:styleId="74">
    <w:name w:val="页脚 Char"/>
    <w:basedOn w:val="63"/>
    <w:link w:val="40"/>
    <w:autoRedefine/>
    <w:qFormat/>
    <w:uiPriority w:val="99"/>
    <w:rPr>
      <w:sz w:val="18"/>
      <w:szCs w:val="18"/>
    </w:rPr>
  </w:style>
  <w:style w:type="character" w:customStyle="1" w:styleId="75">
    <w:name w:val="标题 1 Char"/>
    <w:basedOn w:val="63"/>
    <w:link w:val="2"/>
    <w:autoRedefine/>
    <w:qFormat/>
    <w:uiPriority w:val="0"/>
    <w:rPr>
      <w:rFonts w:ascii="Times New Roman" w:hAnsi="Times New Roman" w:eastAsia="宋体" w:cs="Times New Roman"/>
      <w:b/>
      <w:kern w:val="44"/>
      <w:sz w:val="32"/>
      <w:szCs w:val="20"/>
    </w:rPr>
  </w:style>
  <w:style w:type="character" w:customStyle="1" w:styleId="76">
    <w:name w:val="标题 2 Char"/>
    <w:basedOn w:val="63"/>
    <w:link w:val="3"/>
    <w:autoRedefine/>
    <w:qFormat/>
    <w:uiPriority w:val="0"/>
    <w:rPr>
      <w:rFonts w:ascii="Arial" w:hAnsi="Arial" w:eastAsia="黑体" w:cs="Times New Roman"/>
      <w:b/>
      <w:bCs/>
      <w:sz w:val="32"/>
      <w:szCs w:val="32"/>
    </w:rPr>
  </w:style>
  <w:style w:type="character" w:customStyle="1" w:styleId="77">
    <w:name w:val="标题 3 Char"/>
    <w:basedOn w:val="63"/>
    <w:link w:val="4"/>
    <w:autoRedefine/>
    <w:qFormat/>
    <w:uiPriority w:val="9"/>
    <w:rPr>
      <w:rFonts w:ascii="Times New Roman" w:hAnsi="Times New Roman" w:eastAsia="Arial Unicode MS" w:cs="Times New Roman"/>
      <w:b/>
      <w:szCs w:val="20"/>
    </w:rPr>
  </w:style>
  <w:style w:type="character" w:customStyle="1" w:styleId="78">
    <w:name w:val="标题 4 Char"/>
    <w:basedOn w:val="63"/>
    <w:link w:val="5"/>
    <w:autoRedefine/>
    <w:qFormat/>
    <w:uiPriority w:val="0"/>
    <w:rPr>
      <w:rFonts w:ascii="Cambria" w:hAnsi="Cambria" w:eastAsia="宋体" w:cs="Times New Roman"/>
      <w:b/>
      <w:bCs/>
      <w:sz w:val="28"/>
      <w:szCs w:val="28"/>
    </w:rPr>
  </w:style>
  <w:style w:type="character" w:customStyle="1" w:styleId="79">
    <w:name w:val="标题 5 Char"/>
    <w:basedOn w:val="63"/>
    <w:link w:val="6"/>
    <w:autoRedefine/>
    <w:qFormat/>
    <w:uiPriority w:val="9"/>
    <w:rPr>
      <w:rFonts w:ascii="Calibri" w:hAnsi="Calibri" w:eastAsia="宋体" w:cs="Times New Roman"/>
      <w:b/>
      <w:bCs/>
      <w:sz w:val="28"/>
      <w:szCs w:val="28"/>
    </w:rPr>
  </w:style>
  <w:style w:type="character" w:customStyle="1" w:styleId="80">
    <w:name w:val="标题 6 Char"/>
    <w:basedOn w:val="63"/>
    <w:link w:val="7"/>
    <w:autoRedefine/>
    <w:qFormat/>
    <w:uiPriority w:val="0"/>
    <w:rPr>
      <w:rFonts w:ascii="Arial" w:hAnsi="Arial" w:eastAsia="黑体" w:cs="Times New Roman"/>
      <w:b/>
      <w:bCs/>
      <w:kern w:val="0"/>
      <w:sz w:val="24"/>
      <w:szCs w:val="24"/>
    </w:rPr>
  </w:style>
  <w:style w:type="character" w:customStyle="1" w:styleId="81">
    <w:name w:val="标题 7 Char"/>
    <w:basedOn w:val="63"/>
    <w:link w:val="8"/>
    <w:autoRedefine/>
    <w:qFormat/>
    <w:uiPriority w:val="0"/>
    <w:rPr>
      <w:rFonts w:ascii="Times New Roman" w:hAnsi="Times New Roman" w:eastAsia="宋体" w:cs="Times New Roman"/>
      <w:b/>
      <w:bCs/>
      <w:kern w:val="0"/>
      <w:sz w:val="24"/>
      <w:szCs w:val="24"/>
    </w:rPr>
  </w:style>
  <w:style w:type="character" w:customStyle="1" w:styleId="82">
    <w:name w:val="标题 8 Char"/>
    <w:basedOn w:val="63"/>
    <w:link w:val="9"/>
    <w:autoRedefine/>
    <w:qFormat/>
    <w:uiPriority w:val="0"/>
    <w:rPr>
      <w:rFonts w:ascii="Arial" w:hAnsi="Arial" w:eastAsia="黑体" w:cs="Times New Roman"/>
      <w:kern w:val="0"/>
      <w:sz w:val="24"/>
      <w:szCs w:val="24"/>
    </w:rPr>
  </w:style>
  <w:style w:type="character" w:customStyle="1" w:styleId="83">
    <w:name w:val="标题 9 Char"/>
    <w:basedOn w:val="63"/>
    <w:link w:val="10"/>
    <w:autoRedefine/>
    <w:qFormat/>
    <w:uiPriority w:val="0"/>
    <w:rPr>
      <w:rFonts w:ascii="Arial" w:hAnsi="Arial" w:eastAsia="黑体" w:cs="Times New Roman"/>
      <w:kern w:val="0"/>
      <w:szCs w:val="21"/>
    </w:rPr>
  </w:style>
  <w:style w:type="character" w:customStyle="1" w:styleId="84">
    <w:name w:val="hei12"/>
    <w:basedOn w:val="63"/>
    <w:autoRedefine/>
    <w:qFormat/>
    <w:uiPriority w:val="0"/>
  </w:style>
  <w:style w:type="character" w:customStyle="1" w:styleId="85">
    <w:name w:val="正文缩进2格 Char"/>
    <w:link w:val="86"/>
    <w:autoRedefine/>
    <w:qFormat/>
    <w:uiPriority w:val="0"/>
    <w:rPr>
      <w:rFonts w:ascii="仿宋_GB2312" w:hAnsi="宋体" w:eastAsia="仿宋_GB2312"/>
      <w:sz w:val="31"/>
    </w:rPr>
  </w:style>
  <w:style w:type="paragraph" w:customStyle="1" w:styleId="86">
    <w:name w:val="正文缩进2格"/>
    <w:basedOn w:val="1"/>
    <w:link w:val="85"/>
    <w:autoRedefine/>
    <w:qFormat/>
    <w:uiPriority w:val="0"/>
    <w:pPr>
      <w:spacing w:line="600" w:lineRule="exact"/>
      <w:ind w:firstLine="639" w:firstLineChars="206"/>
    </w:pPr>
    <w:rPr>
      <w:rFonts w:ascii="仿宋_GB2312" w:hAnsi="宋体" w:eastAsia="仿宋_GB2312" w:cstheme="minorBidi"/>
      <w:sz w:val="31"/>
      <w:szCs w:val="22"/>
    </w:rPr>
  </w:style>
  <w:style w:type="character" w:customStyle="1" w:styleId="87">
    <w:name w:val="font51"/>
    <w:autoRedefine/>
    <w:qFormat/>
    <w:uiPriority w:val="0"/>
    <w:rPr>
      <w:rFonts w:hint="eastAsia" w:ascii="宋体" w:hAnsi="宋体" w:eastAsia="宋体" w:cs="宋体"/>
      <w:color w:val="000000"/>
      <w:sz w:val="20"/>
      <w:szCs w:val="20"/>
      <w:u w:val="none"/>
    </w:rPr>
  </w:style>
  <w:style w:type="character" w:customStyle="1" w:styleId="88">
    <w:name w:val="font61"/>
    <w:basedOn w:val="63"/>
    <w:autoRedefine/>
    <w:qFormat/>
    <w:uiPriority w:val="0"/>
    <w:rPr>
      <w:rFonts w:hint="default" w:ascii="Times New Roman" w:hAnsi="Times New Roman" w:cs="Times New Roman"/>
      <w:color w:val="000000"/>
      <w:sz w:val="20"/>
      <w:szCs w:val="20"/>
      <w:u w:val="none"/>
    </w:rPr>
  </w:style>
  <w:style w:type="character" w:customStyle="1" w:styleId="89">
    <w:name w:val="表中左小5 Char"/>
    <w:link w:val="90"/>
    <w:autoRedefine/>
    <w:qFormat/>
    <w:uiPriority w:val="0"/>
    <w:rPr>
      <w:color w:val="0000FF"/>
      <w:sz w:val="18"/>
      <w:szCs w:val="18"/>
    </w:rPr>
  </w:style>
  <w:style w:type="paragraph" w:customStyle="1" w:styleId="90">
    <w:name w:val="表中左小5"/>
    <w:link w:val="89"/>
    <w:autoRedefine/>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91">
    <w:name w:val="font71"/>
    <w:autoRedefine/>
    <w:qFormat/>
    <w:uiPriority w:val="0"/>
    <w:rPr>
      <w:rFonts w:hint="eastAsia" w:ascii="宋体" w:hAnsi="宋体" w:eastAsia="宋体" w:cs="宋体"/>
      <w:color w:val="000000"/>
      <w:sz w:val="20"/>
      <w:szCs w:val="20"/>
      <w:u w:val="none"/>
    </w:rPr>
  </w:style>
  <w:style w:type="character" w:customStyle="1" w:styleId="92">
    <w:name w:val="z-窗体底端 Char"/>
    <w:autoRedefine/>
    <w:qFormat/>
    <w:uiPriority w:val="99"/>
    <w:rPr>
      <w:rFonts w:ascii="Arial" w:hAnsi="Arial" w:cs="Arial"/>
      <w:vanish/>
      <w:sz w:val="16"/>
      <w:szCs w:val="16"/>
    </w:rPr>
  </w:style>
  <w:style w:type="paragraph" w:customStyle="1" w:styleId="93">
    <w:name w:val="z-窗体底端1"/>
    <w:basedOn w:val="1"/>
    <w:next w:val="1"/>
    <w:link w:val="281"/>
    <w:autoRedefine/>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4">
    <w:name w:val="ca-251"/>
    <w:autoRedefine/>
    <w:qFormat/>
    <w:uiPriority w:val="0"/>
    <w:rPr>
      <w:rFonts w:hint="default" w:ascii="Times New Roman" w:hAnsi="Times New Roman" w:cs="Times New Roman"/>
      <w:sz w:val="24"/>
      <w:szCs w:val="24"/>
    </w:rPr>
  </w:style>
  <w:style w:type="character" w:customStyle="1" w:styleId="95">
    <w:name w:val="Char Char3"/>
    <w:autoRedefine/>
    <w:semiHidden/>
    <w:qFormat/>
    <w:uiPriority w:val="0"/>
    <w:rPr>
      <w:sz w:val="18"/>
      <w:szCs w:val="18"/>
    </w:rPr>
  </w:style>
  <w:style w:type="character" w:customStyle="1" w:styleId="96">
    <w:name w:val="批注文字 Char"/>
    <w:autoRedefine/>
    <w:qFormat/>
    <w:uiPriority w:val="99"/>
    <w:rPr>
      <w:kern w:val="2"/>
      <w:sz w:val="21"/>
      <w:szCs w:val="24"/>
    </w:rPr>
  </w:style>
  <w:style w:type="character" w:customStyle="1" w:styleId="97">
    <w:name w:val="apple-converted-space"/>
    <w:basedOn w:val="63"/>
    <w:autoRedefine/>
    <w:qFormat/>
    <w:uiPriority w:val="0"/>
  </w:style>
  <w:style w:type="character" w:customStyle="1" w:styleId="98">
    <w:name w:val="chanpinname"/>
    <w:basedOn w:val="63"/>
    <w:autoRedefine/>
    <w:qFormat/>
    <w:uiPriority w:val="0"/>
  </w:style>
  <w:style w:type="character" w:customStyle="1" w:styleId="99">
    <w:name w:val="副标题 Char"/>
    <w:autoRedefine/>
    <w:qFormat/>
    <w:uiPriority w:val="0"/>
    <w:rPr>
      <w:rFonts w:ascii="Cambria" w:hAnsi="Cambria"/>
      <w:b/>
      <w:bCs/>
      <w:kern w:val="28"/>
      <w:sz w:val="32"/>
      <w:szCs w:val="32"/>
    </w:rPr>
  </w:style>
  <w:style w:type="character" w:customStyle="1" w:styleId="100">
    <w:name w:val="ca-231"/>
    <w:autoRedefine/>
    <w:qFormat/>
    <w:uiPriority w:val="0"/>
    <w:rPr>
      <w:rFonts w:hint="eastAsia" w:ascii="宋体" w:hAnsi="宋体" w:eastAsia="宋体"/>
      <w:sz w:val="24"/>
      <w:szCs w:val="24"/>
    </w:rPr>
  </w:style>
  <w:style w:type="character" w:customStyle="1" w:styleId="101">
    <w:name w:val="Figure Text Char"/>
    <w:link w:val="102"/>
    <w:autoRedefine/>
    <w:qFormat/>
    <w:uiPriority w:val="0"/>
    <w:rPr>
      <w:rFonts w:ascii="Arial" w:hAnsi="Arial" w:cs="Arial"/>
      <w:sz w:val="18"/>
      <w:szCs w:val="18"/>
      <w:lang w:eastAsia="en-US"/>
    </w:rPr>
  </w:style>
  <w:style w:type="paragraph" w:customStyle="1" w:styleId="102">
    <w:name w:val="Figure Text"/>
    <w:link w:val="101"/>
    <w:autoRedefine/>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3">
    <w:name w:val="font91"/>
    <w:autoRedefine/>
    <w:qFormat/>
    <w:uiPriority w:val="0"/>
    <w:rPr>
      <w:rFonts w:hint="eastAsia" w:ascii="宋体" w:hAnsi="宋体" w:eastAsia="宋体" w:cs="宋体"/>
      <w:color w:val="000000"/>
      <w:sz w:val="20"/>
      <w:szCs w:val="20"/>
      <w:u w:val="none"/>
    </w:rPr>
  </w:style>
  <w:style w:type="character" w:customStyle="1" w:styleId="104">
    <w:name w:val="正文小四 Char"/>
    <w:link w:val="105"/>
    <w:autoRedefine/>
    <w:qFormat/>
    <w:uiPriority w:val="0"/>
    <w:rPr>
      <w:rFonts w:ascii="宋体" w:hAnsi="宋体"/>
      <w:sz w:val="24"/>
    </w:rPr>
  </w:style>
  <w:style w:type="paragraph" w:customStyle="1" w:styleId="105">
    <w:name w:val="正文小四"/>
    <w:link w:val="104"/>
    <w:autoRedefine/>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6">
    <w:name w:val="正文文本 3 Char"/>
    <w:autoRedefine/>
    <w:qFormat/>
    <w:uiPriority w:val="0"/>
    <w:rPr>
      <w:sz w:val="16"/>
      <w:szCs w:val="16"/>
    </w:rPr>
  </w:style>
  <w:style w:type="character" w:customStyle="1" w:styleId="107">
    <w:name w:val="font01"/>
    <w:basedOn w:val="63"/>
    <w:autoRedefine/>
    <w:qFormat/>
    <w:uiPriority w:val="0"/>
    <w:rPr>
      <w:rFonts w:hint="eastAsia" w:ascii="宋体" w:hAnsi="宋体" w:eastAsia="宋体" w:cs="宋体"/>
      <w:color w:val="000000"/>
      <w:sz w:val="24"/>
      <w:szCs w:val="24"/>
      <w:u w:val="none"/>
      <w:vertAlign w:val="superscript"/>
    </w:rPr>
  </w:style>
  <w:style w:type="character" w:customStyle="1" w:styleId="108">
    <w:name w:val="Table Description Char Char"/>
    <w:link w:val="109"/>
    <w:autoRedefine/>
    <w:qFormat/>
    <w:uiPriority w:val="0"/>
    <w:rPr>
      <w:rFonts w:ascii="Arial" w:hAnsi="Arial" w:eastAsia="黑体"/>
      <w:sz w:val="18"/>
    </w:rPr>
  </w:style>
  <w:style w:type="paragraph" w:customStyle="1" w:styleId="109">
    <w:name w:val="Table Description"/>
    <w:next w:val="1"/>
    <w:link w:val="108"/>
    <w:autoRedefine/>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10">
    <w:name w:val="表格标题(居中) Char"/>
    <w:link w:val="111"/>
    <w:autoRedefine/>
    <w:qFormat/>
    <w:uiPriority w:val="0"/>
    <w:rPr>
      <w:rFonts w:eastAsia="黑体"/>
      <w:sz w:val="24"/>
    </w:rPr>
  </w:style>
  <w:style w:type="paragraph" w:customStyle="1" w:styleId="111">
    <w:name w:val="表格标题(居中)"/>
    <w:basedOn w:val="1"/>
    <w:link w:val="110"/>
    <w:autoRedefine/>
    <w:qFormat/>
    <w:uiPriority w:val="0"/>
    <w:pPr>
      <w:snapToGrid w:val="0"/>
      <w:spacing w:line="300" w:lineRule="auto"/>
      <w:jc w:val="center"/>
    </w:pPr>
    <w:rPr>
      <w:rFonts w:eastAsia="黑体" w:asciiTheme="minorHAnsi" w:hAnsiTheme="minorHAnsi" w:cstheme="minorBidi"/>
      <w:sz w:val="24"/>
      <w:szCs w:val="22"/>
    </w:rPr>
  </w:style>
  <w:style w:type="character" w:customStyle="1" w:styleId="112">
    <w:name w:val="称呼 Char"/>
    <w:autoRedefine/>
    <w:qFormat/>
    <w:uiPriority w:val="0"/>
    <w:rPr>
      <w:szCs w:val="24"/>
    </w:rPr>
  </w:style>
  <w:style w:type="character" w:customStyle="1" w:styleId="113">
    <w:name w:val="样式 目录 2 + 宋体 Char"/>
    <w:link w:val="114"/>
    <w:autoRedefine/>
    <w:qFormat/>
    <w:uiPriority w:val="0"/>
    <w:rPr>
      <w:rFonts w:ascii="宋体" w:hAnsi="宋体"/>
      <w:sz w:val="28"/>
    </w:rPr>
  </w:style>
  <w:style w:type="paragraph" w:customStyle="1" w:styleId="114">
    <w:name w:val="样式 目录 2 + 宋体"/>
    <w:basedOn w:val="27"/>
    <w:next w:val="27"/>
    <w:link w:val="113"/>
    <w:autoRedefine/>
    <w:qFormat/>
    <w:uiPriority w:val="0"/>
    <w:pPr>
      <w:autoSpaceDE/>
      <w:autoSpaceDN/>
      <w:adjustRightInd/>
      <w:spacing w:after="120" w:line="240" w:lineRule="auto"/>
      <w:jc w:val="both"/>
    </w:pPr>
    <w:rPr>
      <w:rFonts w:hAnsi="宋体"/>
      <w:color w:val="auto"/>
      <w:szCs w:val="22"/>
    </w:rPr>
  </w:style>
  <w:style w:type="character" w:customStyle="1" w:styleId="115">
    <w:name w:val="副标题 Char1"/>
    <w:autoRedefine/>
    <w:qFormat/>
    <w:uiPriority w:val="0"/>
    <w:rPr>
      <w:rFonts w:ascii="Cambria" w:hAnsi="Cambria" w:cs="Times New Roman"/>
      <w:b/>
      <w:bCs/>
      <w:kern w:val="28"/>
      <w:sz w:val="32"/>
      <w:szCs w:val="32"/>
    </w:rPr>
  </w:style>
  <w:style w:type="character" w:customStyle="1" w:styleId="116">
    <w:name w:val="正文首行缩进 Char"/>
    <w:autoRedefine/>
    <w:qFormat/>
    <w:uiPriority w:val="0"/>
    <w:rPr>
      <w:rFonts w:ascii="宋体"/>
      <w:color w:val="000000"/>
      <w:szCs w:val="32"/>
    </w:rPr>
  </w:style>
  <w:style w:type="character" w:customStyle="1" w:styleId="117">
    <w:name w:val="正文文本缩进 2 Char"/>
    <w:autoRedefine/>
    <w:qFormat/>
    <w:locked/>
    <w:uiPriority w:val="0"/>
    <w:rPr>
      <w:rFonts w:ascii="幼圆" w:eastAsia="幼圆"/>
      <w:color w:val="000000"/>
      <w:sz w:val="30"/>
      <w:szCs w:val="32"/>
    </w:rPr>
  </w:style>
  <w:style w:type="character" w:customStyle="1" w:styleId="118">
    <w:name w:val="font81"/>
    <w:autoRedefine/>
    <w:qFormat/>
    <w:uiPriority w:val="0"/>
    <w:rPr>
      <w:rFonts w:hint="eastAsia" w:ascii="宋体" w:hAnsi="宋体" w:eastAsia="宋体" w:cs="宋体"/>
      <w:color w:val="000000"/>
      <w:sz w:val="20"/>
      <w:szCs w:val="20"/>
      <w:u w:val="none"/>
    </w:rPr>
  </w:style>
  <w:style w:type="character" w:customStyle="1" w:styleId="119">
    <w:name w:val="正文文本 Char"/>
    <w:autoRedefine/>
    <w:qFormat/>
    <w:uiPriority w:val="0"/>
    <w:rPr>
      <w:rFonts w:ascii="宋体"/>
      <w:color w:val="000000"/>
      <w:sz w:val="28"/>
      <w:szCs w:val="32"/>
    </w:rPr>
  </w:style>
  <w:style w:type="character" w:customStyle="1" w:styleId="120">
    <w:name w:val="尾注文本 Char"/>
    <w:basedOn w:val="63"/>
    <w:autoRedefine/>
    <w:qFormat/>
    <w:uiPriority w:val="0"/>
  </w:style>
  <w:style w:type="character" w:customStyle="1" w:styleId="121">
    <w:name w:val="HTML 预设格式 Char1"/>
    <w:autoRedefine/>
    <w:semiHidden/>
    <w:qFormat/>
    <w:uiPriority w:val="0"/>
    <w:rPr>
      <w:rFonts w:ascii="Courier New" w:hAnsi="Courier New" w:eastAsia="宋体" w:cs="Courier New"/>
      <w:sz w:val="20"/>
      <w:szCs w:val="20"/>
    </w:rPr>
  </w:style>
  <w:style w:type="character" w:customStyle="1" w:styleId="122">
    <w:name w:val="3zw1"/>
    <w:autoRedefine/>
    <w:qFormat/>
    <w:uiPriority w:val="0"/>
    <w:rPr>
      <w:color w:val="000000"/>
      <w:sz w:val="21"/>
      <w:szCs w:val="21"/>
    </w:rPr>
  </w:style>
  <w:style w:type="character" w:customStyle="1" w:styleId="123">
    <w:name w:val="正文缩进 Char"/>
    <w:link w:val="16"/>
    <w:autoRedefine/>
    <w:qFormat/>
    <w:uiPriority w:val="0"/>
    <w:rPr>
      <w:szCs w:val="24"/>
    </w:rPr>
  </w:style>
  <w:style w:type="character" w:customStyle="1" w:styleId="124">
    <w:name w:val="正文2级 Char"/>
    <w:link w:val="125"/>
    <w:autoRedefine/>
    <w:qFormat/>
    <w:uiPriority w:val="0"/>
    <w:rPr>
      <w:bCs/>
      <w:kern w:val="44"/>
      <w:sz w:val="24"/>
      <w:szCs w:val="44"/>
    </w:rPr>
  </w:style>
  <w:style w:type="paragraph" w:customStyle="1" w:styleId="125">
    <w:name w:val="正文2级"/>
    <w:link w:val="124"/>
    <w:autoRedefine/>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6">
    <w:name w:val="param-name"/>
    <w:autoRedefine/>
    <w:qFormat/>
    <w:uiPriority w:val="0"/>
  </w:style>
  <w:style w:type="character" w:customStyle="1" w:styleId="127">
    <w:name w:val="Table Text Char1"/>
    <w:autoRedefine/>
    <w:qFormat/>
    <w:uiPriority w:val="0"/>
    <w:rPr>
      <w:rFonts w:ascii="Arial" w:hAnsi="Arial" w:eastAsia="宋体" w:cs="Arial"/>
      <w:snapToGrid w:val="0"/>
      <w:sz w:val="21"/>
      <w:szCs w:val="21"/>
      <w:lang w:val="en-US" w:eastAsia="zh-CN" w:bidi="ar-SA"/>
    </w:rPr>
  </w:style>
  <w:style w:type="character" w:customStyle="1" w:styleId="128">
    <w:name w:val="word21"/>
    <w:autoRedefine/>
    <w:qFormat/>
    <w:uiPriority w:val="0"/>
    <w:rPr>
      <w:b/>
      <w:bCs/>
      <w:color w:val="194D7C"/>
      <w:spacing w:val="400"/>
      <w:sz w:val="24"/>
      <w:szCs w:val="24"/>
    </w:rPr>
  </w:style>
  <w:style w:type="character" w:customStyle="1" w:styleId="129">
    <w:name w:val="页眉 Char1"/>
    <w:autoRedefine/>
    <w:semiHidden/>
    <w:qFormat/>
    <w:uiPriority w:val="99"/>
    <w:rPr>
      <w:rFonts w:ascii="Times New Roman" w:hAnsi="Times New Roman" w:eastAsia="宋体" w:cs="Times New Roman"/>
      <w:sz w:val="18"/>
      <w:szCs w:val="18"/>
    </w:rPr>
  </w:style>
  <w:style w:type="character" w:customStyle="1" w:styleId="130">
    <w:name w:val="表格非标题文字 Char"/>
    <w:link w:val="131"/>
    <w:autoRedefine/>
    <w:qFormat/>
    <w:uiPriority w:val="0"/>
    <w:rPr>
      <w:rFonts w:ascii="Arial" w:hAnsi="Arial"/>
      <w:sz w:val="18"/>
      <w:szCs w:val="21"/>
    </w:rPr>
  </w:style>
  <w:style w:type="paragraph" w:customStyle="1" w:styleId="131">
    <w:name w:val="表格非标题文字"/>
    <w:link w:val="130"/>
    <w:autoRedefine/>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32">
    <w:name w:val="正文首行缩进 2 Char1"/>
    <w:basedOn w:val="133"/>
    <w:autoRedefine/>
    <w:qFormat/>
    <w:uiPriority w:val="0"/>
    <w:rPr>
      <w:rFonts w:ascii="楷体_GB2312" w:eastAsia="楷体_GB2312"/>
      <w:kern w:val="2"/>
      <w:sz w:val="28"/>
      <w:szCs w:val="31"/>
    </w:rPr>
  </w:style>
  <w:style w:type="character" w:customStyle="1" w:styleId="133">
    <w:name w:val="正文文本缩进 Char1"/>
    <w:autoRedefine/>
    <w:qFormat/>
    <w:uiPriority w:val="0"/>
    <w:rPr>
      <w:rFonts w:ascii="楷体_GB2312" w:eastAsia="楷体_GB2312"/>
      <w:kern w:val="2"/>
      <w:sz w:val="28"/>
      <w:szCs w:val="31"/>
    </w:rPr>
  </w:style>
  <w:style w:type="character" w:customStyle="1" w:styleId="134">
    <w:name w:val="正文新 Char"/>
    <w:link w:val="135"/>
    <w:autoRedefine/>
    <w:qFormat/>
    <w:uiPriority w:val="0"/>
    <w:rPr>
      <w:rFonts w:ascii="宋体" w:hAnsi="宋体"/>
      <w:sz w:val="28"/>
    </w:rPr>
  </w:style>
  <w:style w:type="paragraph" w:customStyle="1" w:styleId="135">
    <w:name w:val="正文新"/>
    <w:basedOn w:val="1"/>
    <w:link w:val="134"/>
    <w:autoRedefine/>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6">
    <w:name w:val="font31"/>
    <w:basedOn w:val="63"/>
    <w:autoRedefine/>
    <w:qFormat/>
    <w:uiPriority w:val="0"/>
    <w:rPr>
      <w:rFonts w:hint="default" w:ascii="Times New Roman" w:hAnsi="Times New Roman" w:cs="Times New Roman"/>
      <w:color w:val="000000"/>
      <w:sz w:val="20"/>
      <w:szCs w:val="20"/>
      <w:u w:val="none"/>
    </w:rPr>
  </w:style>
  <w:style w:type="character" w:customStyle="1" w:styleId="137">
    <w:name w:val="B正文 Char"/>
    <w:link w:val="138"/>
    <w:autoRedefine/>
    <w:qFormat/>
    <w:locked/>
    <w:uiPriority w:val="0"/>
    <w:rPr>
      <w:rFonts w:ascii="宋体" w:hAnsi="宋体"/>
      <w:sz w:val="24"/>
    </w:rPr>
  </w:style>
  <w:style w:type="paragraph" w:customStyle="1" w:styleId="138">
    <w:name w:val="B正文"/>
    <w:basedOn w:val="1"/>
    <w:link w:val="137"/>
    <w:autoRedefine/>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9">
    <w:name w:val="日期 Char"/>
    <w:link w:val="140"/>
    <w:autoRedefine/>
    <w:qFormat/>
    <w:locked/>
    <w:uiPriority w:val="0"/>
    <w:rPr>
      <w:rFonts w:eastAsia="仿宋_GB2312"/>
      <w:color w:val="000000"/>
      <w:sz w:val="28"/>
      <w:szCs w:val="24"/>
    </w:rPr>
  </w:style>
  <w:style w:type="paragraph" w:customStyle="1" w:styleId="140">
    <w:name w:val="日期_0"/>
    <w:basedOn w:val="141"/>
    <w:next w:val="141"/>
    <w:link w:val="139"/>
    <w:autoRedefine/>
    <w:qFormat/>
    <w:uiPriority w:val="0"/>
    <w:pPr>
      <w:ind w:left="100" w:leftChars="2500"/>
    </w:pPr>
    <w:rPr>
      <w:rFonts w:eastAsia="仿宋_GB2312"/>
      <w:color w:val="000000"/>
      <w:kern w:val="0"/>
      <w:sz w:val="28"/>
    </w:rPr>
  </w:style>
  <w:style w:type="paragraph" w:customStyle="1" w:styleId="141">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2">
    <w:name w:val="缩进 Char"/>
    <w:link w:val="143"/>
    <w:autoRedefine/>
    <w:qFormat/>
    <w:uiPriority w:val="0"/>
    <w:rPr>
      <w:color w:val="0000FF"/>
      <w:szCs w:val="18"/>
    </w:rPr>
  </w:style>
  <w:style w:type="paragraph" w:customStyle="1" w:styleId="143">
    <w:name w:val="缩进"/>
    <w:link w:val="142"/>
    <w:autoRedefine/>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44">
    <w:name w:val="font41"/>
    <w:basedOn w:val="63"/>
    <w:autoRedefine/>
    <w:qFormat/>
    <w:uiPriority w:val="0"/>
    <w:rPr>
      <w:rFonts w:hint="eastAsia" w:ascii="宋体" w:hAnsi="宋体" w:eastAsia="宋体" w:cs="宋体"/>
      <w:color w:val="000000"/>
      <w:sz w:val="20"/>
      <w:szCs w:val="20"/>
      <w:u w:val="none"/>
    </w:rPr>
  </w:style>
  <w:style w:type="character" w:customStyle="1" w:styleId="145">
    <w:name w:val="txt"/>
    <w:basedOn w:val="63"/>
    <w:autoRedefine/>
    <w:qFormat/>
    <w:uiPriority w:val="0"/>
  </w:style>
  <w:style w:type="character" w:customStyle="1" w:styleId="146">
    <w:name w:val="首行缩进 Char Char1"/>
    <w:link w:val="147"/>
    <w:autoRedefine/>
    <w:qFormat/>
    <w:locked/>
    <w:uiPriority w:val="0"/>
    <w:rPr>
      <w:sz w:val="24"/>
      <w:szCs w:val="24"/>
    </w:rPr>
  </w:style>
  <w:style w:type="paragraph" w:customStyle="1" w:styleId="147">
    <w:name w:val="首行缩进 Char"/>
    <w:basedOn w:val="1"/>
    <w:next w:val="16"/>
    <w:link w:val="146"/>
    <w:autoRedefine/>
    <w:qFormat/>
    <w:uiPriority w:val="0"/>
    <w:pPr>
      <w:spacing w:line="300" w:lineRule="auto"/>
      <w:ind w:firstLine="420"/>
    </w:pPr>
    <w:rPr>
      <w:rFonts w:asciiTheme="minorHAnsi" w:hAnsiTheme="minorHAnsi" w:eastAsiaTheme="minorEastAsia" w:cstheme="minorBidi"/>
      <w:sz w:val="24"/>
    </w:rPr>
  </w:style>
  <w:style w:type="character" w:customStyle="1" w:styleId="148">
    <w:name w:val="ca-131"/>
    <w:autoRedefine/>
    <w:qFormat/>
    <w:uiPriority w:val="0"/>
    <w:rPr>
      <w:rFonts w:hint="default" w:ascii="Times New Roman" w:hAnsi="Times New Roman" w:cs="Times New Roman"/>
      <w:sz w:val="21"/>
      <w:szCs w:val="21"/>
    </w:rPr>
  </w:style>
  <w:style w:type="character" w:customStyle="1" w:styleId="149">
    <w:name w:val="标题 Char"/>
    <w:autoRedefine/>
    <w:qFormat/>
    <w:uiPriority w:val="0"/>
    <w:rPr>
      <w:rFonts w:ascii="Arial" w:hAnsi="Arial"/>
      <w:b/>
      <w:bCs/>
      <w:sz w:val="32"/>
      <w:szCs w:val="32"/>
    </w:rPr>
  </w:style>
  <w:style w:type="character" w:customStyle="1" w:styleId="150">
    <w:name w:val="悬挂22 Char"/>
    <w:link w:val="151"/>
    <w:autoRedefine/>
    <w:qFormat/>
    <w:uiPriority w:val="0"/>
    <w:rPr>
      <w:color w:val="FF0000"/>
      <w:szCs w:val="28"/>
    </w:rPr>
  </w:style>
  <w:style w:type="paragraph" w:customStyle="1" w:styleId="151">
    <w:name w:val="悬挂22"/>
    <w:link w:val="150"/>
    <w:autoRedefine/>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52">
    <w:name w:val="正文文本 Char1"/>
    <w:autoRedefine/>
    <w:qFormat/>
    <w:uiPriority w:val="0"/>
    <w:rPr>
      <w:rFonts w:ascii="楷体_GB2312" w:eastAsia="楷体_GB2312"/>
      <w:kern w:val="2"/>
      <w:sz w:val="28"/>
    </w:rPr>
  </w:style>
  <w:style w:type="character" w:customStyle="1" w:styleId="153">
    <w:name w:val="纯文本 Char"/>
    <w:autoRedefine/>
    <w:qFormat/>
    <w:uiPriority w:val="0"/>
    <w:rPr>
      <w:rFonts w:ascii="宋体" w:hAnsi="Courier New" w:cs="Courier New"/>
      <w:szCs w:val="21"/>
    </w:rPr>
  </w:style>
  <w:style w:type="character" w:customStyle="1" w:styleId="154">
    <w:name w:val="正文文本缩进 3 Char"/>
    <w:autoRedefine/>
    <w:qFormat/>
    <w:locked/>
    <w:uiPriority w:val="0"/>
    <w:rPr>
      <w:rFonts w:ascii="幼圆" w:eastAsia="幼圆"/>
      <w:sz w:val="24"/>
      <w:szCs w:val="32"/>
    </w:rPr>
  </w:style>
  <w:style w:type="character" w:customStyle="1" w:styleId="155">
    <w:name w:val="悬挂2 Char"/>
    <w:link w:val="156"/>
    <w:autoRedefine/>
    <w:qFormat/>
    <w:uiPriority w:val="0"/>
    <w:rPr>
      <w:rFonts w:asciiTheme="minorHAnsi" w:hAnsiTheme="minorHAnsi" w:eastAsiaTheme="minorEastAsia" w:cstheme="minorBidi"/>
      <w:kern w:val="2"/>
      <w:sz w:val="21"/>
      <w:szCs w:val="21"/>
    </w:rPr>
  </w:style>
  <w:style w:type="paragraph" w:customStyle="1" w:styleId="156">
    <w:name w:val="悬挂2"/>
    <w:link w:val="155"/>
    <w:autoRedefine/>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7">
    <w:name w:val="Char Char5"/>
    <w:autoRedefine/>
    <w:qFormat/>
    <w:uiPriority w:val="0"/>
    <w:rPr>
      <w:rFonts w:ascii="Times New Roman" w:hAnsi="Times New Roman" w:eastAsia="宋体"/>
      <w:sz w:val="18"/>
    </w:rPr>
  </w:style>
  <w:style w:type="character" w:customStyle="1" w:styleId="158">
    <w:name w:val="prod_content_font_011"/>
    <w:autoRedefine/>
    <w:qFormat/>
    <w:uiPriority w:val="0"/>
    <w:rPr>
      <w:rFonts w:hint="default" w:ascii="Verdana" w:hAnsi="Verdana"/>
      <w:color w:val="5E5E5E"/>
      <w:sz w:val="17"/>
      <w:szCs w:val="17"/>
    </w:rPr>
  </w:style>
  <w:style w:type="character" w:customStyle="1" w:styleId="159">
    <w:name w:val="尾注文本 Char1"/>
    <w:autoRedefine/>
    <w:qFormat/>
    <w:uiPriority w:val="99"/>
    <w:rPr>
      <w:kern w:val="2"/>
      <w:sz w:val="21"/>
      <w:szCs w:val="24"/>
    </w:rPr>
  </w:style>
  <w:style w:type="character" w:customStyle="1" w:styleId="160">
    <w:name w:val="普通 (Web) Char"/>
    <w:link w:val="161"/>
    <w:autoRedefine/>
    <w:qFormat/>
    <w:uiPriority w:val="99"/>
    <w:rPr>
      <w:rFonts w:ascii="宋体" w:hAnsi="宋体"/>
      <w:sz w:val="24"/>
      <w:szCs w:val="24"/>
    </w:rPr>
  </w:style>
  <w:style w:type="paragraph" w:customStyle="1" w:styleId="161">
    <w:name w:val="普通 (Web)"/>
    <w:basedOn w:val="1"/>
    <w:link w:val="160"/>
    <w:autoRedefine/>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62">
    <w:name w:val="标题 Char1"/>
    <w:autoRedefine/>
    <w:qFormat/>
    <w:uiPriority w:val="0"/>
    <w:rPr>
      <w:rFonts w:ascii="Cambria" w:hAnsi="Cambria" w:cs="Times New Roman"/>
      <w:b/>
      <w:bCs/>
      <w:kern w:val="2"/>
      <w:sz w:val="32"/>
      <w:szCs w:val="32"/>
    </w:rPr>
  </w:style>
  <w:style w:type="character" w:customStyle="1" w:styleId="163">
    <w:name w:val="正文缩进 Char1"/>
    <w:autoRedefine/>
    <w:qFormat/>
    <w:uiPriority w:val="0"/>
    <w:rPr>
      <w:rFonts w:eastAsia="宋体"/>
      <w:kern w:val="2"/>
      <w:sz w:val="21"/>
      <w:szCs w:val="24"/>
      <w:lang w:val="en-US" w:eastAsia="zh-CN" w:bidi="ar-SA"/>
    </w:rPr>
  </w:style>
  <w:style w:type="character" w:customStyle="1" w:styleId="164">
    <w:name w:val="正文文本缩进 Char"/>
    <w:autoRedefine/>
    <w:qFormat/>
    <w:uiPriority w:val="0"/>
    <w:rPr>
      <w:rFonts w:ascii="宋体"/>
      <w:color w:val="000000"/>
      <w:sz w:val="32"/>
      <w:szCs w:val="32"/>
    </w:rPr>
  </w:style>
  <w:style w:type="character" w:customStyle="1" w:styleId="165">
    <w:name w:val="Table Text Char"/>
    <w:link w:val="166"/>
    <w:autoRedefine/>
    <w:qFormat/>
    <w:uiPriority w:val="0"/>
    <w:rPr>
      <w:rFonts w:ascii="Arial" w:hAnsi="Arial"/>
      <w:sz w:val="18"/>
    </w:rPr>
  </w:style>
  <w:style w:type="paragraph" w:customStyle="1" w:styleId="166">
    <w:name w:val="Table Text"/>
    <w:link w:val="165"/>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7">
    <w:name w:val="批注框文本 Char"/>
    <w:autoRedefine/>
    <w:qFormat/>
    <w:uiPriority w:val="99"/>
    <w:rPr>
      <w:rFonts w:ascii="Times New Roman" w:hAnsi="Times New Roman"/>
      <w:kern w:val="2"/>
      <w:sz w:val="18"/>
      <w:szCs w:val="18"/>
    </w:rPr>
  </w:style>
  <w:style w:type="character" w:customStyle="1" w:styleId="168">
    <w:name w:val="Table Heading Char"/>
    <w:link w:val="169"/>
    <w:autoRedefine/>
    <w:qFormat/>
    <w:uiPriority w:val="0"/>
    <w:rPr>
      <w:rFonts w:ascii="Arial" w:hAnsi="Arial" w:eastAsia="黑体" w:cs="Book Antiqua"/>
      <w:bCs/>
      <w:snapToGrid w:val="0"/>
      <w:szCs w:val="21"/>
    </w:rPr>
  </w:style>
  <w:style w:type="paragraph" w:customStyle="1" w:styleId="169">
    <w:name w:val="Table Heading"/>
    <w:basedOn w:val="1"/>
    <w:link w:val="168"/>
    <w:autoRedefine/>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70">
    <w:name w:val="样式 宋体"/>
    <w:autoRedefine/>
    <w:qFormat/>
    <w:uiPriority w:val="0"/>
    <w:rPr>
      <w:rFonts w:ascii="宋体" w:hAnsi="宋体" w:eastAsia="宋体"/>
      <w:sz w:val="24"/>
      <w:szCs w:val="24"/>
    </w:rPr>
  </w:style>
  <w:style w:type="character" w:customStyle="1" w:styleId="171">
    <w:name w:val="正文文本 2 Char"/>
    <w:autoRedefine/>
    <w:qFormat/>
    <w:uiPriority w:val="0"/>
    <w:rPr>
      <w:rFonts w:ascii="宋体" w:hAnsi="宋体"/>
      <w:sz w:val="24"/>
      <w:szCs w:val="24"/>
    </w:rPr>
  </w:style>
  <w:style w:type="character" w:customStyle="1" w:styleId="172">
    <w:name w:val="myp1111"/>
    <w:autoRedefine/>
    <w:qFormat/>
    <w:uiPriority w:val="0"/>
    <w:rPr>
      <w:rFonts w:hint="default" w:ascii="ˎ̥" w:hAnsi="ˎ̥"/>
      <w:color w:val="000000"/>
      <w:sz w:val="15"/>
      <w:szCs w:val="15"/>
      <w:u w:val="none"/>
    </w:rPr>
  </w:style>
  <w:style w:type="character" w:customStyle="1" w:styleId="173">
    <w:name w:val="hang1"/>
    <w:basedOn w:val="63"/>
    <w:autoRedefine/>
    <w:qFormat/>
    <w:uiPriority w:val="0"/>
  </w:style>
  <w:style w:type="character" w:customStyle="1" w:styleId="174">
    <w:name w:val="段 Char Char"/>
    <w:autoRedefine/>
    <w:qFormat/>
    <w:uiPriority w:val="0"/>
    <w:rPr>
      <w:rFonts w:ascii="宋体"/>
      <w:sz w:val="21"/>
      <w:lang w:val="en-US" w:eastAsia="zh-CN" w:bidi="ar-SA"/>
    </w:rPr>
  </w:style>
  <w:style w:type="character" w:customStyle="1" w:styleId="175">
    <w:name w:val="悬挂1 Char"/>
    <w:link w:val="176"/>
    <w:autoRedefine/>
    <w:qFormat/>
    <w:uiPriority w:val="0"/>
    <w:rPr>
      <w:szCs w:val="21"/>
    </w:rPr>
  </w:style>
  <w:style w:type="paragraph" w:customStyle="1" w:styleId="176">
    <w:name w:val="悬挂1"/>
    <w:link w:val="175"/>
    <w:autoRedefine/>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7">
    <w:name w:val="text_12_black1"/>
    <w:autoRedefine/>
    <w:qFormat/>
    <w:uiPriority w:val="0"/>
    <w:rPr>
      <w:rFonts w:hint="default" w:ascii="ˎ̥" w:hAnsi="ˎ̥"/>
      <w:color w:val="333333"/>
      <w:sz w:val="18"/>
      <w:szCs w:val="18"/>
      <w:u w:val="none"/>
    </w:rPr>
  </w:style>
  <w:style w:type="character" w:customStyle="1" w:styleId="178">
    <w:name w:val="font11"/>
    <w:autoRedefine/>
    <w:qFormat/>
    <w:uiPriority w:val="0"/>
    <w:rPr>
      <w:rFonts w:hint="eastAsia" w:ascii="宋体" w:hAnsi="宋体" w:eastAsia="宋体" w:cs="宋体"/>
      <w:color w:val="000000"/>
      <w:sz w:val="20"/>
      <w:szCs w:val="20"/>
      <w:u w:val="none"/>
    </w:rPr>
  </w:style>
  <w:style w:type="character" w:customStyle="1" w:styleId="179">
    <w:name w:val="正文缩进(ALT+Z) Char"/>
    <w:link w:val="180"/>
    <w:autoRedefine/>
    <w:qFormat/>
    <w:uiPriority w:val="0"/>
    <w:rPr>
      <w:sz w:val="24"/>
      <w:szCs w:val="24"/>
    </w:rPr>
  </w:style>
  <w:style w:type="paragraph" w:customStyle="1" w:styleId="180">
    <w:name w:val="正文缩进(ALT+Z)"/>
    <w:basedOn w:val="1"/>
    <w:link w:val="179"/>
    <w:autoRedefine/>
    <w:qFormat/>
    <w:uiPriority w:val="0"/>
    <w:pPr>
      <w:spacing w:line="360" w:lineRule="auto"/>
      <w:ind w:firstLine="200" w:firstLineChars="200"/>
    </w:pPr>
    <w:rPr>
      <w:rFonts w:asciiTheme="minorHAnsi" w:hAnsiTheme="minorHAnsi" w:eastAsiaTheme="minorEastAsia" w:cstheme="minorBidi"/>
      <w:sz w:val="24"/>
    </w:rPr>
  </w:style>
  <w:style w:type="character" w:customStyle="1" w:styleId="181">
    <w:name w:val="font21"/>
    <w:autoRedefine/>
    <w:qFormat/>
    <w:uiPriority w:val="0"/>
    <w:rPr>
      <w:rFonts w:hint="eastAsia" w:ascii="宋体" w:hAnsi="宋体" w:eastAsia="宋体" w:cs="宋体"/>
      <w:color w:val="000000"/>
      <w:sz w:val="24"/>
      <w:szCs w:val="24"/>
      <w:u w:val="none"/>
    </w:rPr>
  </w:style>
  <w:style w:type="character" w:customStyle="1" w:styleId="182">
    <w:name w:val="标题 3 Char1"/>
    <w:autoRedefine/>
    <w:qFormat/>
    <w:uiPriority w:val="0"/>
    <w:rPr>
      <w:b/>
      <w:bCs/>
      <w:kern w:val="2"/>
      <w:sz w:val="32"/>
      <w:szCs w:val="32"/>
    </w:rPr>
  </w:style>
  <w:style w:type="character" w:customStyle="1" w:styleId="183">
    <w:name w:val="页脚 Char1"/>
    <w:autoRedefine/>
    <w:semiHidden/>
    <w:qFormat/>
    <w:uiPriority w:val="0"/>
    <w:rPr>
      <w:rFonts w:ascii="Times New Roman" w:hAnsi="Times New Roman" w:eastAsia="宋体" w:cs="Times New Roman"/>
      <w:sz w:val="18"/>
      <w:szCs w:val="18"/>
    </w:rPr>
  </w:style>
  <w:style w:type="character" w:customStyle="1" w:styleId="184">
    <w:name w:val="z71"/>
    <w:autoRedefine/>
    <w:qFormat/>
    <w:uiPriority w:val="0"/>
    <w:rPr>
      <w:spacing w:val="300"/>
      <w:sz w:val="18"/>
      <w:szCs w:val="18"/>
    </w:rPr>
  </w:style>
  <w:style w:type="character" w:customStyle="1" w:styleId="185">
    <w:name w:val="四级大纲 Char"/>
    <w:link w:val="186"/>
    <w:autoRedefine/>
    <w:qFormat/>
    <w:uiPriority w:val="0"/>
    <w:rPr>
      <w:rFonts w:ascii="Calibri" w:hAnsi="Calibri" w:eastAsiaTheme="minorEastAsia" w:cstheme="minorBidi"/>
      <w:b/>
      <w:kern w:val="2"/>
      <w:sz w:val="30"/>
      <w:szCs w:val="22"/>
    </w:rPr>
  </w:style>
  <w:style w:type="paragraph" w:customStyle="1" w:styleId="186">
    <w:name w:val="四级大纲"/>
    <w:next w:val="105"/>
    <w:link w:val="185"/>
    <w:autoRedefine/>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7">
    <w:name w:val="文档正文 Char"/>
    <w:link w:val="188"/>
    <w:autoRedefine/>
    <w:qFormat/>
    <w:uiPriority w:val="0"/>
    <w:rPr>
      <w:rFonts w:ascii="Arial" w:eastAsia="长城仿宋"/>
      <w:sz w:val="28"/>
    </w:rPr>
  </w:style>
  <w:style w:type="paragraph" w:customStyle="1" w:styleId="188">
    <w:name w:val="文档正文"/>
    <w:basedOn w:val="1"/>
    <w:link w:val="187"/>
    <w:autoRedefine/>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9">
    <w:name w:val="15"/>
    <w:autoRedefine/>
    <w:qFormat/>
    <w:uiPriority w:val="0"/>
    <w:rPr>
      <w:rFonts w:hint="default" w:ascii="Times New Roman" w:hAnsi="Times New Roman" w:cs="Times New Roman"/>
      <w:color w:val="0000FF"/>
      <w:u w:val="single"/>
    </w:rPr>
  </w:style>
  <w:style w:type="character" w:customStyle="1" w:styleId="190">
    <w:name w:val="批注主题 Char"/>
    <w:autoRedefine/>
    <w:qFormat/>
    <w:uiPriority w:val="99"/>
    <w:rPr>
      <w:b/>
      <w:szCs w:val="24"/>
    </w:rPr>
  </w:style>
  <w:style w:type="character" w:customStyle="1" w:styleId="191">
    <w:name w:val="纯文本 Char1"/>
    <w:autoRedefine/>
    <w:qFormat/>
    <w:uiPriority w:val="0"/>
    <w:rPr>
      <w:rFonts w:ascii="宋体" w:hAnsi="Courier New" w:cs="Courier New"/>
      <w:kern w:val="2"/>
      <w:sz w:val="21"/>
      <w:szCs w:val="21"/>
    </w:rPr>
  </w:style>
  <w:style w:type="character" w:customStyle="1" w:styleId="192">
    <w:name w:val="批注框文本 Char1"/>
    <w:autoRedefine/>
    <w:qFormat/>
    <w:locked/>
    <w:uiPriority w:val="0"/>
    <w:rPr>
      <w:sz w:val="18"/>
      <w:szCs w:val="18"/>
    </w:rPr>
  </w:style>
  <w:style w:type="character" w:customStyle="1" w:styleId="193">
    <w:name w:val="结束语 Char"/>
    <w:autoRedefine/>
    <w:qFormat/>
    <w:uiPriority w:val="0"/>
    <w:rPr>
      <w:rFonts w:ascii="宋体" w:hAnsi="宋体"/>
      <w:b/>
      <w:sz w:val="24"/>
      <w:szCs w:val="24"/>
    </w:rPr>
  </w:style>
  <w:style w:type="character" w:customStyle="1" w:styleId="194">
    <w:name w:val="正文文本 Char2"/>
    <w:autoRedefine/>
    <w:qFormat/>
    <w:uiPriority w:val="0"/>
    <w:rPr>
      <w:rFonts w:ascii="宋体"/>
      <w:color w:val="000000"/>
      <w:sz w:val="28"/>
      <w:szCs w:val="32"/>
    </w:rPr>
  </w:style>
  <w:style w:type="character" w:customStyle="1" w:styleId="195">
    <w:name w:val="文档结构图 Char"/>
    <w:autoRedefine/>
    <w:qFormat/>
    <w:uiPriority w:val="99"/>
    <w:rPr>
      <w:szCs w:val="24"/>
      <w:shd w:val="clear" w:color="auto" w:fill="000080"/>
    </w:rPr>
  </w:style>
  <w:style w:type="character" w:customStyle="1" w:styleId="196">
    <w:name w:val="contentheaderrev1"/>
    <w:autoRedefine/>
    <w:qFormat/>
    <w:uiPriority w:val="0"/>
    <w:rPr>
      <w:rFonts w:hint="default" w:ascii="Arial" w:hAnsi="Arial" w:cs="Arial"/>
      <w:b/>
      <w:bCs/>
      <w:color w:val="FFFFFF"/>
      <w:sz w:val="18"/>
      <w:szCs w:val="18"/>
      <w:u w:val="none"/>
    </w:rPr>
  </w:style>
  <w:style w:type="character" w:customStyle="1" w:styleId="197">
    <w:name w:val="z-窗体底端 Char1"/>
    <w:autoRedefine/>
    <w:qFormat/>
    <w:uiPriority w:val="0"/>
    <w:rPr>
      <w:rFonts w:ascii="Arial" w:hAnsi="Arial" w:cs="Arial"/>
      <w:vanish/>
      <w:kern w:val="2"/>
      <w:sz w:val="16"/>
      <w:szCs w:val="16"/>
    </w:rPr>
  </w:style>
  <w:style w:type="character" w:customStyle="1" w:styleId="198">
    <w:name w:val="content021"/>
    <w:autoRedefine/>
    <w:qFormat/>
    <w:uiPriority w:val="0"/>
    <w:rPr>
      <w:color w:val="444444"/>
      <w:spacing w:val="330"/>
      <w:sz w:val="21"/>
      <w:szCs w:val="21"/>
      <w:u w:val="none"/>
    </w:rPr>
  </w:style>
  <w:style w:type="character" w:customStyle="1" w:styleId="199">
    <w:name w:val="abcde1"/>
    <w:autoRedefine/>
    <w:qFormat/>
    <w:uiPriority w:val="0"/>
    <w:rPr>
      <w:spacing w:val="400"/>
      <w:sz w:val="26"/>
      <w:szCs w:val="26"/>
    </w:rPr>
  </w:style>
  <w:style w:type="character" w:customStyle="1" w:styleId="200">
    <w:name w:val="HTML 预设格式 Char"/>
    <w:autoRedefine/>
    <w:qFormat/>
    <w:uiPriority w:val="99"/>
    <w:rPr>
      <w:rFonts w:ascii="宋体" w:hAnsi="宋体" w:cs="宋体"/>
      <w:sz w:val="24"/>
      <w:szCs w:val="24"/>
    </w:rPr>
  </w:style>
  <w:style w:type="character" w:customStyle="1" w:styleId="201">
    <w:name w:val="结束语 Char1"/>
    <w:autoRedefine/>
    <w:qFormat/>
    <w:uiPriority w:val="0"/>
    <w:rPr>
      <w:kern w:val="2"/>
      <w:sz w:val="21"/>
      <w:szCs w:val="24"/>
    </w:rPr>
  </w:style>
  <w:style w:type="character" w:customStyle="1" w:styleId="202">
    <w:name w:val="常规 Char"/>
    <w:link w:val="203"/>
    <w:autoRedefine/>
    <w:qFormat/>
    <w:uiPriority w:val="0"/>
    <w:rPr>
      <w:rFonts w:ascii="Tahoma" w:hAnsi="Tahoma"/>
      <w:color w:val="000000"/>
      <w:sz w:val="28"/>
      <w:szCs w:val="21"/>
    </w:rPr>
  </w:style>
  <w:style w:type="paragraph" w:customStyle="1" w:styleId="203">
    <w:name w:val="常规"/>
    <w:basedOn w:val="1"/>
    <w:link w:val="202"/>
    <w:autoRedefine/>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204">
    <w:name w:val="正文首行缩进 2 Char"/>
    <w:autoRedefine/>
    <w:qFormat/>
    <w:uiPriority w:val="0"/>
    <w:rPr>
      <w:rFonts w:ascii="仿宋_GB2312" w:eastAsia="仿宋_GB2312"/>
      <w:color w:val="000000"/>
      <w:sz w:val="24"/>
      <w:szCs w:val="24"/>
    </w:rPr>
  </w:style>
  <w:style w:type="character" w:customStyle="1" w:styleId="205">
    <w:name w:val="unnamed11"/>
    <w:autoRedefine/>
    <w:qFormat/>
    <w:uiPriority w:val="0"/>
    <w:rPr>
      <w:sz w:val="20"/>
      <w:szCs w:val="20"/>
    </w:rPr>
  </w:style>
  <w:style w:type="character" w:customStyle="1" w:styleId="206">
    <w:name w:val="题注 Char"/>
    <w:link w:val="17"/>
    <w:autoRedefine/>
    <w:qFormat/>
    <w:locked/>
    <w:uiPriority w:val="0"/>
    <w:rPr>
      <w:rFonts w:ascii="Arial" w:hAnsi="Arial" w:eastAsia="黑体"/>
    </w:rPr>
  </w:style>
  <w:style w:type="character" w:customStyle="1" w:styleId="207">
    <w:name w:val="text_12_subject1"/>
    <w:autoRedefine/>
    <w:qFormat/>
    <w:uiPriority w:val="0"/>
    <w:rPr>
      <w:rFonts w:hint="default" w:ascii="ˎ̥" w:hAnsi="ˎ̥"/>
      <w:b/>
      <w:bCs/>
      <w:color w:val="006699"/>
      <w:sz w:val="18"/>
      <w:szCs w:val="18"/>
      <w:u w:val="none"/>
    </w:rPr>
  </w:style>
  <w:style w:type="character" w:customStyle="1" w:styleId="208">
    <w:name w:val="正文文本 3 Char1"/>
    <w:autoRedefine/>
    <w:qFormat/>
    <w:uiPriority w:val="0"/>
    <w:rPr>
      <w:kern w:val="2"/>
      <w:sz w:val="16"/>
      <w:szCs w:val="16"/>
    </w:rPr>
  </w:style>
  <w:style w:type="character" w:customStyle="1" w:styleId="209">
    <w:name w:val="正文文本缩进 Char2"/>
    <w:autoRedefine/>
    <w:qFormat/>
    <w:uiPriority w:val="0"/>
    <w:rPr>
      <w:rFonts w:ascii="宋体"/>
      <w:color w:val="000000"/>
      <w:sz w:val="32"/>
      <w:szCs w:val="32"/>
    </w:rPr>
  </w:style>
  <w:style w:type="character" w:customStyle="1" w:styleId="210">
    <w:name w:val="z21"/>
    <w:autoRedefine/>
    <w:qFormat/>
    <w:uiPriority w:val="0"/>
    <w:rPr>
      <w:color w:val="000000"/>
      <w:spacing w:val="255"/>
      <w:sz w:val="18"/>
      <w:szCs w:val="18"/>
    </w:rPr>
  </w:style>
  <w:style w:type="character" w:customStyle="1" w:styleId="211">
    <w:name w:val="段 Char"/>
    <w:link w:val="212"/>
    <w:autoRedefine/>
    <w:qFormat/>
    <w:locked/>
    <w:uiPriority w:val="0"/>
    <w:rPr>
      <w:rFonts w:ascii="宋体" w:hAnsi="宋体"/>
    </w:rPr>
  </w:style>
  <w:style w:type="paragraph" w:customStyle="1" w:styleId="212">
    <w:name w:val="段"/>
    <w:link w:val="211"/>
    <w:autoRedefine/>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13">
    <w:name w:val="line14pj"/>
    <w:basedOn w:val="63"/>
    <w:autoRedefine/>
    <w:qFormat/>
    <w:uiPriority w:val="0"/>
  </w:style>
  <w:style w:type="character" w:customStyle="1" w:styleId="214">
    <w:name w:val="ca-121"/>
    <w:autoRedefine/>
    <w:qFormat/>
    <w:uiPriority w:val="0"/>
    <w:rPr>
      <w:rFonts w:hint="eastAsia" w:ascii="宋体" w:hAnsi="宋体" w:eastAsia="宋体"/>
      <w:sz w:val="21"/>
      <w:szCs w:val="21"/>
    </w:rPr>
  </w:style>
  <w:style w:type="character" w:customStyle="1" w:styleId="215">
    <w:name w:val="页脚 Char2"/>
    <w:basedOn w:val="63"/>
    <w:autoRedefine/>
    <w:semiHidden/>
    <w:qFormat/>
    <w:uiPriority w:val="99"/>
    <w:rPr>
      <w:rFonts w:ascii="Times New Roman" w:hAnsi="Times New Roman" w:eastAsia="宋体" w:cs="Times New Roman"/>
      <w:sz w:val="18"/>
      <w:szCs w:val="18"/>
    </w:rPr>
  </w:style>
  <w:style w:type="paragraph" w:customStyle="1" w:styleId="216">
    <w:name w:val="样式 标题 + 段前: 0.5 行 段后: 0.5 行"/>
    <w:basedOn w:val="56"/>
    <w:autoRedefine/>
    <w:qFormat/>
    <w:uiPriority w:val="0"/>
  </w:style>
  <w:style w:type="paragraph" w:customStyle="1" w:styleId="217">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9">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20">
    <w:name w:val="正文文本缩进 2 Char1"/>
    <w:basedOn w:val="63"/>
    <w:link w:val="37"/>
    <w:autoRedefine/>
    <w:qFormat/>
    <w:uiPriority w:val="0"/>
    <w:rPr>
      <w:rFonts w:ascii="Times New Roman" w:hAnsi="Times New Roman" w:eastAsia="宋体" w:cs="Times New Roman"/>
      <w:szCs w:val="24"/>
    </w:rPr>
  </w:style>
  <w:style w:type="paragraph" w:customStyle="1" w:styleId="221">
    <w:name w:val="表2"/>
    <w:basedOn w:val="222"/>
    <w:autoRedefine/>
    <w:qFormat/>
    <w:uiPriority w:val="0"/>
    <w:pPr>
      <w:numPr>
        <w:ilvl w:val="0"/>
        <w:numId w:val="4"/>
      </w:numPr>
    </w:pPr>
  </w:style>
  <w:style w:type="paragraph" w:customStyle="1" w:styleId="222">
    <w:name w:val="表1"/>
    <w:basedOn w:val="223"/>
    <w:autoRedefine/>
    <w:qFormat/>
    <w:uiPriority w:val="0"/>
  </w:style>
  <w:style w:type="paragraph" w:customStyle="1" w:styleId="223">
    <w:name w:val="表格样式"/>
    <w:basedOn w:val="1"/>
    <w:autoRedefine/>
    <w:qFormat/>
    <w:uiPriority w:val="0"/>
    <w:pPr>
      <w:spacing w:before="156" w:after="156"/>
      <w:jc w:val="center"/>
    </w:pPr>
    <w:rPr>
      <w:rFonts w:ascii="宋体" w:hAnsi="宋体" w:cs="宋体"/>
      <w:b/>
      <w:bCs/>
      <w:kern w:val="0"/>
      <w:szCs w:val="20"/>
    </w:rPr>
  </w:style>
  <w:style w:type="paragraph" w:customStyle="1" w:styleId="224">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5">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2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7">
    <w:name w:val="正文文本缩进 Char3"/>
    <w:basedOn w:val="63"/>
    <w:link w:val="29"/>
    <w:autoRedefine/>
    <w:qFormat/>
    <w:uiPriority w:val="0"/>
    <w:rPr>
      <w:rFonts w:ascii="Times New Roman" w:hAnsi="Times New Roman" w:eastAsia="宋体" w:cs="Times New Roman"/>
      <w:szCs w:val="24"/>
    </w:rPr>
  </w:style>
  <w:style w:type="paragraph" w:customStyle="1" w:styleId="228">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229">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30">
    <w:name w:val="正文文本 3 Char2"/>
    <w:basedOn w:val="63"/>
    <w:link w:val="24"/>
    <w:autoRedefine/>
    <w:qFormat/>
    <w:uiPriority w:val="0"/>
    <w:rPr>
      <w:rFonts w:ascii="Times New Roman" w:hAnsi="Times New Roman" w:eastAsia="宋体" w:cs="Times New Roman"/>
      <w:sz w:val="16"/>
      <w:szCs w:val="16"/>
    </w:rPr>
  </w:style>
  <w:style w:type="paragraph" w:customStyle="1" w:styleId="231">
    <w:name w:val="样式 标题 4 + 段前: 0.5 行 段后: 0.5 行"/>
    <w:basedOn w:val="5"/>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32">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33">
    <w:name w:val="标题 Char2"/>
    <w:basedOn w:val="63"/>
    <w:link w:val="56"/>
    <w:autoRedefine/>
    <w:qFormat/>
    <w:uiPriority w:val="0"/>
    <w:rPr>
      <w:rFonts w:eastAsia="宋体" w:asciiTheme="majorHAnsi" w:hAnsiTheme="majorHAnsi" w:cstheme="majorBidi"/>
      <w:b/>
      <w:bCs/>
      <w:sz w:val="32"/>
      <w:szCs w:val="32"/>
    </w:rPr>
  </w:style>
  <w:style w:type="paragraph" w:customStyle="1" w:styleId="234">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5">
    <w:name w:val="表格2"/>
    <w:basedOn w:val="1"/>
    <w:autoRedefine/>
    <w:qFormat/>
    <w:uiPriority w:val="0"/>
    <w:pPr>
      <w:snapToGrid w:val="0"/>
      <w:jc w:val="center"/>
    </w:pPr>
    <w:rPr>
      <w:rFonts w:ascii="Arial" w:hAnsi="Arial" w:cs="Arial"/>
      <w:snapToGrid w:val="0"/>
      <w:kern w:val="0"/>
      <w:sz w:val="24"/>
    </w:rPr>
  </w:style>
  <w:style w:type="paragraph" w:customStyle="1" w:styleId="236">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7">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8">
    <w:name w:val="正文首行缩进 2 Char2"/>
    <w:basedOn w:val="227"/>
    <w:link w:val="59"/>
    <w:autoRedefine/>
    <w:qFormat/>
    <w:uiPriority w:val="0"/>
    <w:rPr>
      <w:rFonts w:ascii="Times New Roman" w:hAnsi="Times New Roman" w:eastAsia="宋体" w:cs="Times New Roman"/>
      <w:szCs w:val="24"/>
    </w:rPr>
  </w:style>
  <w:style w:type="paragraph" w:customStyle="1" w:styleId="239">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40">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41">
    <w:name w:val="说明正文"/>
    <w:basedOn w:val="1"/>
    <w:autoRedefine/>
    <w:qFormat/>
    <w:uiPriority w:val="0"/>
    <w:pPr>
      <w:spacing w:line="360" w:lineRule="auto"/>
      <w:ind w:firstLine="480" w:firstLineChars="200"/>
    </w:pPr>
    <w:rPr>
      <w:rFonts w:ascii="宋体" w:hAnsi="宋体"/>
      <w:sz w:val="24"/>
    </w:rPr>
  </w:style>
  <w:style w:type="character" w:customStyle="1" w:styleId="242">
    <w:name w:val="纯文本 Char2"/>
    <w:basedOn w:val="63"/>
    <w:link w:val="34"/>
    <w:autoRedefine/>
    <w:qFormat/>
    <w:uiPriority w:val="0"/>
    <w:rPr>
      <w:rFonts w:ascii="宋体" w:hAnsi="Courier New" w:eastAsia="宋体" w:cs="Courier New"/>
      <w:szCs w:val="21"/>
    </w:rPr>
  </w:style>
  <w:style w:type="paragraph" w:customStyle="1" w:styleId="243">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4">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5">
    <w:name w:val="lgh排序1"/>
    <w:basedOn w:val="34"/>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6">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247">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8">
    <w:name w:val="批注框文本 Char2"/>
    <w:basedOn w:val="63"/>
    <w:link w:val="39"/>
    <w:autoRedefine/>
    <w:qFormat/>
    <w:uiPriority w:val="99"/>
    <w:rPr>
      <w:rFonts w:ascii="Times New Roman" w:hAnsi="Times New Roman" w:eastAsia="宋体" w:cs="Times New Roman"/>
      <w:sz w:val="18"/>
      <w:szCs w:val="18"/>
    </w:rPr>
  </w:style>
  <w:style w:type="paragraph" w:customStyle="1" w:styleId="249">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50">
    <w:name w:val="批注文字 Char1"/>
    <w:basedOn w:val="63"/>
    <w:link w:val="22"/>
    <w:autoRedefine/>
    <w:qFormat/>
    <w:uiPriority w:val="99"/>
    <w:rPr>
      <w:rFonts w:ascii="Times New Roman" w:hAnsi="Times New Roman" w:eastAsia="宋体" w:cs="Times New Roman"/>
      <w:szCs w:val="24"/>
    </w:rPr>
  </w:style>
  <w:style w:type="character" w:customStyle="1" w:styleId="251">
    <w:name w:val="批注主题 Char1"/>
    <w:basedOn w:val="250"/>
    <w:link w:val="57"/>
    <w:autoRedefine/>
    <w:qFormat/>
    <w:uiPriority w:val="99"/>
    <w:rPr>
      <w:rFonts w:ascii="Times New Roman" w:hAnsi="Times New Roman" w:eastAsia="宋体" w:cs="Times New Roman"/>
      <w:b/>
      <w:bCs/>
      <w:szCs w:val="24"/>
    </w:rPr>
  </w:style>
  <w:style w:type="character" w:customStyle="1" w:styleId="252">
    <w:name w:val="正文文本缩进 3 Char1"/>
    <w:basedOn w:val="63"/>
    <w:link w:val="48"/>
    <w:autoRedefine/>
    <w:qFormat/>
    <w:uiPriority w:val="0"/>
    <w:rPr>
      <w:rFonts w:ascii="Times New Roman" w:hAnsi="Times New Roman" w:eastAsia="宋体" w:cs="Times New Roman"/>
      <w:sz w:val="16"/>
      <w:szCs w:val="16"/>
    </w:rPr>
  </w:style>
  <w:style w:type="paragraph" w:customStyle="1" w:styleId="253">
    <w:name w:val="CM2"/>
    <w:basedOn w:val="28"/>
    <w:next w:val="28"/>
    <w:autoRedefine/>
    <w:qFormat/>
    <w:uiPriority w:val="0"/>
    <w:pPr>
      <w:spacing w:line="623" w:lineRule="atLeast"/>
    </w:pPr>
    <w:rPr>
      <w:rFonts w:ascii=".a..DD.." w:eastAsia=".a..DD.."/>
      <w:color w:val="auto"/>
      <w:szCs w:val="24"/>
    </w:rPr>
  </w:style>
  <w:style w:type="paragraph" w:customStyle="1" w:styleId="254">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255">
    <w:name w:val="复选框1"/>
    <w:basedOn w:val="1"/>
    <w:autoRedefine/>
    <w:qFormat/>
    <w:uiPriority w:val="0"/>
    <w:pPr>
      <w:widowControl/>
      <w:spacing w:before="360" w:after="360"/>
      <w:jc w:val="left"/>
    </w:pPr>
    <w:rPr>
      <w:kern w:val="0"/>
      <w:sz w:val="20"/>
      <w:szCs w:val="20"/>
    </w:rPr>
  </w:style>
  <w:style w:type="character" w:customStyle="1" w:styleId="256">
    <w:name w:val="正文文本 Char3"/>
    <w:basedOn w:val="63"/>
    <w:link w:val="27"/>
    <w:autoRedefine/>
    <w:qFormat/>
    <w:uiPriority w:val="0"/>
    <w:rPr>
      <w:rFonts w:ascii="Times New Roman" w:hAnsi="Times New Roman" w:eastAsia="宋体" w:cs="Times New Roman"/>
      <w:szCs w:val="24"/>
    </w:rPr>
  </w:style>
  <w:style w:type="paragraph" w:customStyle="1" w:styleId="257">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258">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9">
    <w:name w:val="称呼 Char1"/>
    <w:basedOn w:val="63"/>
    <w:link w:val="23"/>
    <w:autoRedefine/>
    <w:qFormat/>
    <w:uiPriority w:val="0"/>
    <w:rPr>
      <w:rFonts w:ascii="Times New Roman" w:hAnsi="Times New Roman" w:eastAsia="宋体" w:cs="Times New Roman"/>
      <w:szCs w:val="24"/>
    </w:rPr>
  </w:style>
  <w:style w:type="paragraph" w:customStyle="1" w:styleId="260">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1">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character" w:customStyle="1" w:styleId="262">
    <w:name w:val="文档结构图 Char1"/>
    <w:basedOn w:val="63"/>
    <w:link w:val="20"/>
    <w:autoRedefine/>
    <w:qFormat/>
    <w:uiPriority w:val="99"/>
    <w:rPr>
      <w:rFonts w:ascii="宋体" w:hAnsi="Times New Roman" w:eastAsia="宋体" w:cs="Times New Roman"/>
      <w:sz w:val="18"/>
      <w:szCs w:val="18"/>
    </w:rPr>
  </w:style>
  <w:style w:type="paragraph" w:customStyle="1" w:styleId="263">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5">
    <w:name w:val="页眉 Char2"/>
    <w:basedOn w:val="63"/>
    <w:autoRedefine/>
    <w:semiHidden/>
    <w:qFormat/>
    <w:uiPriority w:val="99"/>
    <w:rPr>
      <w:rFonts w:ascii="Times New Roman" w:hAnsi="Times New Roman" w:eastAsia="宋体" w:cs="Times New Roman"/>
      <w:sz w:val="18"/>
      <w:szCs w:val="18"/>
    </w:rPr>
  </w:style>
  <w:style w:type="character" w:customStyle="1" w:styleId="266">
    <w:name w:val="日期 Char1"/>
    <w:basedOn w:val="63"/>
    <w:link w:val="35"/>
    <w:autoRedefine/>
    <w:qFormat/>
    <w:uiPriority w:val="0"/>
    <w:rPr>
      <w:rFonts w:ascii="Times New Roman" w:hAnsi="Times New Roman" w:eastAsia="宋体" w:cs="Times New Roman"/>
      <w:szCs w:val="24"/>
    </w:rPr>
  </w:style>
  <w:style w:type="paragraph" w:customStyle="1" w:styleId="267">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8">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9">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0">
    <w:name w:val="样式5"/>
    <w:basedOn w:val="147"/>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71">
    <w:name w:val="五级条标题"/>
    <w:basedOn w:val="272"/>
    <w:next w:val="1"/>
    <w:autoRedefine/>
    <w:qFormat/>
    <w:uiPriority w:val="0"/>
    <w:pPr>
      <w:outlineLvl w:val="6"/>
    </w:pPr>
  </w:style>
  <w:style w:type="paragraph" w:customStyle="1" w:styleId="272">
    <w:name w:val="四级条标题"/>
    <w:basedOn w:val="273"/>
    <w:next w:val="1"/>
    <w:autoRedefine/>
    <w:qFormat/>
    <w:uiPriority w:val="0"/>
    <w:pPr>
      <w:outlineLvl w:val="5"/>
    </w:pPr>
  </w:style>
  <w:style w:type="paragraph" w:customStyle="1" w:styleId="273">
    <w:name w:val="三级条标题"/>
    <w:basedOn w:val="274"/>
    <w:next w:val="1"/>
    <w:autoRedefine/>
    <w:qFormat/>
    <w:uiPriority w:val="0"/>
    <w:pPr>
      <w:outlineLvl w:val="4"/>
    </w:pPr>
  </w:style>
  <w:style w:type="paragraph" w:customStyle="1" w:styleId="274">
    <w:name w:val="二级条标题"/>
    <w:basedOn w:val="229"/>
    <w:next w:val="1"/>
    <w:autoRedefine/>
    <w:qFormat/>
    <w:uiPriority w:val="0"/>
    <w:pPr>
      <w:outlineLvl w:val="3"/>
    </w:pPr>
  </w:style>
  <w:style w:type="paragraph" w:customStyle="1" w:styleId="275">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6">
    <w:name w:val="CM3"/>
    <w:basedOn w:val="28"/>
    <w:next w:val="28"/>
    <w:autoRedefine/>
    <w:qFormat/>
    <w:uiPriority w:val="0"/>
    <w:pPr>
      <w:spacing w:line="626" w:lineRule="atLeast"/>
    </w:pPr>
    <w:rPr>
      <w:rFonts w:ascii=".a..DD.." w:eastAsia=".a..DD.."/>
      <w:color w:val="auto"/>
      <w:szCs w:val="24"/>
    </w:rPr>
  </w:style>
  <w:style w:type="paragraph" w:customStyle="1" w:styleId="277">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8">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9">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0">
    <w:name w:val="样式 标题 3标题 3 Char Char Char Char(A-3)sect1.2.3h3H3 + 加粗 段前:..."/>
    <w:basedOn w:val="4"/>
    <w:autoRedefine/>
    <w:qFormat/>
    <w:uiPriority w:val="0"/>
    <w:pPr>
      <w:keepNext w:val="0"/>
      <w:tabs>
        <w:tab w:val="left" w:pos="1080"/>
      </w:tabs>
      <w:spacing w:before="120" w:after="0" w:line="415" w:lineRule="auto"/>
    </w:pPr>
    <w:rPr>
      <w:rFonts w:eastAsia="黑体" w:cs="宋体"/>
      <w:b w:val="0"/>
      <w:bCs/>
      <w:sz w:val="24"/>
    </w:rPr>
  </w:style>
  <w:style w:type="character" w:customStyle="1" w:styleId="281">
    <w:name w:val="z-窗体底端 Char2"/>
    <w:basedOn w:val="63"/>
    <w:link w:val="93"/>
    <w:autoRedefine/>
    <w:qFormat/>
    <w:uiPriority w:val="99"/>
    <w:rPr>
      <w:rFonts w:ascii="Arial" w:hAnsi="Arial" w:eastAsia="宋体" w:cs="Arial"/>
      <w:vanish/>
      <w:sz w:val="16"/>
      <w:szCs w:val="16"/>
    </w:rPr>
  </w:style>
  <w:style w:type="character" w:customStyle="1" w:styleId="282">
    <w:name w:val="HTML 预设格式 Char2"/>
    <w:basedOn w:val="63"/>
    <w:link w:val="53"/>
    <w:autoRedefine/>
    <w:qFormat/>
    <w:uiPriority w:val="99"/>
    <w:rPr>
      <w:rFonts w:ascii="Courier New" w:hAnsi="Courier New" w:eastAsia="宋体" w:cs="Courier New"/>
      <w:sz w:val="20"/>
      <w:szCs w:val="20"/>
    </w:rPr>
  </w:style>
  <w:style w:type="paragraph" w:customStyle="1" w:styleId="283">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4">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5">
    <w:name w:val="正文首行缩进 Char1"/>
    <w:basedOn w:val="256"/>
    <w:link w:val="58"/>
    <w:autoRedefine/>
    <w:qFormat/>
    <w:uiPriority w:val="0"/>
    <w:rPr>
      <w:rFonts w:ascii="Times New Roman" w:hAnsi="Times New Roman" w:eastAsia="宋体" w:cs="Times New Roman"/>
      <w:szCs w:val="24"/>
    </w:rPr>
  </w:style>
  <w:style w:type="character" w:customStyle="1" w:styleId="286">
    <w:name w:val="正文文本 2 Char1"/>
    <w:basedOn w:val="63"/>
    <w:link w:val="52"/>
    <w:autoRedefine/>
    <w:qFormat/>
    <w:uiPriority w:val="0"/>
    <w:rPr>
      <w:rFonts w:ascii="Times New Roman" w:hAnsi="Times New Roman" w:eastAsia="宋体" w:cs="Times New Roman"/>
      <w:szCs w:val="24"/>
    </w:rPr>
  </w:style>
  <w:style w:type="paragraph" w:customStyle="1" w:styleId="287">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8">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289">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1">
    <w:name w:val="结束语 Char2"/>
    <w:basedOn w:val="63"/>
    <w:link w:val="25"/>
    <w:autoRedefine/>
    <w:qFormat/>
    <w:uiPriority w:val="0"/>
    <w:rPr>
      <w:rFonts w:ascii="Times New Roman" w:hAnsi="Times New Roman" w:eastAsia="宋体" w:cs="Times New Roman"/>
      <w:szCs w:val="24"/>
    </w:rPr>
  </w:style>
  <w:style w:type="character" w:customStyle="1" w:styleId="292">
    <w:name w:val="副标题 Char2"/>
    <w:basedOn w:val="63"/>
    <w:link w:val="44"/>
    <w:autoRedefine/>
    <w:qFormat/>
    <w:uiPriority w:val="0"/>
    <w:rPr>
      <w:rFonts w:eastAsia="宋体" w:asciiTheme="majorHAnsi" w:hAnsiTheme="majorHAnsi" w:cstheme="majorBidi"/>
      <w:b/>
      <w:bCs/>
      <w:kern w:val="28"/>
      <w:sz w:val="32"/>
      <w:szCs w:val="32"/>
    </w:rPr>
  </w:style>
  <w:style w:type="paragraph" w:customStyle="1" w:styleId="293">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4">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5">
    <w:name w:val="尾注文本 Char2"/>
    <w:basedOn w:val="63"/>
    <w:link w:val="38"/>
    <w:autoRedefine/>
    <w:qFormat/>
    <w:uiPriority w:val="0"/>
    <w:rPr>
      <w:rFonts w:ascii="Times New Roman" w:hAnsi="Times New Roman" w:eastAsia="宋体" w:cs="Times New Roman"/>
      <w:szCs w:val="24"/>
    </w:rPr>
  </w:style>
  <w:style w:type="paragraph" w:customStyle="1" w:styleId="296">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7">
    <w:name w:val="样式3"/>
    <w:basedOn w:val="34"/>
    <w:autoRedefine/>
    <w:qFormat/>
    <w:uiPriority w:val="0"/>
    <w:pPr>
      <w:spacing w:line="300" w:lineRule="auto"/>
    </w:pPr>
    <w:rPr>
      <w:rFonts w:ascii="Times New Roman" w:hAnsi="Times New Roman" w:eastAsia="宋体" w:cs="Times New Roman"/>
    </w:rPr>
  </w:style>
  <w:style w:type="paragraph" w:customStyle="1" w:styleId="298">
    <w:name w:val="Char11"/>
    <w:basedOn w:val="1"/>
    <w:autoRedefine/>
    <w:qFormat/>
    <w:uiPriority w:val="0"/>
  </w:style>
  <w:style w:type="paragraph" w:customStyle="1" w:styleId="299">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00">
    <w:name w:val="不缩进"/>
    <w:basedOn w:val="1"/>
    <w:autoRedefine/>
    <w:qFormat/>
    <w:uiPriority w:val="0"/>
    <w:pPr>
      <w:spacing w:line="360" w:lineRule="auto"/>
      <w:jc w:val="center"/>
    </w:pPr>
    <w:rPr>
      <w:b/>
      <w:bCs/>
      <w:sz w:val="28"/>
      <w:szCs w:val="21"/>
    </w:rPr>
  </w:style>
  <w:style w:type="paragraph" w:customStyle="1" w:styleId="301">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2">
    <w:name w:val="标题2"/>
    <w:basedOn w:val="1"/>
    <w:autoRedefine/>
    <w:qFormat/>
    <w:uiPriority w:val="0"/>
    <w:pPr>
      <w:spacing w:beforeLines="50" w:afterLines="50" w:line="300" w:lineRule="exact"/>
    </w:pPr>
    <w:rPr>
      <w:b/>
      <w:bCs/>
    </w:rPr>
  </w:style>
  <w:style w:type="paragraph" w:customStyle="1" w:styleId="303">
    <w:name w:val="表格1"/>
    <w:basedOn w:val="1"/>
    <w:autoRedefine/>
    <w:qFormat/>
    <w:uiPriority w:val="0"/>
    <w:pPr>
      <w:tabs>
        <w:tab w:val="left" w:pos="203"/>
      </w:tabs>
      <w:spacing w:before="40" w:after="40"/>
      <w:jc w:val="center"/>
    </w:pPr>
    <w:rPr>
      <w:b/>
      <w:sz w:val="28"/>
      <w:szCs w:val="20"/>
    </w:rPr>
  </w:style>
  <w:style w:type="paragraph" w:customStyle="1" w:styleId="304">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5">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6">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7">
    <w:name w:val="样式 标题 1 +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8">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9">
    <w:name w:val="项目编号一级"/>
    <w:basedOn w:val="1"/>
    <w:autoRedefine/>
    <w:qFormat/>
    <w:uiPriority w:val="0"/>
    <w:pPr>
      <w:tabs>
        <w:tab w:val="left" w:pos="900"/>
      </w:tabs>
      <w:spacing w:line="360" w:lineRule="auto"/>
      <w:ind w:left="900" w:hanging="420"/>
    </w:pPr>
  </w:style>
  <w:style w:type="paragraph" w:customStyle="1" w:styleId="310">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1">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样式 标题 1l1I1heading 1h11st levell1+toc 1Chapter title1He..."/>
    <w:basedOn w:val="2"/>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13">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5">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6">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8">
    <w:name w:val="DLP正文"/>
    <w:basedOn w:val="1"/>
    <w:autoRedefine/>
    <w:qFormat/>
    <w:uiPriority w:val="0"/>
    <w:pPr>
      <w:snapToGrid w:val="0"/>
      <w:spacing w:line="360" w:lineRule="auto"/>
      <w:ind w:firstLine="473"/>
    </w:pPr>
    <w:rPr>
      <w:rFonts w:hAnsi="宋体"/>
      <w:sz w:val="24"/>
      <w:szCs w:val="22"/>
    </w:rPr>
  </w:style>
  <w:style w:type="paragraph" w:customStyle="1" w:styleId="319">
    <w:name w:val="CM19"/>
    <w:basedOn w:val="28"/>
    <w:next w:val="28"/>
    <w:autoRedefine/>
    <w:qFormat/>
    <w:uiPriority w:val="0"/>
    <w:pPr>
      <w:spacing w:line="440" w:lineRule="atLeast"/>
    </w:pPr>
    <w:rPr>
      <w:rFonts w:ascii="方正小标宋简体" w:eastAsia="方正小标宋简体"/>
      <w:color w:val="auto"/>
      <w:szCs w:val="24"/>
    </w:rPr>
  </w:style>
  <w:style w:type="paragraph" w:customStyle="1" w:styleId="320">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21">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2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23">
    <w:name w:val="默认段落字体 Para Char Char Char Char Char Char Char Char Char Char Char Char Char"/>
    <w:basedOn w:val="20"/>
    <w:autoRedefine/>
    <w:qFormat/>
    <w:uiPriority w:val="0"/>
    <w:pPr>
      <w:adjustRightInd w:val="0"/>
      <w:spacing w:line="436" w:lineRule="exact"/>
      <w:ind w:left="357"/>
      <w:jc w:val="left"/>
      <w:outlineLvl w:val="3"/>
    </w:pPr>
    <w:rPr>
      <w:rFonts w:ascii="宋体" w:hAnsi="宋体"/>
      <w:kern w:val="0"/>
      <w:szCs w:val="21"/>
    </w:rPr>
  </w:style>
  <w:style w:type="paragraph" w:customStyle="1" w:styleId="32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5">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6">
    <w:name w:val="样式 标题 2 + 段前: 0.5 行 段后: 0.5 行2"/>
    <w:basedOn w:val="3"/>
    <w:autoRedefine/>
    <w:qFormat/>
    <w:uiPriority w:val="0"/>
    <w:pPr>
      <w:tabs>
        <w:tab w:val="left" w:pos="1320"/>
      </w:tabs>
      <w:spacing w:beforeLines="50" w:afterLines="50" w:line="360" w:lineRule="auto"/>
      <w:jc w:val="left"/>
    </w:pPr>
    <w:rPr>
      <w:rFonts w:cs="宋体"/>
      <w:kern w:val="0"/>
      <w:sz w:val="36"/>
      <w:szCs w:val="20"/>
    </w:rPr>
  </w:style>
  <w:style w:type="paragraph" w:customStyle="1" w:styleId="327">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8">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9">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0">
    <w:name w:val="Block"/>
    <w:basedOn w:val="1"/>
    <w:next w:val="203"/>
    <w:autoRedefine/>
    <w:qFormat/>
    <w:uiPriority w:val="0"/>
    <w:pPr>
      <w:tabs>
        <w:tab w:val="left" w:pos="0"/>
      </w:tabs>
    </w:pPr>
    <w:rPr>
      <w:rFonts w:ascii="Arial" w:hAnsi="Arial" w:eastAsia="楷体_GB2312"/>
      <w:color w:val="000080"/>
      <w:sz w:val="28"/>
      <w:szCs w:val="28"/>
    </w:rPr>
  </w:style>
  <w:style w:type="paragraph" w:customStyle="1" w:styleId="331">
    <w:name w:val="_Style 20"/>
    <w:basedOn w:val="1"/>
    <w:autoRedefine/>
    <w:qFormat/>
    <w:uiPriority w:val="0"/>
    <w:rPr>
      <w:rFonts w:ascii="Tahoma" w:hAnsi="Tahoma"/>
      <w:sz w:val="24"/>
      <w:szCs w:val="20"/>
    </w:rPr>
  </w:style>
  <w:style w:type="paragraph" w:customStyle="1" w:styleId="332">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3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4">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5">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7">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8">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339">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0">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1">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42">
    <w:name w:val="GP正文(首行缩进)"/>
    <w:basedOn w:val="1"/>
    <w:autoRedefine/>
    <w:qFormat/>
    <w:uiPriority w:val="0"/>
    <w:pPr>
      <w:spacing w:line="360" w:lineRule="auto"/>
      <w:ind w:firstLine="200" w:firstLineChars="200"/>
      <w:jc w:val="left"/>
    </w:pPr>
    <w:rPr>
      <w:sz w:val="24"/>
      <w:szCs w:val="21"/>
    </w:rPr>
  </w:style>
  <w:style w:type="paragraph" w:customStyle="1" w:styleId="343">
    <w:name w:val="目录"/>
    <w:basedOn w:val="1"/>
    <w:autoRedefine/>
    <w:qFormat/>
    <w:uiPriority w:val="0"/>
    <w:pPr>
      <w:widowControl/>
      <w:jc w:val="center"/>
    </w:pPr>
    <w:rPr>
      <w:rFonts w:ascii="宋体"/>
      <w:b/>
      <w:kern w:val="0"/>
      <w:sz w:val="36"/>
      <w:szCs w:val="20"/>
    </w:rPr>
  </w:style>
  <w:style w:type="paragraph" w:customStyle="1" w:styleId="34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5">
    <w:name w:val="样式 小四 行距: 1.5 倍行距"/>
    <w:basedOn w:val="1"/>
    <w:autoRedefine/>
    <w:qFormat/>
    <w:uiPriority w:val="0"/>
    <w:pPr>
      <w:tabs>
        <w:tab w:val="left" w:pos="740"/>
      </w:tabs>
      <w:ind w:left="1081" w:hanging="1081"/>
    </w:pPr>
  </w:style>
  <w:style w:type="paragraph" w:customStyle="1" w:styleId="346">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7">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8">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9">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350">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51">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52">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53">
    <w:name w:val="样式 标题 3h:33H3Kop 3Vl3Level 3 Headh3sect1.2.3Alt+31.1.1..."/>
    <w:basedOn w:val="4"/>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354">
    <w:name w:val="Char Char Char Char Char Char Char1"/>
    <w:basedOn w:val="1"/>
    <w:autoRedefine/>
    <w:qFormat/>
    <w:uiPriority w:val="0"/>
  </w:style>
  <w:style w:type="paragraph" w:customStyle="1" w:styleId="355">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6">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7">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0">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1">
    <w:name w:val="样式 标题 4 + 段前: 0.5 行 段后: 0.5 行1"/>
    <w:basedOn w:val="5"/>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62">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3">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5">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6">
    <w:name w:val="节标题"/>
    <w:basedOn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367">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8">
    <w:name w:val="列表 21"/>
    <w:basedOn w:val="1"/>
    <w:autoRedefine/>
    <w:qFormat/>
    <w:uiPriority w:val="0"/>
    <w:pPr>
      <w:ind w:left="100" w:leftChars="200" w:hanging="200" w:hangingChars="200"/>
    </w:pPr>
  </w:style>
  <w:style w:type="paragraph" w:customStyle="1" w:styleId="369">
    <w:name w:val="Char Char Char Char Char Char Char"/>
    <w:basedOn w:val="1"/>
    <w:autoRedefine/>
    <w:qFormat/>
    <w:uiPriority w:val="0"/>
  </w:style>
  <w:style w:type="paragraph" w:customStyle="1" w:styleId="370">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371">
    <w:name w:val="一级无"/>
    <w:basedOn w:val="229"/>
    <w:autoRedefine/>
    <w:qFormat/>
    <w:uiPriority w:val="0"/>
    <w:pPr>
      <w:spacing w:beforeLines="0" w:afterLines="0"/>
    </w:pPr>
    <w:rPr>
      <w:rFonts w:ascii="宋体" w:eastAsia="宋体"/>
    </w:rPr>
  </w:style>
  <w:style w:type="paragraph" w:customStyle="1" w:styleId="372">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73">
    <w:name w:val="手动目录"/>
    <w:basedOn w:val="1"/>
    <w:autoRedefine/>
    <w:qFormat/>
    <w:uiPriority w:val="0"/>
    <w:pPr>
      <w:numPr>
        <w:ilvl w:val="0"/>
        <w:numId w:val="3"/>
      </w:numPr>
      <w:spacing w:line="360" w:lineRule="auto"/>
    </w:pPr>
    <w:rPr>
      <w:sz w:val="24"/>
    </w:rPr>
  </w:style>
  <w:style w:type="paragraph" w:customStyle="1" w:styleId="374">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5">
    <w:name w:val="默认段落字体 Para Char Char Char Char"/>
    <w:basedOn w:val="1"/>
    <w:autoRedefine/>
    <w:qFormat/>
    <w:uiPriority w:val="0"/>
    <w:rPr>
      <w:szCs w:val="20"/>
    </w:rPr>
  </w:style>
  <w:style w:type="paragraph" w:customStyle="1" w:styleId="376">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378">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9">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80">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81">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82">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83">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4">
    <w:name w:val="CM20"/>
    <w:basedOn w:val="28"/>
    <w:next w:val="28"/>
    <w:autoRedefine/>
    <w:qFormat/>
    <w:uiPriority w:val="0"/>
    <w:pPr>
      <w:spacing w:after="115"/>
    </w:pPr>
    <w:rPr>
      <w:rFonts w:ascii=".a..DD.." w:eastAsia=".a..DD.."/>
      <w:color w:val="auto"/>
      <w:szCs w:val="24"/>
    </w:rPr>
  </w:style>
  <w:style w:type="paragraph" w:customStyle="1" w:styleId="385">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386">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7">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8">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9">
    <w:name w:val="书目1"/>
    <w:basedOn w:val="1"/>
    <w:next w:val="1"/>
    <w:autoRedefine/>
    <w:unhideWhenUsed/>
    <w:qFormat/>
    <w:uiPriority w:val="37"/>
    <w:pPr>
      <w:spacing w:line="360" w:lineRule="auto"/>
      <w:ind w:firstLine="200" w:firstLineChars="200"/>
      <w:jc w:val="left"/>
    </w:pPr>
    <w:rPr>
      <w:sz w:val="24"/>
    </w:rPr>
  </w:style>
  <w:style w:type="paragraph" w:customStyle="1" w:styleId="390">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1">
    <w:name w:val="表文"/>
    <w:basedOn w:val="1"/>
    <w:autoRedefine/>
    <w:qFormat/>
    <w:uiPriority w:val="0"/>
    <w:pPr>
      <w:spacing w:line="300" w:lineRule="auto"/>
      <w:jc w:val="center"/>
      <w:textAlignment w:val="baseline"/>
    </w:pPr>
    <w:rPr>
      <w:kern w:val="0"/>
      <w:szCs w:val="20"/>
    </w:rPr>
  </w:style>
  <w:style w:type="paragraph" w:customStyle="1" w:styleId="392">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3">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4">
    <w:name w:val="样式 标题 1章节标题b1 + 段前: 6 磅"/>
    <w:basedOn w:val="2"/>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5">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9">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样式 样式 标题 2 + 段前: 0.5 行 段后: 0.5 行 + 段前: 0.5 行 段后: 0.5 行"/>
    <w:basedOn w:val="401"/>
    <w:autoRedefine/>
    <w:qFormat/>
    <w:uiPriority w:val="0"/>
    <w:pPr>
      <w:tabs>
        <w:tab w:val="left" w:pos="1320"/>
      </w:tabs>
      <w:spacing w:beforeLines="0" w:beforeAutospacing="1" w:afterLines="0" w:afterAutospacing="1"/>
      <w:ind w:left="576" w:hanging="576"/>
    </w:pPr>
    <w:rPr>
      <w:bCs w:val="0"/>
    </w:rPr>
  </w:style>
  <w:style w:type="paragraph" w:customStyle="1" w:styleId="401">
    <w:name w:val="样式 标题 2 + 段前: 0.5 行 段后: 0.5 行"/>
    <w:basedOn w:val="3"/>
    <w:autoRedefine/>
    <w:qFormat/>
    <w:uiPriority w:val="0"/>
    <w:pPr>
      <w:tabs>
        <w:tab w:val="left" w:pos="1320"/>
      </w:tabs>
      <w:spacing w:beforeLines="50" w:afterLines="50" w:line="360" w:lineRule="auto"/>
      <w:jc w:val="left"/>
    </w:pPr>
    <w:rPr>
      <w:rFonts w:cs="宋体"/>
      <w:b w:val="0"/>
      <w:kern w:val="0"/>
      <w:szCs w:val="20"/>
    </w:rPr>
  </w:style>
  <w:style w:type="paragraph" w:customStyle="1" w:styleId="402">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403">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4">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405">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6">
    <w:name w:val="样式 标题 3 + 四号 段前: 7.8 磅 段后: 0 磅 行距: 单倍行距"/>
    <w:basedOn w:val="4"/>
    <w:autoRedefine/>
    <w:qFormat/>
    <w:uiPriority w:val="0"/>
    <w:pPr>
      <w:tabs>
        <w:tab w:val="left" w:pos="673"/>
      </w:tabs>
      <w:spacing w:before="156" w:after="0"/>
      <w:ind w:left="720" w:hanging="720"/>
    </w:pPr>
    <w:rPr>
      <w:rFonts w:ascii="宋体" w:hAnsi="宋体" w:eastAsia="宋体"/>
      <w:b w:val="0"/>
      <w:sz w:val="28"/>
    </w:rPr>
  </w:style>
  <w:style w:type="paragraph" w:customStyle="1" w:styleId="4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8">
    <w:name w:val="表项"/>
    <w:next w:val="409"/>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9">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10">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411">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13">
    <w:name w:val="Char2"/>
    <w:basedOn w:val="1"/>
    <w:autoRedefine/>
    <w:qFormat/>
    <w:uiPriority w:val="0"/>
    <w:pPr>
      <w:jc w:val="center"/>
    </w:pPr>
    <w:rPr>
      <w:rFonts w:ascii="宋体" w:hAnsi="宋体"/>
      <w:b/>
      <w:szCs w:val="21"/>
    </w:rPr>
  </w:style>
  <w:style w:type="paragraph" w:customStyle="1" w:styleId="414">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5">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8">
    <w:name w:val="样式 样式 标题 2 + 段前: 0.5 行 段后: 0.5 行2 + 段前: 0.5 行 段后: 0.5 行"/>
    <w:basedOn w:val="326"/>
    <w:autoRedefine/>
    <w:qFormat/>
    <w:uiPriority w:val="0"/>
    <w:rPr>
      <w:b w:val="0"/>
    </w:rPr>
  </w:style>
  <w:style w:type="paragraph" w:customStyle="1" w:styleId="41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20">
    <w:name w:val="Figure Description"/>
    <w:basedOn w:val="1"/>
    <w:next w:val="203"/>
    <w:autoRedefine/>
    <w:qFormat/>
    <w:uiPriority w:val="0"/>
    <w:pPr>
      <w:keepNext/>
      <w:keepLines/>
      <w:spacing w:afterLines="100" w:line="360" w:lineRule="auto"/>
      <w:jc w:val="center"/>
    </w:pPr>
    <w:rPr>
      <w:rFonts w:ascii="Tahoma" w:hAnsi="Tahoma"/>
      <w:sz w:val="24"/>
    </w:rPr>
  </w:style>
  <w:style w:type="paragraph" w:customStyle="1" w:styleId="421">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2">
    <w:name w:val="pa-13"/>
    <w:basedOn w:val="1"/>
    <w:autoRedefine/>
    <w:qFormat/>
    <w:uiPriority w:val="0"/>
    <w:pPr>
      <w:widowControl/>
      <w:spacing w:line="240" w:lineRule="atLeast"/>
    </w:pPr>
    <w:rPr>
      <w:rFonts w:ascii="宋体" w:hAnsi="宋体" w:cs="宋体"/>
      <w:kern w:val="0"/>
      <w:sz w:val="24"/>
    </w:rPr>
  </w:style>
  <w:style w:type="paragraph" w:customStyle="1" w:styleId="423">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4">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425">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6">
    <w:name w:val="样式 小四 首行缩进:  2 字符"/>
    <w:basedOn w:val="1"/>
    <w:autoRedefine/>
    <w:qFormat/>
    <w:uiPriority w:val="0"/>
    <w:pPr>
      <w:spacing w:line="300" w:lineRule="auto"/>
      <w:ind w:firstLine="480" w:firstLineChars="200"/>
    </w:pPr>
    <w:rPr>
      <w:sz w:val="24"/>
      <w:szCs w:val="20"/>
    </w:rPr>
  </w:style>
  <w:style w:type="paragraph" w:customStyle="1" w:styleId="427">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28">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9">
    <w:name w:val="列出段落2"/>
    <w:basedOn w:val="1"/>
    <w:autoRedefine/>
    <w:qFormat/>
    <w:uiPriority w:val="0"/>
    <w:pPr>
      <w:ind w:firstLine="420" w:firstLineChars="200"/>
    </w:pPr>
  </w:style>
  <w:style w:type="paragraph" w:customStyle="1" w:styleId="430">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31">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4">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5">
    <w:name w:val="Notes Text List in Table"/>
    <w:autoRedefin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6">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7">
    <w:name w:val="Char Char Char"/>
    <w:basedOn w:val="1"/>
    <w:autoRedefine/>
    <w:qFormat/>
    <w:uiPriority w:val="0"/>
    <w:rPr>
      <w:rFonts w:ascii="Tahoma" w:hAnsi="Tahoma" w:cs="Angsana New"/>
      <w:sz w:val="24"/>
      <w:szCs w:val="20"/>
    </w:rPr>
  </w:style>
  <w:style w:type="paragraph" w:customStyle="1" w:styleId="438">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9">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40">
    <w:name w:val="样式 标题 1章H11. heading 1标准章Alt+1h1Huvudrubrikh11h12h13h..."/>
    <w:basedOn w:val="1"/>
    <w:autoRedefine/>
    <w:qFormat/>
    <w:uiPriority w:val="0"/>
  </w:style>
  <w:style w:type="paragraph" w:customStyle="1" w:styleId="441">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4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43">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4">
    <w:name w:val="正文居中小5"/>
    <w:basedOn w:val="1"/>
    <w:autoRedefine/>
    <w:qFormat/>
    <w:uiPriority w:val="0"/>
    <w:pPr>
      <w:spacing w:line="360" w:lineRule="auto"/>
      <w:jc w:val="center"/>
    </w:pPr>
    <w:rPr>
      <w:rFonts w:ascii="Arial" w:hAnsi="Arial"/>
      <w:sz w:val="18"/>
    </w:rPr>
  </w:style>
  <w:style w:type="paragraph" w:customStyle="1" w:styleId="445">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6">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7">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8">
    <w:name w:val="二级大纲"/>
    <w:next w:val="105"/>
    <w:autoRedefine/>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9">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50">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51">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2">
    <w:name w:val="纯文本1"/>
    <w:basedOn w:val="1"/>
    <w:autoRedefine/>
    <w:qFormat/>
    <w:uiPriority w:val="0"/>
    <w:pPr>
      <w:autoSpaceDE w:val="0"/>
      <w:autoSpaceDN w:val="0"/>
      <w:adjustRightInd w:val="0"/>
    </w:pPr>
    <w:rPr>
      <w:rFonts w:hint="eastAsia" w:ascii="宋体" w:hAnsi="宋体" w:cs="宋体"/>
      <w:kern w:val="0"/>
      <w:szCs w:val="20"/>
    </w:rPr>
  </w:style>
  <w:style w:type="paragraph" w:customStyle="1" w:styleId="453">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5">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6">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7">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8">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9">
    <w:name w:val="样式 样式 标题 + 段前: 0.5 行 段后: 0.5 行 + 段前: 0.5 行 段后: 0.5 行"/>
    <w:basedOn w:val="216"/>
    <w:autoRedefine/>
    <w:qFormat/>
    <w:uiPriority w:val="0"/>
    <w:pPr>
      <w:spacing w:beforeLines="50" w:afterLines="50" w:line="360" w:lineRule="auto"/>
    </w:pPr>
    <w:rPr>
      <w:rFonts w:eastAsia="黑体" w:cs="宋体"/>
      <w:sz w:val="72"/>
      <w:szCs w:val="20"/>
      <w:u w:val="double"/>
    </w:rPr>
  </w:style>
  <w:style w:type="paragraph" w:customStyle="1" w:styleId="460">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61">
    <w:name w:val="文档控制号等"/>
    <w:basedOn w:val="1"/>
    <w:autoRedefine/>
    <w:qFormat/>
    <w:uiPriority w:val="0"/>
    <w:pPr>
      <w:spacing w:line="360" w:lineRule="auto"/>
      <w:jc w:val="left"/>
    </w:pPr>
  </w:style>
  <w:style w:type="paragraph" w:customStyle="1" w:styleId="462">
    <w:name w:val="小四 段落 宋体 Char Char"/>
    <w:basedOn w:val="463"/>
    <w:autoRedefine/>
    <w:qFormat/>
    <w:uiPriority w:val="0"/>
    <w:pPr>
      <w:tabs>
        <w:tab w:val="left" w:pos="360"/>
        <w:tab w:val="left" w:pos="840"/>
      </w:tabs>
    </w:pPr>
  </w:style>
  <w:style w:type="paragraph" w:customStyle="1" w:styleId="463">
    <w:name w:val="小四 段落 宋体 Char Char Char"/>
    <w:basedOn w:val="15"/>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5">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7">
    <w:name w:val="表格内容五号(V1)"/>
    <w:basedOn w:val="1"/>
    <w:autoRedefine/>
    <w:qFormat/>
    <w:uiPriority w:val="0"/>
    <w:pPr>
      <w:jc w:val="center"/>
    </w:pPr>
    <w:rPr>
      <w:rFonts w:cs="Arial Unicode MS"/>
      <w:kern w:val="0"/>
      <w:szCs w:val="21"/>
    </w:rPr>
  </w:style>
  <w:style w:type="paragraph" w:customStyle="1" w:styleId="468">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9">
    <w:name w:val="10"/>
    <w:basedOn w:val="1"/>
    <w:autoRedefine/>
    <w:qFormat/>
    <w:uiPriority w:val="0"/>
    <w:pPr>
      <w:spacing w:line="360" w:lineRule="auto"/>
      <w:ind w:firstLine="454"/>
    </w:pPr>
    <w:rPr>
      <w:rFonts w:ascii="Tahoma" w:hAnsi="Tahoma"/>
      <w:sz w:val="24"/>
      <w:szCs w:val="20"/>
    </w:rPr>
  </w:style>
  <w:style w:type="paragraph" w:customStyle="1" w:styleId="470">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71">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472">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3">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4">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5">
    <w:name w:val="样式 日期 + 行距: 1.5 倍行距"/>
    <w:basedOn w:val="35"/>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476">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9">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81">
    <w:name w:val="三级无"/>
    <w:basedOn w:val="273"/>
    <w:autoRedefine/>
    <w:qFormat/>
    <w:uiPriority w:val="0"/>
    <w:pPr>
      <w:spacing w:beforeLines="0" w:afterLines="0"/>
    </w:pPr>
    <w:rPr>
      <w:rFonts w:ascii="宋体" w:eastAsia="宋体"/>
    </w:rPr>
  </w:style>
  <w:style w:type="paragraph" w:customStyle="1" w:styleId="482">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83">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4">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5">
    <w:name w:val="Figure"/>
    <w:basedOn w:val="1"/>
    <w:next w:val="420"/>
    <w:autoRedefine/>
    <w:qFormat/>
    <w:uiPriority w:val="0"/>
    <w:pPr>
      <w:keepNext/>
      <w:ind w:left="1701"/>
    </w:pPr>
  </w:style>
  <w:style w:type="paragraph" w:customStyle="1" w:styleId="48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8">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9">
    <w:name w:val="正文悬挂缩进4"/>
    <w:basedOn w:val="1"/>
    <w:autoRedefine/>
    <w:qFormat/>
    <w:uiPriority w:val="0"/>
    <w:pPr>
      <w:spacing w:line="360" w:lineRule="auto"/>
      <w:ind w:left="839"/>
    </w:pPr>
  </w:style>
  <w:style w:type="paragraph" w:customStyle="1" w:styleId="490">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91">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92">
    <w:name w:val="样式 标题 4Alt+4项h4H41.1.1.1 Heading 4Heading FourHead44bul...1"/>
    <w:basedOn w:val="5"/>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93">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4">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5">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6">
    <w:name w:val="TOC 标题1"/>
    <w:basedOn w:val="2"/>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7">
    <w:name w:val="项目编号1级"/>
    <w:basedOn w:val="498"/>
    <w:autoRedefine/>
    <w:qFormat/>
    <w:uiPriority w:val="0"/>
    <w:pPr>
      <w:tabs>
        <w:tab w:val="left" w:pos="840"/>
      </w:tabs>
      <w:ind w:left="840" w:hanging="420" w:firstLineChars="0"/>
    </w:pPr>
  </w:style>
  <w:style w:type="paragraph" w:customStyle="1" w:styleId="498">
    <w:name w:val="正文缩进2"/>
    <w:basedOn w:val="1"/>
    <w:autoRedefine/>
    <w:qFormat/>
    <w:uiPriority w:val="0"/>
    <w:pPr>
      <w:spacing w:line="360" w:lineRule="auto"/>
      <w:ind w:firstLine="200" w:firstLineChars="200"/>
    </w:pPr>
  </w:style>
  <w:style w:type="paragraph" w:customStyle="1" w:styleId="499">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0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0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2">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03">
    <w:name w:val="样式 标题 3 + 段前: 0.5 行 段后: 0.5 行"/>
    <w:basedOn w:val="4"/>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4">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5">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506">
    <w:name w:val="样式 标题 6 + 段前: 0.5 行 段后: 0.5 行"/>
    <w:basedOn w:val="7"/>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7">
    <w:name w:val="列出段落1"/>
    <w:basedOn w:val="1"/>
    <w:autoRedefine/>
    <w:qFormat/>
    <w:uiPriority w:val="34"/>
    <w:pPr>
      <w:ind w:firstLine="420" w:firstLineChars="200"/>
    </w:pPr>
    <w:rPr>
      <w:szCs w:val="20"/>
    </w:rPr>
  </w:style>
  <w:style w:type="paragraph" w:customStyle="1" w:styleId="50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9">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10">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11">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12">
    <w:name w:val="一级"/>
    <w:basedOn w:val="105"/>
    <w:next w:val="105"/>
    <w:autoRedefine/>
    <w:qFormat/>
    <w:uiPriority w:val="0"/>
    <w:pPr>
      <w:tabs>
        <w:tab w:val="left" w:pos="360"/>
        <w:tab w:val="left" w:pos="780"/>
      </w:tabs>
      <w:ind w:left="780" w:hanging="360" w:firstLineChars="0"/>
      <w:jc w:val="center"/>
      <w:outlineLvl w:val="0"/>
    </w:pPr>
    <w:rPr>
      <w:b/>
      <w:sz w:val="44"/>
    </w:rPr>
  </w:style>
  <w:style w:type="paragraph" w:customStyle="1" w:styleId="513">
    <w:name w:val="警告"/>
    <w:basedOn w:val="1"/>
    <w:next w:val="203"/>
    <w:autoRedefine/>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4">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5">
    <w:name w:val="样式 标题 3H3h3h31第二层条3Bold Headbh章标题1小标题level_3PIM 3Lev..."/>
    <w:basedOn w:val="4"/>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516">
    <w:name w:val="Sub Item List"/>
    <w:basedOn w:val="1"/>
    <w:autoRedefine/>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7">
    <w:name w:val="样式 标题 4 + 段前: 0.5 行 段后: 0.5 行 行距: 多倍行距 1.57 字行"/>
    <w:basedOn w:val="5"/>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8">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51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0">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21">
    <w:name w:val="正文(单倍行距)"/>
    <w:basedOn w:val="1"/>
    <w:autoRedefine/>
    <w:qFormat/>
    <w:uiPriority w:val="0"/>
    <w:pPr>
      <w:adjustRightInd w:val="0"/>
      <w:snapToGrid w:val="0"/>
      <w:jc w:val="center"/>
    </w:pPr>
  </w:style>
  <w:style w:type="paragraph" w:customStyle="1" w:styleId="522">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3">
    <w:name w:val="二级无"/>
    <w:basedOn w:val="274"/>
    <w:autoRedefine/>
    <w:qFormat/>
    <w:uiPriority w:val="0"/>
    <w:pPr>
      <w:spacing w:beforeLines="0" w:afterLines="0"/>
    </w:pPr>
    <w:rPr>
      <w:rFonts w:ascii="宋体" w:eastAsia="宋体"/>
    </w:rPr>
  </w:style>
  <w:style w:type="paragraph" w:customStyle="1" w:styleId="524">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525">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6">
    <w:name w:val="pa-10"/>
    <w:basedOn w:val="1"/>
    <w:autoRedefine/>
    <w:qFormat/>
    <w:uiPriority w:val="0"/>
    <w:pPr>
      <w:widowControl/>
      <w:spacing w:line="280" w:lineRule="atLeast"/>
    </w:pPr>
    <w:rPr>
      <w:rFonts w:ascii="宋体" w:hAnsi="宋体" w:cs="宋体"/>
      <w:kern w:val="0"/>
      <w:sz w:val="24"/>
    </w:rPr>
  </w:style>
  <w:style w:type="paragraph" w:customStyle="1" w:styleId="527">
    <w:name w:val="WPS Plain"/>
    <w:autoRedefine/>
    <w:qFormat/>
    <w:uiPriority w:val="0"/>
    <w:rPr>
      <w:rFonts w:ascii="Times New Roman" w:hAnsi="Times New Roman" w:eastAsia="宋体" w:cs="Times New Roman"/>
      <w:lang w:val="en-US" w:eastAsia="zh-CN" w:bidi="ar-SA"/>
    </w:rPr>
  </w:style>
  <w:style w:type="paragraph" w:customStyle="1" w:styleId="528">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9">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530">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31">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3">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表身（中）"/>
    <w:basedOn w:val="409"/>
    <w:autoRedefine/>
    <w:qFormat/>
    <w:uiPriority w:val="0"/>
    <w:pPr>
      <w:jc w:val="center"/>
    </w:pPr>
  </w:style>
  <w:style w:type="paragraph" w:customStyle="1" w:styleId="535">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6">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537">
    <w:name w:val="标题1"/>
    <w:basedOn w:val="2"/>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538">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9">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41">
    <w:name w:val="表格正文2"/>
    <w:basedOn w:val="1"/>
    <w:autoRedefine/>
    <w:qFormat/>
    <w:uiPriority w:val="0"/>
    <w:pPr>
      <w:adjustRightInd w:val="0"/>
      <w:snapToGrid w:val="0"/>
      <w:spacing w:line="400" w:lineRule="atLeast"/>
      <w:jc w:val="left"/>
    </w:pPr>
    <w:rPr>
      <w:sz w:val="24"/>
      <w:szCs w:val="20"/>
    </w:rPr>
  </w:style>
  <w:style w:type="paragraph" w:customStyle="1" w:styleId="542">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3">
    <w:name w:val="样式 首行缩进:  2 字符2 + 居中"/>
    <w:basedOn w:val="225"/>
    <w:autoRedefine/>
    <w:qFormat/>
    <w:uiPriority w:val="0"/>
    <w:pPr>
      <w:adjustRightInd/>
      <w:snapToGrid/>
      <w:ind w:firstLine="0" w:firstLineChars="0"/>
      <w:jc w:val="center"/>
    </w:pPr>
    <w:rPr>
      <w:sz w:val="28"/>
      <w:szCs w:val="20"/>
    </w:rPr>
  </w:style>
  <w:style w:type="paragraph" w:customStyle="1" w:styleId="544">
    <w:name w:val="Absatz2AL"/>
    <w:basedOn w:val="27"/>
    <w:next w:val="1"/>
    <w:autoRedefine/>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7">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8">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50">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51">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52">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53">
    <w:name w:val="def正文"/>
    <w:basedOn w:val="27"/>
    <w:autoRedefine/>
    <w:qFormat/>
    <w:uiPriority w:val="0"/>
    <w:pPr>
      <w:widowControl/>
      <w:autoSpaceDE/>
      <w:autoSpaceDN/>
      <w:adjustRightInd/>
      <w:ind w:firstLine="482"/>
      <w:jc w:val="both"/>
    </w:pPr>
    <w:rPr>
      <w:rFonts w:ascii="Times New Roman"/>
      <w:b/>
      <w:sz w:val="24"/>
      <w:szCs w:val="24"/>
    </w:rPr>
  </w:style>
  <w:style w:type="paragraph" w:customStyle="1" w:styleId="554">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三级大纲"/>
    <w:next w:val="105"/>
    <w:autoRedefine/>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7">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8">
    <w:name w:val="1"/>
    <w:basedOn w:val="41"/>
    <w:autoRedefine/>
    <w:qFormat/>
    <w:uiPriority w:val="0"/>
    <w:pPr>
      <w:pBdr>
        <w:bottom w:val="none" w:color="auto" w:sz="0" w:space="0"/>
      </w:pBdr>
    </w:pPr>
    <w:rPr>
      <w:rFonts w:ascii="Calibri" w:hAnsi="Calibri" w:eastAsia="华文新魏"/>
      <w:kern w:val="0"/>
      <w:sz w:val="21"/>
      <w:szCs w:val="20"/>
    </w:rPr>
  </w:style>
  <w:style w:type="paragraph" w:customStyle="1" w:styleId="559">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562">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563">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4">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6">
    <w:name w:val="正文悬挂缩进6"/>
    <w:basedOn w:val="489"/>
    <w:autoRedefine/>
    <w:qFormat/>
    <w:uiPriority w:val="0"/>
    <w:pPr>
      <w:tabs>
        <w:tab w:val="left" w:pos="1259"/>
      </w:tabs>
      <w:ind w:left="600" w:leftChars="600"/>
    </w:pPr>
  </w:style>
  <w:style w:type="paragraph" w:customStyle="1" w:styleId="567">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8">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9">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70">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571">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2">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573">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4">
    <w:name w:val="表3"/>
    <w:basedOn w:val="221"/>
    <w:qFormat/>
    <w:uiPriority w:val="0"/>
    <w:pPr>
      <w:numPr>
        <w:numId w:val="0"/>
      </w:numPr>
      <w:ind w:left="902" w:hanging="420"/>
    </w:pPr>
  </w:style>
  <w:style w:type="paragraph" w:customStyle="1" w:styleId="575">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6">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77">
    <w:name w:val="Char21"/>
    <w:basedOn w:val="1"/>
    <w:qFormat/>
    <w:uiPriority w:val="0"/>
  </w:style>
  <w:style w:type="paragraph" w:customStyle="1" w:styleId="578">
    <w:name w:val="正文1"/>
    <w:basedOn w:val="1"/>
    <w:next w:val="58"/>
    <w:autoRedefine/>
    <w:qFormat/>
    <w:uiPriority w:val="0"/>
    <w:pPr>
      <w:spacing w:line="360" w:lineRule="auto"/>
      <w:ind w:firstLine="200" w:firstLineChars="200"/>
    </w:pPr>
  </w:style>
  <w:style w:type="paragraph" w:customStyle="1" w:styleId="579">
    <w:name w:val="Char1"/>
    <w:basedOn w:val="1"/>
    <w:autoRedefine/>
    <w:qFormat/>
    <w:uiPriority w:val="0"/>
  </w:style>
  <w:style w:type="paragraph" w:customStyle="1" w:styleId="580">
    <w:name w:val="样式 标题 2 + 段前: 0.5 行 段后: 0.5 行1"/>
    <w:basedOn w:val="3"/>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81">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82">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3">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4">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5">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6">
    <w:name w:val="Char Char Char Char Char Char"/>
    <w:basedOn w:val="20"/>
    <w:semiHidden/>
    <w:qFormat/>
    <w:uiPriority w:val="0"/>
    <w:pPr>
      <w:spacing w:line="360" w:lineRule="auto"/>
      <w:ind w:firstLine="200" w:firstLineChars="200"/>
      <w:jc w:val="left"/>
    </w:pPr>
    <w:rPr>
      <w:rFonts w:ascii="Tahoma" w:hAnsi="Tahoma" w:cs="Tahoma"/>
      <w:kern w:val="0"/>
      <w:sz w:val="18"/>
    </w:rPr>
  </w:style>
  <w:style w:type="paragraph" w:customStyle="1" w:styleId="587">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8">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9">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9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91">
    <w:name w:val="样式 标题 1 + 段前: 1 行 段后: 1 行1"/>
    <w:basedOn w:val="2"/>
    <w:autoRedefine/>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92">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4">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5">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97">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8">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599">
    <w:name w:val="样式 标题 5 + 段前: 0.5 行 段后: 0.5 行"/>
    <w:basedOn w:val="6"/>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600">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601">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02">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603">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4">
    <w:name w:val="Char"/>
    <w:basedOn w:val="1"/>
    <w:autoRedefine/>
    <w:qFormat/>
    <w:uiPriority w:val="0"/>
    <w:rPr>
      <w:rFonts w:ascii="Tahoma" w:hAnsi="Tahoma" w:cs="仿宋_GB2312"/>
      <w:sz w:val="24"/>
      <w:szCs w:val="28"/>
    </w:rPr>
  </w:style>
  <w:style w:type="paragraph" w:customStyle="1" w:styleId="60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6">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7">
    <w:name w:val="我的正文格式"/>
    <w:basedOn w:val="1"/>
    <w:next w:val="1"/>
    <w:autoRedefine/>
    <w:qFormat/>
    <w:uiPriority w:val="0"/>
    <w:pPr>
      <w:snapToGrid w:val="0"/>
      <w:spacing w:line="288" w:lineRule="auto"/>
      <w:ind w:left="540" w:hanging="540" w:hangingChars="225"/>
    </w:pPr>
    <w:rPr>
      <w:sz w:val="24"/>
    </w:rPr>
  </w:style>
  <w:style w:type="paragraph" w:customStyle="1" w:styleId="608">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9">
    <w:name w:val="_Style 56"/>
    <w:basedOn w:val="1"/>
    <w:autoRedefine/>
    <w:qFormat/>
    <w:uiPriority w:val="0"/>
    <w:pPr>
      <w:ind w:firstLine="420" w:firstLineChars="200"/>
    </w:pPr>
    <w:rPr>
      <w:rFonts w:ascii="Calibri" w:hAnsi="Calibri"/>
      <w:szCs w:val="22"/>
    </w:rPr>
  </w:style>
  <w:style w:type="paragraph" w:styleId="610">
    <w:name w:val="List Paragraph"/>
    <w:basedOn w:val="1"/>
    <w:link w:val="720"/>
    <w:autoRedefine/>
    <w:qFormat/>
    <w:uiPriority w:val="99"/>
    <w:pPr>
      <w:ind w:firstLine="420" w:firstLineChars="200"/>
    </w:pPr>
    <w:rPr>
      <w:rFonts w:ascii="宋体" w:hAnsi="宋体" w:cs="宋体"/>
      <w:bCs/>
      <w:color w:val="000000"/>
      <w:kern w:val="0"/>
      <w:sz w:val="24"/>
      <w:u w:val="single"/>
    </w:rPr>
  </w:style>
  <w:style w:type="paragraph" w:customStyle="1" w:styleId="611">
    <w:name w:val="Char1 Char Char Char"/>
    <w:basedOn w:val="1"/>
    <w:autoRedefine/>
    <w:qFormat/>
    <w:uiPriority w:val="0"/>
    <w:rPr>
      <w:rFonts w:ascii="Tahoma" w:hAnsi="Tahoma"/>
      <w:sz w:val="24"/>
      <w:szCs w:val="20"/>
    </w:rPr>
  </w:style>
  <w:style w:type="paragraph" w:customStyle="1" w:styleId="612">
    <w:name w:val="Char Char Char Char1"/>
    <w:basedOn w:val="1"/>
    <w:autoRedefine/>
    <w:qFormat/>
    <w:uiPriority w:val="0"/>
    <w:rPr>
      <w:rFonts w:ascii="仿宋_GB2312" w:eastAsia="仿宋_GB2312"/>
      <w:b/>
      <w:sz w:val="32"/>
      <w:szCs w:val="32"/>
    </w:rPr>
  </w:style>
  <w:style w:type="paragraph" w:customStyle="1" w:styleId="613">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5">
    <w:name w:val="标准小四"/>
    <w:basedOn w:val="1"/>
    <w:qFormat/>
    <w:uiPriority w:val="0"/>
    <w:pPr>
      <w:spacing w:line="360" w:lineRule="auto"/>
      <w:ind w:firstLine="480" w:firstLineChars="200"/>
    </w:pPr>
    <w:rPr>
      <w:rFonts w:ascii="Arial" w:hAnsi="Arial"/>
      <w:sz w:val="24"/>
      <w:szCs w:val="21"/>
    </w:rPr>
  </w:style>
  <w:style w:type="paragraph" w:customStyle="1" w:styleId="616">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7">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8">
    <w:name w:val="Item List in Table"/>
    <w:basedOn w:val="1"/>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9">
    <w:name w:val="书目11"/>
    <w:basedOn w:val="1"/>
    <w:next w:val="1"/>
    <w:unhideWhenUsed/>
    <w:qFormat/>
    <w:uiPriority w:val="37"/>
    <w:pPr>
      <w:spacing w:line="360" w:lineRule="auto"/>
      <w:ind w:firstLine="200" w:firstLineChars="200"/>
      <w:jc w:val="left"/>
    </w:pPr>
    <w:rPr>
      <w:sz w:val="24"/>
    </w:rPr>
  </w:style>
  <w:style w:type="paragraph" w:customStyle="1" w:styleId="620">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1">
    <w:name w:val="小标"/>
    <w:basedOn w:val="1"/>
    <w:autoRedefine/>
    <w:qFormat/>
    <w:uiPriority w:val="0"/>
    <w:rPr>
      <w:rFonts w:hint="eastAsia" w:ascii="黑体" w:eastAsia="黑体"/>
      <w:spacing w:val="20"/>
      <w:szCs w:val="20"/>
    </w:rPr>
  </w:style>
  <w:style w:type="paragraph" w:customStyle="1" w:styleId="622">
    <w:name w:val="表格标题3"/>
    <w:basedOn w:val="419"/>
    <w:autoRedefine/>
    <w:qFormat/>
    <w:uiPriority w:val="0"/>
    <w:pPr>
      <w:tabs>
        <w:tab w:val="left" w:pos="570"/>
        <w:tab w:val="left" w:pos="720"/>
        <w:tab w:val="clear" w:pos="1620"/>
      </w:tabs>
      <w:ind w:left="570" w:hanging="570"/>
    </w:pPr>
  </w:style>
  <w:style w:type="paragraph" w:customStyle="1" w:styleId="623">
    <w:name w:val="五级大纲"/>
    <w:next w:val="105"/>
    <w:autoRedefine/>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4">
    <w:name w:val="默认段落字体 Para Char Char Char Char Char Char Char"/>
    <w:basedOn w:val="1"/>
    <w:autoRedefine/>
    <w:qFormat/>
    <w:uiPriority w:val="0"/>
    <w:pPr>
      <w:jc w:val="left"/>
    </w:pPr>
    <w:rPr>
      <w:rFonts w:ascii="Tahoma" w:hAnsi="Tahoma"/>
      <w:sz w:val="24"/>
      <w:szCs w:val="20"/>
    </w:rPr>
  </w:style>
  <w:style w:type="paragraph" w:customStyle="1" w:styleId="625">
    <w:name w:val="默认段落字体 Para Char Char Char Char Char Char Char Char Char Char Char Char Char Char"/>
    <w:basedOn w:val="20"/>
    <w:autoRedefine/>
    <w:qFormat/>
    <w:uiPriority w:val="0"/>
    <w:rPr>
      <w:rFonts w:ascii="Tahoma" w:hAnsi="Tahoma"/>
      <w:sz w:val="24"/>
    </w:rPr>
  </w:style>
  <w:style w:type="paragraph" w:customStyle="1" w:styleId="62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样式 标题 2（x.x）节二级标题H2h2h212Header 2l2Level 2 HeadH2norm..."/>
    <w:basedOn w:val="3"/>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9">
    <w:name w:val="样式 标题 2 + 宋体 小三 段前: 0 磅 段后: 12 磅 行距: 1.5 倍行距"/>
    <w:basedOn w:val="3"/>
    <w:autoRedefine/>
    <w:qFormat/>
    <w:uiPriority w:val="0"/>
    <w:pPr>
      <w:numPr>
        <w:ilvl w:val="1"/>
        <w:numId w:val="5"/>
      </w:numPr>
      <w:spacing w:before="0" w:afterLines="100" w:line="360" w:lineRule="auto"/>
    </w:pPr>
    <w:rPr>
      <w:rFonts w:ascii="宋体" w:hAnsi="宋体" w:eastAsia="宋体" w:cs="宋体"/>
      <w:sz w:val="30"/>
      <w:szCs w:val="20"/>
    </w:rPr>
  </w:style>
  <w:style w:type="paragraph" w:customStyle="1" w:styleId="630">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631">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6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3">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4">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5">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7">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8">
    <w:name w:val="样式 标题 1H1Header1h1标题4L1bocLevel 1 Topic Heading标书1Secti..."/>
    <w:basedOn w:val="2"/>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9">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640">
    <w:name w:val="Char Char Char1 Char"/>
    <w:basedOn w:val="20"/>
    <w:autoRedefine/>
    <w:qFormat/>
    <w:uiPriority w:val="0"/>
    <w:pPr>
      <w:adjustRightInd w:val="0"/>
      <w:spacing w:line="436" w:lineRule="exact"/>
      <w:ind w:left="357"/>
      <w:jc w:val="left"/>
      <w:outlineLvl w:val="3"/>
    </w:pPr>
    <w:rPr>
      <w:kern w:val="0"/>
      <w:sz w:val="20"/>
      <w:szCs w:val="20"/>
    </w:rPr>
  </w:style>
  <w:style w:type="paragraph" w:customStyle="1" w:styleId="641">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42">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643">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4">
    <w:name w:val="项目编号2级"/>
    <w:basedOn w:val="497"/>
    <w:autoRedefine/>
    <w:qFormat/>
    <w:uiPriority w:val="0"/>
  </w:style>
  <w:style w:type="paragraph" w:customStyle="1" w:styleId="645">
    <w:name w:val="四级无"/>
    <w:basedOn w:val="272"/>
    <w:autoRedefine/>
    <w:qFormat/>
    <w:uiPriority w:val="0"/>
    <w:pPr>
      <w:tabs>
        <w:tab w:val="left" w:pos="360"/>
      </w:tabs>
      <w:spacing w:beforeLines="0" w:afterLines="0"/>
    </w:pPr>
    <w:rPr>
      <w:rFonts w:ascii="宋体" w:eastAsia="宋体"/>
    </w:rPr>
  </w:style>
  <w:style w:type="paragraph" w:customStyle="1" w:styleId="646">
    <w:name w:val="样式 标题 1 + 非加粗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8">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9">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0">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51">
    <w:name w:val="样式 标题 3H3h3h31第二层条3Bold Headbh章标题1小标题level_3PIM 3Lev...2"/>
    <w:basedOn w:val="4"/>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52">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53">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54">
    <w:name w:val="Default Text"/>
    <w:link w:val="70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6">
    <w:name w:val="样式 标题 3H3h3h31第二层条3Bold Headbh章标题1小标题level_3PIM 3Lev...1"/>
    <w:basedOn w:val="4"/>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7">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8">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9">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60">
    <w:name w:val="TOC 标题2"/>
    <w:basedOn w:val="2"/>
    <w:next w:val="1"/>
    <w:autoRedefine/>
    <w:qFormat/>
    <w:uiPriority w:val="39"/>
    <w:pPr>
      <w:adjustRightInd/>
      <w:spacing w:before="340" w:after="330" w:line="578" w:lineRule="auto"/>
      <w:jc w:val="both"/>
      <w:textAlignment w:val="auto"/>
      <w:outlineLvl w:val="9"/>
    </w:pPr>
    <w:rPr>
      <w:bCs/>
      <w:sz w:val="44"/>
      <w:szCs w:val="44"/>
    </w:rPr>
  </w:style>
  <w:style w:type="paragraph" w:customStyle="1" w:styleId="661">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662">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63">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4">
    <w:name w:val="表头"/>
    <w:basedOn w:val="1"/>
    <w:autoRedefine/>
    <w:qFormat/>
    <w:uiPriority w:val="0"/>
    <w:pPr>
      <w:autoSpaceDE w:val="0"/>
      <w:autoSpaceDN w:val="0"/>
      <w:adjustRightInd w:val="0"/>
      <w:jc w:val="center"/>
    </w:pPr>
    <w:rPr>
      <w:rFonts w:ascii="Arial" w:hAnsi="Arial"/>
      <w:kern w:val="0"/>
      <w:sz w:val="18"/>
    </w:rPr>
  </w:style>
  <w:style w:type="paragraph" w:customStyle="1" w:styleId="665">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6">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7">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8">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66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0">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1">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72">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73">
    <w:name w:val="样式 样式 标题 5 + 段前: 0.5 行 段后: 0.5 行 + 段前: 0.5 行 段后: 0.5 行"/>
    <w:basedOn w:val="599"/>
    <w:autoRedefine/>
    <w:qFormat/>
    <w:uiPriority w:val="0"/>
    <w:rPr>
      <w:bCs w:val="0"/>
    </w:rPr>
  </w:style>
  <w:style w:type="paragraph" w:customStyle="1" w:styleId="6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5">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7">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8">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9">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80">
    <w:name w:val="标书正文"/>
    <w:basedOn w:val="1"/>
    <w:autoRedefine/>
    <w:qFormat/>
    <w:uiPriority w:val="0"/>
    <w:pPr>
      <w:spacing w:line="360" w:lineRule="auto"/>
      <w:ind w:firstLine="497" w:firstLineChars="207"/>
    </w:pPr>
    <w:rPr>
      <w:sz w:val="24"/>
      <w:szCs w:val="20"/>
    </w:rPr>
  </w:style>
  <w:style w:type="paragraph" w:customStyle="1" w:styleId="681">
    <w:name w:val="标题3"/>
    <w:basedOn w:val="1"/>
    <w:autoRedefine/>
    <w:qFormat/>
    <w:uiPriority w:val="0"/>
    <w:pPr>
      <w:spacing w:beforeLines="50" w:afterLines="50" w:line="300" w:lineRule="exact"/>
    </w:pPr>
    <w:rPr>
      <w:b/>
      <w:bCs/>
    </w:rPr>
  </w:style>
  <w:style w:type="paragraph" w:customStyle="1" w:styleId="682">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4">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5">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6">
    <w:name w:val="表格(五号)"/>
    <w:basedOn w:val="1"/>
    <w:autoRedefine/>
    <w:qFormat/>
    <w:uiPriority w:val="0"/>
    <w:pPr>
      <w:adjustRightInd w:val="0"/>
      <w:snapToGrid w:val="0"/>
      <w:spacing w:before="60" w:after="60"/>
      <w:ind w:left="11"/>
      <w:jc w:val="center"/>
    </w:pPr>
    <w:rPr>
      <w:kern w:val="0"/>
      <w:szCs w:val="20"/>
    </w:rPr>
  </w:style>
  <w:style w:type="paragraph" w:customStyle="1" w:styleId="687">
    <w:name w:val="表格标题1"/>
    <w:basedOn w:val="598"/>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8">
    <w:name w:val="默认段落字体 Para Char"/>
    <w:basedOn w:val="1"/>
    <w:autoRedefine/>
    <w:qFormat/>
    <w:uiPriority w:val="0"/>
  </w:style>
  <w:style w:type="paragraph" w:customStyle="1" w:styleId="689">
    <w:name w:val="正"/>
    <w:basedOn w:val="1"/>
    <w:autoRedefine/>
    <w:qFormat/>
    <w:uiPriority w:val="0"/>
    <w:pPr>
      <w:ind w:firstLine="525"/>
    </w:pPr>
    <w:rPr>
      <w:spacing w:val="20"/>
      <w:szCs w:val="20"/>
    </w:rPr>
  </w:style>
  <w:style w:type="paragraph" w:customStyle="1" w:styleId="69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1">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93">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4">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5">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6">
    <w:name w:val="无间隔 Char"/>
    <w:basedOn w:val="63"/>
    <w:link w:val="697"/>
    <w:autoRedefine/>
    <w:qFormat/>
    <w:locked/>
    <w:uiPriority w:val="0"/>
    <w:rPr>
      <w:rFonts w:ascii="Calibri" w:hAnsi="Calibri" w:eastAsia="宋体" w:cs="Times New Roman"/>
    </w:rPr>
  </w:style>
  <w:style w:type="paragraph" w:styleId="697">
    <w:name w:val="No Spacing"/>
    <w:basedOn w:val="1"/>
    <w:link w:val="696"/>
    <w:autoRedefine/>
    <w:qFormat/>
    <w:uiPriority w:val="0"/>
    <w:rPr>
      <w:rFonts w:ascii="Calibri" w:hAnsi="Calibri"/>
      <w:szCs w:val="22"/>
    </w:rPr>
  </w:style>
  <w:style w:type="character" w:customStyle="1" w:styleId="698">
    <w:name w:val="short_text"/>
    <w:basedOn w:val="63"/>
    <w:autoRedefine/>
    <w:qFormat/>
    <w:uiPriority w:val="0"/>
  </w:style>
  <w:style w:type="character" w:customStyle="1" w:styleId="699">
    <w:name w:val="未处理的提及1"/>
    <w:basedOn w:val="63"/>
    <w:autoRedefine/>
    <w:semiHidden/>
    <w:unhideWhenUsed/>
    <w:qFormat/>
    <w:uiPriority w:val="99"/>
    <w:rPr>
      <w:color w:val="605E5C"/>
      <w:shd w:val="clear" w:color="auto" w:fill="E1DFDD"/>
    </w:rPr>
  </w:style>
  <w:style w:type="paragraph" w:customStyle="1" w:styleId="7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701">
    <w:name w:val="未处理的提及2"/>
    <w:basedOn w:val="63"/>
    <w:autoRedefine/>
    <w:semiHidden/>
    <w:unhideWhenUsed/>
    <w:qFormat/>
    <w:uiPriority w:val="99"/>
    <w:rPr>
      <w:color w:val="605E5C"/>
      <w:shd w:val="clear" w:color="auto" w:fill="E1DFDD"/>
    </w:rPr>
  </w:style>
  <w:style w:type="paragraph" w:customStyle="1" w:styleId="702">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03">
    <w:name w:val="Normal_2"/>
    <w:autoRedefine/>
    <w:qFormat/>
    <w:uiPriority w:val="0"/>
    <w:rPr>
      <w:rFonts w:ascii="Calibri" w:hAnsi="Calibri" w:eastAsia="宋体" w:cs="Times New Roman"/>
      <w:sz w:val="24"/>
      <w:szCs w:val="24"/>
      <w:lang w:val="en-US" w:eastAsia="zh-CN" w:bidi="ar-SA"/>
    </w:rPr>
  </w:style>
  <w:style w:type="character" w:customStyle="1" w:styleId="704">
    <w:name w:val="7）页眉页脚"/>
    <w:autoRedefine/>
    <w:qFormat/>
    <w:uiPriority w:val="0"/>
    <w:rPr>
      <w:rFonts w:ascii="仿宋_GB2312" w:eastAsia="仿宋_GB2312"/>
      <w:b/>
      <w:i/>
      <w:sz w:val="18"/>
      <w:vertAlign w:val="baseline"/>
    </w:rPr>
  </w:style>
  <w:style w:type="character" w:customStyle="1" w:styleId="705">
    <w:name w:val="Default Text Char"/>
    <w:link w:val="654"/>
    <w:autoRedefine/>
    <w:qFormat/>
    <w:uiPriority w:val="0"/>
    <w:rPr>
      <w:rFonts w:ascii="Times New Roman" w:hAnsi="Times New Roman"/>
      <w:color w:val="000000"/>
      <w:sz w:val="24"/>
      <w:szCs w:val="24"/>
    </w:rPr>
  </w:style>
  <w:style w:type="paragraph" w:customStyle="1" w:styleId="706">
    <w:name w:val="5）标书正文 首行缩进2字符"/>
    <w:basedOn w:val="1"/>
    <w:autoRedefine/>
    <w:qFormat/>
    <w:uiPriority w:val="0"/>
    <w:pPr>
      <w:spacing w:line="480" w:lineRule="exact"/>
      <w:ind w:firstLine="200" w:firstLineChars="200"/>
    </w:pPr>
    <w:rPr>
      <w:rFonts w:ascii="仿宋_GB2312" w:eastAsia="仿宋_GB2312"/>
      <w:sz w:val="28"/>
      <w:szCs w:val="20"/>
    </w:rPr>
  </w:style>
  <w:style w:type="paragraph" w:customStyle="1" w:styleId="707">
    <w:name w:val="Normal_5"/>
    <w:autoRedefine/>
    <w:qFormat/>
    <w:uiPriority w:val="0"/>
    <w:rPr>
      <w:rFonts w:ascii="黑体" w:hAnsi="黑体" w:eastAsia="黑体" w:cs="Times New Roman"/>
      <w:b/>
      <w:sz w:val="32"/>
      <w:szCs w:val="24"/>
      <w:lang w:val="en-US" w:eastAsia="zh-CN" w:bidi="ar-SA"/>
    </w:rPr>
  </w:style>
  <w:style w:type="paragraph" w:customStyle="1" w:styleId="70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9">
    <w:name w:val="正文文本缩进_3"/>
    <w:basedOn w:val="708"/>
    <w:link w:val="710"/>
    <w:autoRedefine/>
    <w:qFormat/>
    <w:uiPriority w:val="0"/>
    <w:pPr>
      <w:spacing w:line="500" w:lineRule="exact"/>
      <w:ind w:left="1588" w:leftChars="832" w:firstLine="433" w:firstLineChars="196"/>
    </w:pPr>
    <w:rPr>
      <w:rFonts w:ascii="Calibri" w:hAnsi="Calibri"/>
      <w:sz w:val="24"/>
    </w:rPr>
  </w:style>
  <w:style w:type="character" w:customStyle="1" w:styleId="710">
    <w:name w:val="正文文本缩进 Char_3"/>
    <w:link w:val="709"/>
    <w:autoRedefine/>
    <w:qFormat/>
    <w:uiPriority w:val="0"/>
    <w:rPr>
      <w:kern w:val="2"/>
      <w:sz w:val="24"/>
      <w:szCs w:val="24"/>
      <w:lang w:val="en-US" w:eastAsia="zh-CN"/>
    </w:rPr>
  </w:style>
  <w:style w:type="character" w:customStyle="1" w:styleId="711">
    <w:name w:val="12_hui11"/>
    <w:autoRedefine/>
    <w:qFormat/>
    <w:uiPriority w:val="0"/>
    <w:rPr>
      <w:color w:val="666666"/>
      <w:sz w:val="18"/>
      <w:szCs w:val="18"/>
    </w:rPr>
  </w:style>
  <w:style w:type="character" w:customStyle="1" w:styleId="712">
    <w:name w:val="dy_biao_content1"/>
    <w:autoRedefine/>
    <w:qFormat/>
    <w:uiPriority w:val="0"/>
    <w:rPr>
      <w:rFonts w:hint="eastAsia" w:ascii="宋体" w:hAnsi="宋体" w:eastAsia="宋体"/>
      <w:sz w:val="24"/>
      <w:szCs w:val="24"/>
    </w:rPr>
  </w:style>
  <w:style w:type="paragraph" w:customStyle="1" w:styleId="713">
    <w:name w:val="正文_1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Char3"/>
    <w:basedOn w:val="1"/>
    <w:autoRedefine/>
    <w:qFormat/>
    <w:uiPriority w:val="0"/>
    <w:rPr>
      <w:rFonts w:ascii="Tahoma" w:hAnsi="Tahoma"/>
      <w:sz w:val="24"/>
      <w:szCs w:val="20"/>
    </w:rPr>
  </w:style>
  <w:style w:type="character" w:customStyle="1" w:styleId="716">
    <w:name w:val="脚注文本 Char"/>
    <w:basedOn w:val="63"/>
    <w:autoRedefine/>
    <w:qFormat/>
    <w:uiPriority w:val="0"/>
    <w:rPr>
      <w:lang w:val="de-DE"/>
    </w:rPr>
  </w:style>
  <w:style w:type="character" w:customStyle="1" w:styleId="717">
    <w:name w:val="脚注文本 Char1"/>
    <w:basedOn w:val="63"/>
    <w:link w:val="46"/>
    <w:autoRedefine/>
    <w:qFormat/>
    <w:uiPriority w:val="0"/>
    <w:rPr>
      <w:kern w:val="2"/>
      <w:sz w:val="18"/>
      <w:szCs w:val="18"/>
    </w:rPr>
  </w:style>
  <w:style w:type="paragraph" w:customStyle="1" w:styleId="718">
    <w:name w:val="Char4"/>
    <w:basedOn w:val="1"/>
    <w:autoRedefine/>
    <w:qFormat/>
    <w:uiPriority w:val="0"/>
    <w:rPr>
      <w:rFonts w:ascii="Tahoma" w:hAnsi="Tahoma"/>
      <w:sz w:val="24"/>
      <w:szCs w:val="20"/>
    </w:rPr>
  </w:style>
  <w:style w:type="paragraph" w:customStyle="1" w:styleId="719">
    <w:name w:val="Char1 Char"/>
    <w:basedOn w:val="1"/>
    <w:autoRedefine/>
    <w:qFormat/>
    <w:uiPriority w:val="0"/>
    <w:pPr>
      <w:tabs>
        <w:tab w:val="left" w:pos="360"/>
      </w:tabs>
    </w:pPr>
    <w:rPr>
      <w:kern w:val="0"/>
      <w:sz w:val="20"/>
      <w:szCs w:val="20"/>
    </w:rPr>
  </w:style>
  <w:style w:type="character" w:customStyle="1" w:styleId="720">
    <w:name w:val="列出段落 Char"/>
    <w:link w:val="610"/>
    <w:autoRedefine/>
    <w:qFormat/>
    <w:uiPriority w:val="34"/>
    <w:rPr>
      <w:rFonts w:ascii="宋体" w:hAnsi="宋体" w:cs="宋体"/>
      <w:bCs/>
      <w:color w:val="000000"/>
      <w:sz w:val="24"/>
      <w:szCs w:val="24"/>
      <w:u w:val="single"/>
    </w:rPr>
  </w:style>
  <w:style w:type="paragraph" w:customStyle="1" w:styleId="721">
    <w:name w:val="段落正文"/>
    <w:basedOn w:val="1"/>
    <w:link w:val="722"/>
    <w:autoRedefine/>
    <w:qFormat/>
    <w:uiPriority w:val="0"/>
    <w:pPr>
      <w:spacing w:before="140" w:after="140" w:line="401" w:lineRule="auto"/>
      <w:ind w:firstLine="200" w:firstLineChars="200"/>
    </w:pPr>
    <w:rPr>
      <w:rFonts w:ascii="宋体" w:hAnsi="宋体"/>
    </w:rPr>
  </w:style>
  <w:style w:type="character" w:customStyle="1" w:styleId="722">
    <w:name w:val="段落正文 Char"/>
    <w:link w:val="721"/>
    <w:autoRedefine/>
    <w:qFormat/>
    <w:uiPriority w:val="0"/>
    <w:rPr>
      <w:rFonts w:ascii="宋体" w:hAnsi="宋体"/>
      <w:kern w:val="2"/>
      <w:sz w:val="21"/>
      <w:szCs w:val="24"/>
    </w:rPr>
  </w:style>
  <w:style w:type="paragraph" w:customStyle="1" w:styleId="723">
    <w:name w:val="TOC 标题3"/>
    <w:basedOn w:val="2"/>
    <w:next w:val="1"/>
    <w:autoRedefine/>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76092" w:themeColor="accent1" w:themeShade="BF"/>
      <w:kern w:val="0"/>
      <w:szCs w:val="32"/>
    </w:rPr>
  </w:style>
  <w:style w:type="character" w:customStyle="1" w:styleId="724">
    <w:name w:val="本级2 Char"/>
    <w:link w:val="725"/>
    <w:autoRedefine/>
    <w:qFormat/>
    <w:uiPriority w:val="0"/>
    <w:rPr>
      <w:rFonts w:ascii="仿宋_GB2312" w:hAnsi="仿宋" w:eastAsia="仿宋_GB2312"/>
      <w:b/>
      <w:bCs/>
      <w:sz w:val="32"/>
      <w:szCs w:val="24"/>
    </w:rPr>
  </w:style>
  <w:style w:type="paragraph" w:customStyle="1" w:styleId="725">
    <w:name w:val="本级2"/>
    <w:basedOn w:val="3"/>
    <w:link w:val="724"/>
    <w:autoRedefine/>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6">
    <w:name w:val="标题 3 Char Char"/>
    <w:autoRedefine/>
    <w:qFormat/>
    <w:uiPriority w:val="0"/>
    <w:rPr>
      <w:rFonts w:eastAsia="宋体"/>
      <w:b/>
      <w:bCs/>
      <w:kern w:val="2"/>
      <w:sz w:val="32"/>
      <w:szCs w:val="32"/>
      <w:lang w:val="en-US" w:eastAsia="zh-CN" w:bidi="ar-SA"/>
    </w:rPr>
  </w:style>
  <w:style w:type="paragraph" w:customStyle="1" w:styleId="727">
    <w:name w:val="正文文本缩进2"/>
    <w:basedOn w:val="1"/>
    <w:autoRedefine/>
    <w:qFormat/>
    <w:uiPriority w:val="0"/>
    <w:pPr>
      <w:spacing w:after="120" w:line="480" w:lineRule="exact"/>
      <w:ind w:left="420" w:leftChars="200" w:firstLine="480" w:firstLineChars="200"/>
    </w:pPr>
    <w:rPr>
      <w:rFonts w:ascii="宋体" w:hAnsi="宋体"/>
    </w:rPr>
  </w:style>
  <w:style w:type="paragraph" w:customStyle="1" w:styleId="728">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9">
    <w:name w:val="Table Paragraph"/>
    <w:basedOn w:val="1"/>
    <w:autoRedefine/>
    <w:qFormat/>
    <w:uiPriority w:val="1"/>
    <w:rPr>
      <w:rFonts w:ascii="宋体" w:hAnsi="宋体" w:cs="宋体"/>
      <w:szCs w:val="22"/>
      <w:lang w:val="zh-CN" w:bidi="zh-CN"/>
    </w:rPr>
  </w:style>
  <w:style w:type="paragraph" w:customStyle="1" w:styleId="730">
    <w:name w:val="列表段落1"/>
    <w:basedOn w:val="1"/>
    <w:autoRedefine/>
    <w:qFormat/>
    <w:uiPriority w:val="99"/>
    <w:pPr>
      <w:ind w:firstLine="420" w:firstLineChars="200"/>
    </w:pPr>
    <w:rPr>
      <w:rFonts w:ascii="Calibri" w:hAnsi="Calibri"/>
    </w:rPr>
  </w:style>
  <w:style w:type="paragraph" w:customStyle="1" w:styleId="731">
    <w:name w:val="宋小四正文"/>
    <w:basedOn w:val="1"/>
    <w:autoRedefine/>
    <w:qFormat/>
    <w:uiPriority w:val="0"/>
    <w:pPr>
      <w:spacing w:line="360" w:lineRule="auto"/>
      <w:ind w:firstLine="1446" w:firstLineChars="200"/>
    </w:pPr>
    <w:rPr>
      <w:rFonts w:ascii="Calibri" w:hAnsi="Calibri"/>
      <w:snapToGrid w:val="0"/>
      <w:szCs w:val="22"/>
      <w:lang w:eastAsia="en-US"/>
    </w:rPr>
  </w:style>
  <w:style w:type="paragraph" w:customStyle="1" w:styleId="732">
    <w:name w:val="正文_0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1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6">
    <w:name w:val="二级标题_0"/>
    <w:basedOn w:val="1"/>
    <w:next w:val="1"/>
    <w:autoRedefine/>
    <w:qFormat/>
    <w:uiPriority w:val="0"/>
    <w:pPr>
      <w:tabs>
        <w:tab w:val="left" w:pos="360"/>
      </w:tabs>
      <w:spacing w:line="360" w:lineRule="auto"/>
      <w:outlineLvl w:val="1"/>
    </w:pPr>
    <w:rPr>
      <w:rFonts w:ascii="宋体" w:hAnsi="宋体"/>
      <w:b/>
      <w:sz w:val="24"/>
    </w:rPr>
  </w:style>
  <w:style w:type="paragraph" w:customStyle="1" w:styleId="737">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39">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0">
    <w:name w:val="首行缩进"/>
    <w:basedOn w:val="1"/>
    <w:autoRedefine/>
    <w:qFormat/>
    <w:uiPriority w:val="0"/>
    <w:pPr>
      <w:ind w:firstLine="480" w:firstLineChars="200"/>
    </w:pPr>
    <w:rPr>
      <w:lang w:val="zh-CN"/>
    </w:rPr>
  </w:style>
  <w:style w:type="character" w:customStyle="1" w:styleId="741">
    <w:name w:val="样式 小四 加粗"/>
    <w:autoRedefine/>
    <w:qFormat/>
    <w:uiPriority w:val="0"/>
    <w:rPr>
      <w:rFonts w:hint="eastAsia" w:ascii="黑体" w:hAnsi="黑体" w:eastAsia="黑体"/>
      <w:b/>
      <w:bCs/>
      <w:sz w:val="24"/>
    </w:rPr>
  </w:style>
  <w:style w:type="table" w:customStyle="1" w:styleId="742">
    <w:name w:val="Table Normal"/>
    <w:autoRedefine/>
    <w:semiHidden/>
    <w:unhideWhenUsed/>
    <w:qFormat/>
    <w:uiPriority w:val="0"/>
    <w:tblPr>
      <w:tblCellMar>
        <w:top w:w="0" w:type="dxa"/>
        <w:left w:w="0" w:type="dxa"/>
        <w:bottom w:w="0" w:type="dxa"/>
        <w:right w:w="0" w:type="dxa"/>
      </w:tblCellMar>
    </w:tblPr>
  </w:style>
  <w:style w:type="paragraph" w:customStyle="1" w:styleId="743">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4">
    <w:name w:val="正文（深信服科技）"/>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paragraph" w:customStyle="1" w:styleId="745">
    <w:name w:val="4号正文"/>
    <w:basedOn w:val="1"/>
    <w:autoRedefine/>
    <w:qFormat/>
    <w:uiPriority w:val="0"/>
    <w:pPr>
      <w:spacing w:after="120"/>
      <w:ind w:firstLine="555" w:firstLineChars="196"/>
    </w:pPr>
    <w:rPr>
      <w:rFonts w:ascii="仿宋_GB2312" w:hAnsi="华文细黑" w:eastAsia="仿宋_GB2312"/>
      <w:spacing w:val="10"/>
      <w:sz w:val="28"/>
      <w:szCs w:val="20"/>
    </w:rPr>
  </w:style>
  <w:style w:type="paragraph" w:customStyle="1" w:styleId="746">
    <w:name w:val="__正文"/>
    <w:autoRedefine/>
    <w:qFormat/>
    <w:uiPriority w:val="0"/>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747">
    <w:name w:val="1级项目编号"/>
    <w:basedOn w:val="1"/>
    <w:autoRedefine/>
    <w:qFormat/>
    <w:uiPriority w:val="0"/>
    <w:pPr>
      <w:numPr>
        <w:ilvl w:val="0"/>
        <w:numId w:val="11"/>
      </w:numPr>
      <w:tabs>
        <w:tab w:val="left" w:pos="1271"/>
        <w:tab w:val="left" w:pos="1667"/>
      </w:tabs>
      <w:autoSpaceDE w:val="0"/>
      <w:autoSpaceDN w:val="0"/>
      <w:spacing w:beforeLines="50"/>
    </w:pPr>
    <w:rPr>
      <w:rFonts w:ascii="宋体" w:hAnsi="宋体" w:cs="宋体"/>
      <w:kern w:val="0"/>
      <w:sz w:val="22"/>
      <w:lang w:eastAsia="en-US"/>
    </w:rPr>
  </w:style>
  <w:style w:type="paragraph" w:customStyle="1" w:styleId="748">
    <w:name w:val="1.5倍行距正文"/>
    <w:basedOn w:val="1"/>
    <w:autoRedefine/>
    <w:qFormat/>
    <w:uiPriority w:val="0"/>
    <w:pPr>
      <w:spacing w:beforeLines="50" w:afterLines="50"/>
      <w:ind w:firstLine="200" w:firstLineChars="200"/>
    </w:pPr>
    <w:rPr>
      <w:rFonts w:ascii="宋体" w:hAnsi="宋体"/>
    </w:rPr>
  </w:style>
  <w:style w:type="paragraph" w:customStyle="1" w:styleId="749">
    <w:name w:val="正文-无缩进"/>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25779-E977-417D-9F17-DDD36A1A36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5021</Words>
  <Characters>28625</Characters>
  <Lines>238</Lines>
  <Paragraphs>67</Paragraphs>
  <TotalTime>7</TotalTime>
  <ScaleCrop>false</ScaleCrop>
  <LinksUpToDate>false</LinksUpToDate>
  <CharactersWithSpaces>33579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2023-10-08T02:51:00Z</dcterms:created>
  <dc:creator>China</dc:creator>
  <cp:lastModifiedBy>PC</cp:lastModifiedBy>
  <cp:lastPrinted>2019-12-21T05:23:00Z</cp:lastPrinted>
  <dcterms:modified xsi:type="dcterms:W3CDTF">2024-04-07T03:26:19Z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D4A1DC0A43EE4F87925B54FE06F9487A_13</vt:lpwstr>
  </property>
</Properties>
</file>